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657ED" w:rsidRPr="00921F90" w14:paraId="02946F52" w14:textId="77777777" w:rsidTr="00531D4B">
        <w:trPr>
          <w:trHeight w:hRule="exact" w:val="418"/>
          <w:jc w:val="center"/>
        </w:trPr>
        <w:tc>
          <w:tcPr>
            <w:tcW w:w="8721" w:type="dxa"/>
            <w:gridSpan w:val="2"/>
          </w:tcPr>
          <w:p w14:paraId="06583FCE" w14:textId="77777777" w:rsidR="00B657ED" w:rsidRPr="00921F90" w:rsidRDefault="00B657ED" w:rsidP="00B531DB">
            <w:pPr>
              <w:pStyle w:val="a3"/>
              <w:jc w:val="center"/>
              <w:rPr>
                <w:rFonts w:ascii="Tahoma" w:hAnsi="Tahoma" w:cs="Tahoma"/>
                <w:color w:val="000080"/>
                <w:rtl/>
              </w:rPr>
            </w:pPr>
            <w:bookmarkStart w:id="0" w:name="LastJudge"/>
            <w:r w:rsidRPr="00921F90">
              <w:rPr>
                <w:rFonts w:ascii="Tahoma" w:hAnsi="Tahoma" w:cs="Tahoma"/>
                <w:b/>
                <w:bCs/>
                <w:color w:val="000080"/>
                <w:rtl/>
              </w:rPr>
              <w:t>בית המשפט המחוזי בחיפה</w:t>
            </w:r>
          </w:p>
        </w:tc>
      </w:tr>
      <w:tr w:rsidR="00B657ED" w:rsidRPr="00CF39F5" w14:paraId="47D10CF2" w14:textId="77777777" w:rsidTr="00531D4B">
        <w:trPr>
          <w:trHeight w:val="337"/>
          <w:jc w:val="center"/>
        </w:trPr>
        <w:tc>
          <w:tcPr>
            <w:tcW w:w="5060" w:type="dxa"/>
          </w:tcPr>
          <w:p w14:paraId="137F5A15" w14:textId="77777777" w:rsidR="00B657ED" w:rsidRPr="00CF39F5" w:rsidRDefault="00B657ED" w:rsidP="00CF39F5">
            <w:pPr>
              <w:pStyle w:val="a3"/>
              <w:spacing w:before="120" w:after="120" w:line="240" w:lineRule="exact"/>
              <w:rPr>
                <w:rFonts w:ascii="David" w:hAnsi="David"/>
                <w:b/>
                <w:bCs/>
                <w:sz w:val="26"/>
                <w:szCs w:val="26"/>
                <w:rtl/>
              </w:rPr>
            </w:pPr>
            <w:r w:rsidRPr="00CF39F5">
              <w:rPr>
                <w:rFonts w:ascii="David" w:hAnsi="David"/>
                <w:b/>
                <w:bCs/>
                <w:sz w:val="26"/>
                <w:szCs w:val="26"/>
                <w:rtl/>
              </w:rPr>
              <w:t>ת"פ 69004-03-24 מדינת ישראל נ' אטנילוב</w:t>
            </w:r>
            <w:r w:rsidR="00BB57F1">
              <w:rPr>
                <w:rFonts w:ascii="David" w:hAnsi="David" w:hint="cs"/>
                <w:b/>
                <w:bCs/>
                <w:sz w:val="26"/>
                <w:szCs w:val="26"/>
                <w:rtl/>
              </w:rPr>
              <w:t xml:space="preserve"> </w:t>
            </w:r>
            <w:r w:rsidRPr="00CF39F5">
              <w:rPr>
                <w:rFonts w:ascii="David" w:hAnsi="David"/>
                <w:b/>
                <w:bCs/>
                <w:sz w:val="26"/>
                <w:szCs w:val="26"/>
                <w:rtl/>
              </w:rPr>
              <w:t>(עציר)</w:t>
            </w:r>
          </w:p>
        </w:tc>
        <w:tc>
          <w:tcPr>
            <w:tcW w:w="3661" w:type="dxa"/>
          </w:tcPr>
          <w:p w14:paraId="17AFA170" w14:textId="77777777" w:rsidR="00B657ED" w:rsidRPr="00CF39F5" w:rsidRDefault="00B657ED" w:rsidP="00CF39F5">
            <w:pPr>
              <w:pStyle w:val="a3"/>
              <w:spacing w:before="120" w:after="120" w:line="240" w:lineRule="exact"/>
              <w:jc w:val="right"/>
              <w:rPr>
                <w:rFonts w:ascii="David" w:hAnsi="David"/>
                <w:b/>
                <w:bCs/>
                <w:sz w:val="26"/>
                <w:szCs w:val="26"/>
                <w:rtl/>
              </w:rPr>
            </w:pPr>
          </w:p>
        </w:tc>
      </w:tr>
    </w:tbl>
    <w:p w14:paraId="39EA6FCA" w14:textId="77777777" w:rsidR="00B657ED" w:rsidRPr="00CF39F5" w:rsidRDefault="00B657ED" w:rsidP="00CF39F5">
      <w:pPr>
        <w:pStyle w:val="a3"/>
        <w:spacing w:before="120" w:after="120" w:line="240" w:lineRule="exact"/>
        <w:rPr>
          <w:rFonts w:ascii="David" w:hAnsi="David"/>
          <w:b/>
          <w:bCs/>
          <w:sz w:val="26"/>
          <w:szCs w:val="26"/>
          <w:rtl/>
        </w:rPr>
      </w:pPr>
      <w:r w:rsidRPr="00CF39F5">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440"/>
        <w:gridCol w:w="6457"/>
      </w:tblGrid>
      <w:tr w:rsidR="00B657ED" w:rsidRPr="00CF39F5" w14:paraId="564DB967" w14:textId="77777777" w:rsidTr="00B657ED">
        <w:trPr>
          <w:trHeight w:val="295"/>
          <w:jc w:val="center"/>
        </w:trPr>
        <w:tc>
          <w:tcPr>
            <w:tcW w:w="923" w:type="dxa"/>
            <w:tcBorders>
              <w:top w:val="nil"/>
              <w:left w:val="nil"/>
              <w:bottom w:val="nil"/>
              <w:right w:val="nil"/>
            </w:tcBorders>
            <w:shd w:val="clear" w:color="auto" w:fill="auto"/>
          </w:tcPr>
          <w:p w14:paraId="71CF63FC" w14:textId="77777777" w:rsidR="00B657ED" w:rsidRPr="00CF39F5" w:rsidRDefault="00B657ED" w:rsidP="00CF39F5">
            <w:pPr>
              <w:spacing w:before="120" w:after="120" w:line="240" w:lineRule="exact"/>
              <w:jc w:val="both"/>
              <w:rPr>
                <w:rFonts w:ascii="David" w:hAnsi="David"/>
                <w:b/>
                <w:bCs/>
                <w:sz w:val="26"/>
                <w:szCs w:val="26"/>
              </w:rPr>
            </w:pPr>
            <w:r w:rsidRPr="00CF39F5">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3C3B9EF4" w14:textId="77777777" w:rsidR="00B657ED" w:rsidRPr="00CF39F5" w:rsidRDefault="00CF39F5" w:rsidP="00CF39F5">
            <w:pPr>
              <w:spacing w:before="120" w:after="120" w:line="240" w:lineRule="exact"/>
              <w:jc w:val="both"/>
              <w:rPr>
                <w:rFonts w:ascii="David" w:hAnsi="David"/>
                <w:b/>
                <w:bCs/>
                <w:sz w:val="26"/>
                <w:szCs w:val="26"/>
              </w:rPr>
            </w:pPr>
            <w:r>
              <w:rPr>
                <w:rFonts w:ascii="David" w:hAnsi="David"/>
                <w:b/>
                <w:bCs/>
                <w:sz w:val="26"/>
                <w:szCs w:val="26"/>
                <w:rtl/>
              </w:rPr>
              <w:t>כבוד השופט  נתנאל בניש</w:t>
            </w:r>
          </w:p>
        </w:tc>
      </w:tr>
      <w:tr w:rsidR="00CF39F5" w:rsidRPr="00CF39F5" w14:paraId="150C74E4" w14:textId="77777777" w:rsidTr="00CF39F5">
        <w:trPr>
          <w:trHeight w:val="355"/>
          <w:jc w:val="center"/>
        </w:trPr>
        <w:tc>
          <w:tcPr>
            <w:tcW w:w="2363" w:type="dxa"/>
            <w:gridSpan w:val="2"/>
            <w:tcBorders>
              <w:top w:val="nil"/>
              <w:left w:val="nil"/>
              <w:bottom w:val="nil"/>
              <w:right w:val="nil"/>
            </w:tcBorders>
            <w:shd w:val="clear" w:color="auto" w:fill="auto"/>
          </w:tcPr>
          <w:p w14:paraId="7ECE782F" w14:textId="77777777" w:rsidR="00CF39F5" w:rsidRPr="00CF39F5" w:rsidRDefault="00CF39F5" w:rsidP="00CF39F5">
            <w:pPr>
              <w:spacing w:before="120" w:after="120" w:line="240" w:lineRule="exact"/>
              <w:jc w:val="both"/>
              <w:rPr>
                <w:rFonts w:ascii="David" w:hAnsi="David"/>
                <w:b/>
                <w:bCs/>
                <w:sz w:val="26"/>
                <w:szCs w:val="26"/>
              </w:rPr>
            </w:pPr>
            <w:bookmarkStart w:id="1" w:name="FirstAppellant"/>
            <w:bookmarkStart w:id="2" w:name="FirstLawyer"/>
            <w:r w:rsidRPr="00CF39F5">
              <w:rPr>
                <w:rFonts w:ascii="David" w:hAnsi="David"/>
                <w:b/>
                <w:bCs/>
                <w:sz w:val="26"/>
                <w:szCs w:val="26"/>
                <w:rtl/>
              </w:rPr>
              <w:t>בעניין:</w:t>
            </w:r>
          </w:p>
          <w:p w14:paraId="51E5A61F" w14:textId="77777777" w:rsidR="00CF39F5" w:rsidRPr="00CF39F5" w:rsidRDefault="00CF39F5" w:rsidP="00CF39F5">
            <w:pPr>
              <w:suppressLineNumbers/>
              <w:spacing w:before="120" w:after="120" w:line="240" w:lineRule="exact"/>
              <w:rPr>
                <w:rFonts w:ascii="David" w:hAnsi="David"/>
                <w:b/>
                <w:bCs/>
                <w:sz w:val="26"/>
                <w:szCs w:val="26"/>
              </w:rPr>
            </w:pPr>
            <w:r w:rsidRPr="00CF39F5">
              <w:rPr>
                <w:rFonts w:ascii="David" w:hAnsi="David"/>
                <w:b/>
                <w:bCs/>
                <w:sz w:val="26"/>
                <w:szCs w:val="26"/>
                <w:rtl/>
              </w:rPr>
              <w:t>המאשימה</w:t>
            </w:r>
          </w:p>
          <w:p w14:paraId="7222E79F" w14:textId="77777777" w:rsidR="00CF39F5" w:rsidRPr="00CF39F5" w:rsidRDefault="00CF39F5" w:rsidP="00CF39F5">
            <w:pPr>
              <w:spacing w:before="120" w:after="120" w:line="240" w:lineRule="exact"/>
              <w:rPr>
                <w:rFonts w:ascii="David" w:hAnsi="David"/>
                <w:b/>
                <w:bCs/>
                <w:sz w:val="26"/>
                <w:szCs w:val="26"/>
              </w:rPr>
            </w:pPr>
          </w:p>
        </w:tc>
        <w:tc>
          <w:tcPr>
            <w:tcW w:w="6457" w:type="dxa"/>
            <w:tcBorders>
              <w:top w:val="nil"/>
              <w:left w:val="nil"/>
              <w:bottom w:val="nil"/>
              <w:right w:val="nil"/>
            </w:tcBorders>
            <w:shd w:val="clear" w:color="auto" w:fill="auto"/>
            <w:vAlign w:val="center"/>
          </w:tcPr>
          <w:p w14:paraId="401CC256" w14:textId="77777777" w:rsidR="00CF39F5" w:rsidRPr="00CF39F5" w:rsidRDefault="00CF39F5" w:rsidP="00CF39F5">
            <w:pPr>
              <w:suppressLineNumbers/>
              <w:spacing w:before="120" w:after="120" w:line="240" w:lineRule="exact"/>
              <w:rPr>
                <w:rFonts w:ascii="David" w:hAnsi="David"/>
                <w:b/>
                <w:bCs/>
                <w:sz w:val="26"/>
                <w:szCs w:val="26"/>
              </w:rPr>
            </w:pPr>
            <w:r w:rsidRPr="00CF39F5">
              <w:rPr>
                <w:rFonts w:ascii="David" w:hAnsi="David"/>
                <w:b/>
                <w:bCs/>
                <w:sz w:val="26"/>
                <w:szCs w:val="26"/>
                <w:rtl/>
              </w:rPr>
              <w:t xml:space="preserve">מדינת ישראל </w:t>
            </w:r>
          </w:p>
          <w:p w14:paraId="2A583596" w14:textId="77777777" w:rsidR="00CF39F5" w:rsidRPr="00CF39F5" w:rsidRDefault="00CF39F5" w:rsidP="00CF39F5">
            <w:pPr>
              <w:spacing w:before="120" w:after="120" w:line="240" w:lineRule="exact"/>
              <w:rPr>
                <w:rFonts w:ascii="David" w:hAnsi="David"/>
                <w:b/>
                <w:bCs/>
                <w:sz w:val="26"/>
                <w:szCs w:val="26"/>
              </w:rPr>
            </w:pPr>
            <w:r w:rsidRPr="00CF39F5">
              <w:rPr>
                <w:rFonts w:ascii="David" w:hAnsi="David"/>
                <w:b/>
                <w:bCs/>
                <w:sz w:val="26"/>
                <w:szCs w:val="26"/>
                <w:rtl/>
              </w:rPr>
              <w:t>ע"י עו"ד ראיד רחאל</w:t>
            </w:r>
          </w:p>
        </w:tc>
      </w:tr>
      <w:bookmarkEnd w:id="1"/>
      <w:bookmarkEnd w:id="2"/>
      <w:tr w:rsidR="00CF39F5" w:rsidRPr="00CF39F5" w14:paraId="354772F5" w14:textId="77777777" w:rsidTr="00A20A19">
        <w:trPr>
          <w:trHeight w:val="355"/>
          <w:jc w:val="center"/>
        </w:trPr>
        <w:tc>
          <w:tcPr>
            <w:tcW w:w="8820" w:type="dxa"/>
            <w:gridSpan w:val="3"/>
            <w:tcBorders>
              <w:top w:val="nil"/>
              <w:left w:val="nil"/>
              <w:bottom w:val="nil"/>
              <w:right w:val="nil"/>
            </w:tcBorders>
            <w:shd w:val="clear" w:color="auto" w:fill="auto"/>
          </w:tcPr>
          <w:p w14:paraId="19ED078D" w14:textId="77777777" w:rsidR="00CF39F5" w:rsidRPr="00CF39F5" w:rsidRDefault="00CF39F5" w:rsidP="00CF39F5">
            <w:pPr>
              <w:spacing w:before="240" w:after="240" w:line="240" w:lineRule="exact"/>
              <w:jc w:val="center"/>
              <w:rPr>
                <w:rFonts w:ascii="David" w:hAnsi="David" w:hint="cs"/>
                <w:b/>
                <w:bCs/>
                <w:sz w:val="26"/>
                <w:szCs w:val="26"/>
              </w:rPr>
            </w:pPr>
            <w:r w:rsidRPr="00CF39F5">
              <w:rPr>
                <w:rFonts w:ascii="David" w:hAnsi="David"/>
                <w:b/>
                <w:bCs/>
                <w:sz w:val="26"/>
                <w:szCs w:val="26"/>
                <w:rtl/>
              </w:rPr>
              <w:t>נגד</w:t>
            </w:r>
          </w:p>
        </w:tc>
      </w:tr>
      <w:tr w:rsidR="00CF39F5" w:rsidRPr="00CF39F5" w14:paraId="1672AABF" w14:textId="77777777" w:rsidTr="00CF39F5">
        <w:trPr>
          <w:trHeight w:val="355"/>
          <w:jc w:val="center"/>
        </w:trPr>
        <w:tc>
          <w:tcPr>
            <w:tcW w:w="2363" w:type="dxa"/>
            <w:gridSpan w:val="2"/>
            <w:tcBorders>
              <w:top w:val="nil"/>
              <w:left w:val="nil"/>
              <w:bottom w:val="nil"/>
              <w:right w:val="nil"/>
            </w:tcBorders>
            <w:shd w:val="clear" w:color="auto" w:fill="auto"/>
          </w:tcPr>
          <w:p w14:paraId="1111E677" w14:textId="77777777" w:rsidR="00CF39F5" w:rsidRPr="00CF39F5" w:rsidRDefault="00CF39F5" w:rsidP="00CF39F5">
            <w:pPr>
              <w:spacing w:before="120" w:after="120" w:line="240" w:lineRule="exact"/>
              <w:rPr>
                <w:rFonts w:ascii="David" w:hAnsi="David"/>
                <w:b/>
                <w:bCs/>
                <w:sz w:val="26"/>
                <w:szCs w:val="26"/>
                <w:rtl/>
              </w:rPr>
            </w:pPr>
            <w:r w:rsidRPr="00CF39F5">
              <w:rPr>
                <w:rFonts w:ascii="David" w:hAnsi="David"/>
                <w:b/>
                <w:bCs/>
                <w:sz w:val="26"/>
                <w:szCs w:val="26"/>
                <w:rtl/>
              </w:rPr>
              <w:t>הנאשם</w:t>
            </w:r>
          </w:p>
        </w:tc>
        <w:tc>
          <w:tcPr>
            <w:tcW w:w="6457" w:type="dxa"/>
            <w:tcBorders>
              <w:top w:val="nil"/>
              <w:left w:val="nil"/>
              <w:bottom w:val="nil"/>
              <w:right w:val="nil"/>
            </w:tcBorders>
            <w:shd w:val="clear" w:color="auto" w:fill="auto"/>
            <w:vAlign w:val="center"/>
          </w:tcPr>
          <w:p w14:paraId="76C32550" w14:textId="77777777" w:rsidR="00CF39F5" w:rsidRPr="00CF39F5" w:rsidRDefault="00CF39F5" w:rsidP="00CF39F5">
            <w:pPr>
              <w:suppressLineNumbers/>
              <w:spacing w:before="120" w:after="120" w:line="240" w:lineRule="exact"/>
              <w:rPr>
                <w:rFonts w:ascii="David" w:hAnsi="David"/>
                <w:b/>
                <w:bCs/>
                <w:sz w:val="26"/>
                <w:szCs w:val="26"/>
              </w:rPr>
            </w:pPr>
            <w:r w:rsidRPr="00CF39F5">
              <w:rPr>
                <w:rFonts w:ascii="David" w:hAnsi="David"/>
                <w:b/>
                <w:bCs/>
                <w:sz w:val="26"/>
                <w:szCs w:val="26"/>
                <w:rtl/>
              </w:rPr>
              <w:t xml:space="preserve">אהרון אטנילוב (עציר) </w:t>
            </w:r>
          </w:p>
          <w:p w14:paraId="377B7635" w14:textId="77777777" w:rsidR="00CF39F5" w:rsidRPr="00CF39F5" w:rsidRDefault="00CF39F5" w:rsidP="00CF39F5">
            <w:pPr>
              <w:spacing w:before="120" w:after="120" w:line="240" w:lineRule="exact"/>
              <w:rPr>
                <w:rFonts w:ascii="David" w:hAnsi="David"/>
                <w:b/>
                <w:bCs/>
                <w:sz w:val="26"/>
                <w:szCs w:val="26"/>
              </w:rPr>
            </w:pPr>
            <w:r w:rsidRPr="00CF39F5">
              <w:rPr>
                <w:rFonts w:ascii="David" w:hAnsi="David"/>
                <w:b/>
                <w:bCs/>
                <w:sz w:val="26"/>
                <w:szCs w:val="26"/>
                <w:rtl/>
              </w:rPr>
              <w:t>ע"י עו"ד דן גלעד</w:t>
            </w:r>
          </w:p>
        </w:tc>
      </w:tr>
    </w:tbl>
    <w:p w14:paraId="480D0C8C" w14:textId="77777777" w:rsidR="00921F90" w:rsidRPr="00921F90" w:rsidRDefault="00921F90" w:rsidP="00921F90">
      <w:pPr>
        <w:spacing w:before="120" w:after="120" w:line="240" w:lineRule="exact"/>
        <w:ind w:left="283" w:hanging="283"/>
        <w:jc w:val="both"/>
        <w:rPr>
          <w:rFonts w:ascii="FrankRuehl" w:hAnsi="FrankRuehl" w:cs="FrankRuehl"/>
          <w:rtl/>
        </w:rPr>
      </w:pPr>
    </w:p>
    <w:p w14:paraId="37A72250" w14:textId="77777777" w:rsidR="00CF39F5" w:rsidRPr="00CF39F5" w:rsidRDefault="00CF39F5" w:rsidP="00CF39F5">
      <w:pPr>
        <w:spacing w:before="120" w:after="120" w:line="240" w:lineRule="exact"/>
        <w:ind w:left="283" w:hanging="283"/>
        <w:jc w:val="both"/>
        <w:rPr>
          <w:rFonts w:ascii="FrankRuehl" w:hAnsi="FrankRuehl" w:cs="FrankRuehl"/>
          <w:rtl/>
        </w:rPr>
      </w:pPr>
      <w:bookmarkStart w:id="3" w:name="LawTable"/>
      <w:bookmarkEnd w:id="3"/>
      <w:r w:rsidRPr="00CF39F5">
        <w:rPr>
          <w:rFonts w:ascii="FrankRuehl" w:hAnsi="FrankRuehl" w:cs="FrankRuehl"/>
          <w:rtl/>
        </w:rPr>
        <w:t xml:space="preserve">חקיקה שאוזכרה: </w:t>
      </w:r>
    </w:p>
    <w:p w14:paraId="21DC2D88" w14:textId="77777777" w:rsidR="00CF39F5" w:rsidRPr="00CF39F5" w:rsidRDefault="00CF39F5" w:rsidP="00CF39F5">
      <w:pPr>
        <w:spacing w:before="120" w:after="120" w:line="240" w:lineRule="exact"/>
        <w:ind w:left="283" w:hanging="283"/>
        <w:jc w:val="both"/>
        <w:rPr>
          <w:rFonts w:ascii="FrankRuehl" w:hAnsi="FrankRuehl" w:cs="FrankRuehl"/>
          <w:color w:val="0000FF"/>
          <w:rtl/>
        </w:rPr>
      </w:pPr>
      <w:hyperlink r:id="rId7" w:history="1">
        <w:r w:rsidRPr="00CF39F5">
          <w:rPr>
            <w:rStyle w:val="Hyperlink"/>
            <w:rFonts w:ascii="FrankRuehl" w:hAnsi="FrankRuehl" w:cs="FrankRuehl"/>
            <w:u w:val="none"/>
            <w:rtl/>
          </w:rPr>
          <w:t>חוק העונשין, תשל"ז-1977</w:t>
        </w:r>
      </w:hyperlink>
      <w:r w:rsidRPr="00CF39F5">
        <w:rPr>
          <w:rFonts w:ascii="FrankRuehl" w:hAnsi="FrankRuehl" w:cs="FrankRuehl"/>
          <w:color w:val="0000FF"/>
          <w:rtl/>
        </w:rPr>
        <w:t xml:space="preserve">: סע'  </w:t>
      </w:r>
      <w:hyperlink r:id="rId8" w:history="1">
        <w:r w:rsidRPr="00CF39F5">
          <w:rPr>
            <w:rStyle w:val="Hyperlink"/>
            <w:rFonts w:ascii="FrankRuehl" w:hAnsi="FrankRuehl" w:cs="FrankRuehl"/>
            <w:u w:val="none"/>
          </w:rPr>
          <w:t>402</w:t>
        </w:r>
      </w:hyperlink>
      <w:r w:rsidRPr="00CF39F5">
        <w:rPr>
          <w:rFonts w:ascii="FrankRuehl" w:hAnsi="FrankRuehl" w:cs="FrankRuehl"/>
          <w:color w:val="0000FF"/>
          <w:rtl/>
        </w:rPr>
        <w:t xml:space="preserve">, </w:t>
      </w:r>
      <w:hyperlink r:id="rId9" w:history="1">
        <w:r w:rsidRPr="00CF39F5">
          <w:rPr>
            <w:rStyle w:val="Hyperlink"/>
            <w:rFonts w:ascii="FrankRuehl" w:hAnsi="FrankRuehl" w:cs="FrankRuehl"/>
            <w:u w:val="none"/>
          </w:rPr>
          <w:t>402</w:t>
        </w:r>
      </w:hyperlink>
      <w:r w:rsidRPr="00CF39F5">
        <w:rPr>
          <w:rFonts w:ascii="FrankRuehl" w:hAnsi="FrankRuehl" w:cs="FrankRuehl"/>
          <w:color w:val="0000FF"/>
          <w:rtl/>
        </w:rPr>
        <w:t>(א)</w:t>
      </w:r>
    </w:p>
    <w:p w14:paraId="16CB856A" w14:textId="77777777" w:rsidR="00CF39F5" w:rsidRPr="00CF39F5" w:rsidRDefault="00CF39F5" w:rsidP="00CF39F5">
      <w:pPr>
        <w:spacing w:before="120" w:after="120" w:line="240" w:lineRule="exact"/>
        <w:ind w:left="283" w:hanging="283"/>
        <w:jc w:val="both"/>
        <w:rPr>
          <w:rFonts w:ascii="FrankRuehl" w:hAnsi="FrankRuehl" w:cs="FrankRuehl"/>
          <w:color w:val="0000FF"/>
          <w:rtl/>
        </w:rPr>
      </w:pPr>
      <w:hyperlink r:id="rId10" w:history="1">
        <w:r w:rsidRPr="00CF39F5">
          <w:rPr>
            <w:rStyle w:val="Hyperlink"/>
            <w:rFonts w:ascii="FrankRuehl" w:hAnsi="FrankRuehl" w:cs="FrankRuehl"/>
            <w:u w:val="none"/>
            <w:rtl/>
          </w:rPr>
          <w:t>פקודת הסמים המסוכנים [נוסח חדש], תשל"ג-1973</w:t>
        </w:r>
      </w:hyperlink>
    </w:p>
    <w:p w14:paraId="18C9E02B" w14:textId="77777777" w:rsidR="00531D4B" w:rsidRDefault="00531D4B" w:rsidP="00CF39F5">
      <w:pPr>
        <w:rPr>
          <w:rFonts w:ascii="David" w:hAnsi="David" w:hint="cs"/>
          <w:rtl/>
        </w:rPr>
      </w:pPr>
      <w:bookmarkStart w:id="4" w:name="LawTable_End"/>
      <w:bookmarkEnd w:id="4"/>
    </w:p>
    <w:p w14:paraId="13A98EFE" w14:textId="77777777" w:rsidR="00BB57F1" w:rsidRPr="00AD72F3" w:rsidRDefault="00BB57F1" w:rsidP="00BB57F1">
      <w:pPr>
        <w:pBdr>
          <w:top w:val="single" w:sz="4" w:space="1" w:color="auto"/>
          <w:bottom w:val="single" w:sz="4" w:space="1" w:color="auto"/>
        </w:pBdr>
        <w:spacing w:after="120" w:line="320" w:lineRule="exact"/>
        <w:jc w:val="both"/>
        <w:rPr>
          <w:rFonts w:cs="FrankRuehl"/>
          <w:szCs w:val="26"/>
          <w:rtl/>
        </w:rPr>
      </w:pPr>
      <w:bookmarkStart w:id="5" w:name="ABSTRACT_START"/>
      <w:bookmarkEnd w:id="5"/>
      <w:r w:rsidRPr="00AD72F3">
        <w:rPr>
          <w:rFonts w:cs="FrankRuehl" w:hint="cs"/>
          <w:szCs w:val="26"/>
          <w:rtl/>
        </w:rPr>
        <w:t>מיני-רציו:</w:t>
      </w:r>
    </w:p>
    <w:p w14:paraId="6ADF50AE" w14:textId="77777777" w:rsidR="00BB57F1" w:rsidRPr="00AD72F3" w:rsidRDefault="00BB57F1" w:rsidP="00BB57F1">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D72F3">
        <w:rPr>
          <w:rFonts w:cs="FrankRuehl" w:hint="cs"/>
          <w:szCs w:val="26"/>
          <w:rtl/>
        </w:rPr>
        <w:t xml:space="preserve">בית המשפט גזר על </w:t>
      </w:r>
      <w:r w:rsidRPr="00AD72F3">
        <w:rPr>
          <w:rFonts w:cs="FrankRuehl"/>
          <w:szCs w:val="26"/>
          <w:rtl/>
        </w:rPr>
        <w:t>הנאשם</w:t>
      </w:r>
      <w:r w:rsidRPr="00AD72F3">
        <w:rPr>
          <w:rFonts w:cs="FrankRuehl" w:hint="cs"/>
          <w:szCs w:val="26"/>
          <w:rtl/>
        </w:rPr>
        <w:t>,</w:t>
      </w:r>
      <w:r w:rsidRPr="00AD72F3">
        <w:rPr>
          <w:rFonts w:cs="FrankRuehl"/>
          <w:szCs w:val="26"/>
          <w:rtl/>
        </w:rPr>
        <w:t xml:space="preserve"> </w:t>
      </w:r>
      <w:r w:rsidRPr="00AD72F3">
        <w:rPr>
          <w:rFonts w:cs="FrankRuehl" w:hint="cs"/>
          <w:szCs w:val="26"/>
          <w:rtl/>
        </w:rPr>
        <w:t>ש</w:t>
      </w:r>
      <w:r w:rsidRPr="00AD72F3">
        <w:rPr>
          <w:rFonts w:cs="FrankRuehl"/>
          <w:szCs w:val="26"/>
          <w:rtl/>
        </w:rPr>
        <w:t>הורשע בעבירה של שוד</w:t>
      </w:r>
      <w:r w:rsidRPr="00AD72F3">
        <w:rPr>
          <w:rFonts w:cs="FrankRuehl" w:hint="cs"/>
          <w:szCs w:val="26"/>
          <w:rtl/>
        </w:rPr>
        <w:t xml:space="preserve">, </w:t>
      </w:r>
      <w:r w:rsidRPr="00AD72F3">
        <w:rPr>
          <w:rFonts w:cs="FrankRuehl"/>
          <w:szCs w:val="26"/>
          <w:rtl/>
        </w:rPr>
        <w:t>20 חודשי מאסר בפועל</w:t>
      </w:r>
      <w:r w:rsidRPr="00AD72F3">
        <w:rPr>
          <w:rFonts w:cs="FrankRuehl" w:hint="cs"/>
          <w:szCs w:val="26"/>
          <w:rtl/>
        </w:rPr>
        <w:t xml:space="preserve"> ו-</w:t>
      </w:r>
      <w:r w:rsidRPr="00AD72F3">
        <w:rPr>
          <w:rFonts w:cs="FrankRuehl"/>
          <w:szCs w:val="26"/>
          <w:rtl/>
        </w:rPr>
        <w:t xml:space="preserve"> 12 חודשי מאסר מותנים.</w:t>
      </w:r>
    </w:p>
    <w:p w14:paraId="14271C13" w14:textId="77777777" w:rsidR="00BB57F1" w:rsidRPr="00AD72F3" w:rsidRDefault="00BB57F1" w:rsidP="00BB57F1">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AD72F3">
        <w:rPr>
          <w:rFonts w:cs="FrankRuehl" w:hint="cs"/>
          <w:szCs w:val="26"/>
          <w:rtl/>
        </w:rPr>
        <w:t xml:space="preserve">עונשין </w:t>
      </w:r>
      <w:r w:rsidRPr="00AD72F3">
        <w:rPr>
          <w:rFonts w:cs="FrankRuehl"/>
          <w:szCs w:val="26"/>
          <w:rtl/>
        </w:rPr>
        <w:t>–</w:t>
      </w:r>
      <w:r w:rsidRPr="00AD72F3">
        <w:rPr>
          <w:rFonts w:cs="FrankRuehl" w:hint="cs"/>
          <w:szCs w:val="26"/>
          <w:rtl/>
        </w:rPr>
        <w:t xml:space="preserve"> ענישה </w:t>
      </w:r>
      <w:r w:rsidRPr="00AD72F3">
        <w:rPr>
          <w:rFonts w:cs="FrankRuehl"/>
          <w:szCs w:val="26"/>
          <w:rtl/>
        </w:rPr>
        <w:t>–</w:t>
      </w:r>
      <w:r w:rsidRPr="00AD72F3">
        <w:rPr>
          <w:rFonts w:cs="FrankRuehl" w:hint="cs"/>
          <w:szCs w:val="26"/>
          <w:rtl/>
        </w:rPr>
        <w:t xml:space="preserve"> מדיניות ענישה: עבירות שוד</w:t>
      </w:r>
    </w:p>
    <w:p w14:paraId="3B6CB7EE" w14:textId="77777777" w:rsidR="00BB57F1" w:rsidRPr="00AD72F3" w:rsidRDefault="00BB57F1" w:rsidP="00BB57F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4D8F3AF" w14:textId="77777777" w:rsidR="00BB57F1" w:rsidRPr="00AD72F3" w:rsidRDefault="00BB57F1" w:rsidP="00BB57F1">
      <w:pPr>
        <w:pBdr>
          <w:top w:val="single" w:sz="4" w:space="1" w:color="auto"/>
          <w:bottom w:val="single" w:sz="4" w:space="1" w:color="auto"/>
        </w:pBdr>
        <w:spacing w:after="120" w:line="320" w:lineRule="exact"/>
        <w:jc w:val="both"/>
        <w:rPr>
          <w:rFonts w:cs="FrankRuehl"/>
          <w:szCs w:val="26"/>
          <w:rtl/>
        </w:rPr>
      </w:pPr>
      <w:r w:rsidRPr="00AD72F3">
        <w:rPr>
          <w:rFonts w:cs="FrankRuehl"/>
          <w:szCs w:val="26"/>
          <w:rtl/>
        </w:rPr>
        <w:t>הנאשם הורשע על פי הודאתו, במסגרת הסדר טיעון, בעבירה של שוד.</w:t>
      </w:r>
    </w:p>
    <w:p w14:paraId="220972B1" w14:textId="77777777" w:rsidR="00BB57F1" w:rsidRDefault="00BB57F1" w:rsidP="00BB57F1">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F81BC47" w14:textId="77777777" w:rsidR="00BB57F1" w:rsidRPr="00AD72F3" w:rsidRDefault="00BB57F1" w:rsidP="00BB57F1">
      <w:pPr>
        <w:pBdr>
          <w:top w:val="single" w:sz="4" w:space="1" w:color="auto"/>
          <w:bottom w:val="single" w:sz="4" w:space="1" w:color="auto"/>
        </w:pBdr>
        <w:spacing w:after="120" w:line="320" w:lineRule="exact"/>
        <w:jc w:val="both"/>
        <w:rPr>
          <w:rFonts w:cs="FrankRuehl"/>
          <w:szCs w:val="26"/>
          <w:rtl/>
        </w:rPr>
      </w:pPr>
      <w:r w:rsidRPr="00AD72F3">
        <w:rPr>
          <w:rFonts w:cs="FrankRuehl"/>
          <w:szCs w:val="26"/>
          <w:rtl/>
        </w:rPr>
        <w:t>בית המשפט המחוזי גזר את הדין כדלהלן:</w:t>
      </w:r>
    </w:p>
    <w:p w14:paraId="0F20D0AE" w14:textId="77777777" w:rsidR="00BB57F1" w:rsidRPr="00AD72F3" w:rsidRDefault="00BB57F1" w:rsidP="00BB57F1">
      <w:pPr>
        <w:pBdr>
          <w:top w:val="single" w:sz="4" w:space="1" w:color="auto"/>
          <w:bottom w:val="single" w:sz="4" w:space="1" w:color="auto"/>
        </w:pBdr>
        <w:spacing w:after="120" w:line="320" w:lineRule="exact"/>
        <w:jc w:val="both"/>
        <w:rPr>
          <w:rFonts w:cs="FrankRuehl" w:hint="cs"/>
          <w:szCs w:val="26"/>
        </w:rPr>
      </w:pPr>
      <w:r w:rsidRPr="00AD72F3">
        <w:rPr>
          <w:rFonts w:cs="FrankRuehl"/>
          <w:szCs w:val="26"/>
          <w:rtl/>
        </w:rPr>
        <w:t>עבירת שוד פוגעת באופן קשה בערך חברתי בסיסי ביותר, זכותו של כל אדם להתהלך ברחובה של עיר בביטחון מבלי שיפגע בגופו או ברכושו. יתרה מזו, גלום בה מעצם טבעה פוטנציאל להידרדרות לאלימות קשה, ולפגיעות גופניות קשות עד קטלניות. מעשיו של הנאשם מתאפיינים בנחישות ובמסוכנות לא מבוטלים, ולצידם פגיעה במספר מישורים במתלוננת. בהתחשב במכלול השיקולים והנתונים, הוטלו על הנאשם 20 חודשי מאסר בפועל, 12 חודשי מאסר מותנים</w:t>
      </w:r>
      <w:r w:rsidRPr="00AD72F3">
        <w:rPr>
          <w:rFonts w:cs="FrankRuehl" w:hint="cs"/>
          <w:szCs w:val="26"/>
          <w:rtl/>
        </w:rPr>
        <w:t>.</w:t>
      </w:r>
    </w:p>
    <w:p w14:paraId="78F2515D" w14:textId="77777777" w:rsidR="00BB57F1" w:rsidRPr="00BB57F1" w:rsidRDefault="00BB57F1" w:rsidP="00CF39F5">
      <w:pPr>
        <w:rPr>
          <w:rFonts w:ascii="David" w:hAnsi="David"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657ED" w:rsidRPr="001C70AD" w14:paraId="4F8B0E83" w14:textId="77777777" w:rsidTr="00B657ED">
        <w:trPr>
          <w:trHeight w:val="355"/>
          <w:jc w:val="center"/>
        </w:trPr>
        <w:tc>
          <w:tcPr>
            <w:tcW w:w="8820" w:type="dxa"/>
            <w:tcBorders>
              <w:top w:val="nil"/>
              <w:left w:val="nil"/>
              <w:bottom w:val="nil"/>
              <w:right w:val="nil"/>
            </w:tcBorders>
            <w:shd w:val="clear" w:color="auto" w:fill="auto"/>
          </w:tcPr>
          <w:p w14:paraId="032858CC" w14:textId="77777777" w:rsidR="00921F90" w:rsidRPr="00921F90" w:rsidRDefault="00921F90" w:rsidP="00921F90">
            <w:pPr>
              <w:jc w:val="center"/>
              <w:rPr>
                <w:rFonts w:ascii="David" w:hAnsi="David"/>
                <w:b/>
                <w:bCs/>
                <w:u w:val="single"/>
                <w:rtl/>
              </w:rPr>
            </w:pPr>
            <w:bookmarkStart w:id="7" w:name="PsakDin" w:colFirst="0" w:colLast="0"/>
            <w:bookmarkEnd w:id="0"/>
            <w:r w:rsidRPr="00921F90">
              <w:rPr>
                <w:rFonts w:ascii="David" w:hAnsi="David"/>
                <w:b/>
                <w:bCs/>
                <w:u w:val="single"/>
                <w:rtl/>
              </w:rPr>
              <w:t>גזר דין</w:t>
            </w:r>
          </w:p>
          <w:p w14:paraId="3DE32EE6" w14:textId="77777777" w:rsidR="00B657ED" w:rsidRPr="00921F90" w:rsidRDefault="00B657ED" w:rsidP="00921F90">
            <w:pPr>
              <w:jc w:val="center"/>
              <w:rPr>
                <w:rFonts w:ascii="David" w:hAnsi="David"/>
                <w:bCs/>
                <w:u w:val="single"/>
                <w:rtl/>
              </w:rPr>
            </w:pPr>
          </w:p>
        </w:tc>
      </w:tr>
      <w:bookmarkEnd w:id="7"/>
    </w:tbl>
    <w:p w14:paraId="24B8AA15" w14:textId="77777777" w:rsidR="00B657ED" w:rsidRPr="001C70AD" w:rsidRDefault="00B657ED" w:rsidP="00B657ED">
      <w:pPr>
        <w:rPr>
          <w:rFonts w:ascii="David" w:hAnsi="David"/>
          <w:b/>
          <w:bCs/>
          <w:rtl/>
        </w:rPr>
      </w:pPr>
    </w:p>
    <w:p w14:paraId="5B61B015" w14:textId="77777777" w:rsidR="00B657ED" w:rsidRPr="00A46620" w:rsidRDefault="00B657ED" w:rsidP="00B657ED">
      <w:pPr>
        <w:spacing w:line="360" w:lineRule="auto"/>
        <w:jc w:val="both"/>
        <w:rPr>
          <w:rFonts w:ascii="David" w:hAnsi="David"/>
          <w:b/>
          <w:bCs/>
          <w:u w:val="single"/>
          <w:rtl/>
        </w:rPr>
      </w:pPr>
      <w:r w:rsidRPr="00A46620">
        <w:rPr>
          <w:rFonts w:ascii="David" w:hAnsi="David" w:hint="cs"/>
          <w:b/>
          <w:bCs/>
          <w:u w:val="single"/>
          <w:rtl/>
        </w:rPr>
        <w:lastRenderedPageBreak/>
        <w:t>ההרשעה</w:t>
      </w:r>
    </w:p>
    <w:p w14:paraId="4DAD0845" w14:textId="77777777" w:rsidR="00B657ED" w:rsidRDefault="00B657ED" w:rsidP="00B657ED">
      <w:pPr>
        <w:spacing w:line="360" w:lineRule="auto"/>
        <w:jc w:val="both"/>
        <w:rPr>
          <w:rFonts w:ascii="David" w:hAnsi="David"/>
          <w:rtl/>
        </w:rPr>
      </w:pPr>
      <w:r w:rsidRPr="001C70AD">
        <w:rPr>
          <w:rFonts w:ascii="David" w:hAnsi="David"/>
          <w:rtl/>
        </w:rPr>
        <w:t xml:space="preserve">הנאשם הורשע על פי הודאתו, במסגרת הסדר טיעון, בכתב אישום מתוקן, בעבירה של שוד לפי </w:t>
      </w:r>
      <w:hyperlink r:id="rId11" w:history="1">
        <w:r w:rsidR="00531D4B" w:rsidRPr="00531D4B">
          <w:rPr>
            <w:rStyle w:val="Hyperlink"/>
            <w:rFonts w:ascii="David" w:hAnsi="David"/>
            <w:rtl/>
          </w:rPr>
          <w:t>סעיף 402(א)</w:t>
        </w:r>
      </w:hyperlink>
      <w:r w:rsidRPr="001C70AD">
        <w:rPr>
          <w:rFonts w:ascii="David" w:hAnsi="David"/>
          <w:rtl/>
        </w:rPr>
        <w:t xml:space="preserve"> ל</w:t>
      </w:r>
      <w:hyperlink r:id="rId12" w:history="1">
        <w:r w:rsidR="00921F90" w:rsidRPr="00921F90">
          <w:rPr>
            <w:rFonts w:ascii="David" w:hAnsi="David"/>
            <w:color w:val="0000FF"/>
            <w:u w:val="single"/>
            <w:rtl/>
          </w:rPr>
          <w:t>חוק העונשין</w:t>
        </w:r>
      </w:hyperlink>
      <w:r w:rsidRPr="001C70AD">
        <w:rPr>
          <w:rFonts w:ascii="David" w:hAnsi="David"/>
          <w:rtl/>
        </w:rPr>
        <w:t>, התשל"ז – 1977 (להלן: חוק העונשין).</w:t>
      </w:r>
    </w:p>
    <w:p w14:paraId="02231576" w14:textId="77777777" w:rsidR="00B657ED" w:rsidRPr="001C70AD" w:rsidRDefault="00B657ED" w:rsidP="00B657ED">
      <w:pPr>
        <w:spacing w:line="360" w:lineRule="auto"/>
        <w:jc w:val="both"/>
        <w:rPr>
          <w:rFonts w:ascii="David" w:hAnsi="David"/>
          <w:rtl/>
        </w:rPr>
      </w:pPr>
    </w:p>
    <w:p w14:paraId="16FB13E8" w14:textId="77777777" w:rsidR="00B657ED" w:rsidRDefault="00B657ED" w:rsidP="00B657ED">
      <w:pPr>
        <w:spacing w:line="360" w:lineRule="auto"/>
        <w:jc w:val="both"/>
        <w:rPr>
          <w:rFonts w:ascii="David" w:hAnsi="David"/>
          <w:rtl/>
        </w:rPr>
      </w:pPr>
      <w:r w:rsidRPr="001C70AD">
        <w:rPr>
          <w:rFonts w:ascii="David" w:hAnsi="David"/>
          <w:rtl/>
        </w:rPr>
        <w:t xml:space="preserve">על פי עובדות כתב האישום </w:t>
      </w:r>
      <w:r>
        <w:rPr>
          <w:rFonts w:ascii="David" w:hAnsi="David" w:hint="cs"/>
          <w:rtl/>
        </w:rPr>
        <w:t xml:space="preserve">המתוקן </w:t>
      </w:r>
      <w:r w:rsidRPr="001C70AD">
        <w:rPr>
          <w:rFonts w:ascii="David" w:hAnsi="David"/>
          <w:rtl/>
        </w:rPr>
        <w:t>בהן הודה</w:t>
      </w:r>
      <w:r>
        <w:rPr>
          <w:rFonts w:ascii="David" w:hAnsi="David" w:hint="cs"/>
          <w:rtl/>
        </w:rPr>
        <w:t>,</w:t>
      </w:r>
      <w:r w:rsidRPr="001C70AD">
        <w:rPr>
          <w:rFonts w:ascii="David" w:hAnsi="David"/>
          <w:rtl/>
        </w:rPr>
        <w:t xml:space="preserve"> ביום 03.03.2024 בשעה 12:30 או במועד סמוך לכך, הבחין הנאשם במתלוננת</w:t>
      </w:r>
      <w:r>
        <w:rPr>
          <w:rFonts w:ascii="David" w:hAnsi="David" w:hint="cs"/>
          <w:rtl/>
        </w:rPr>
        <w:t>, ילידת 1949,</w:t>
      </w:r>
      <w:r w:rsidRPr="001C70AD">
        <w:rPr>
          <w:rFonts w:ascii="David" w:hAnsi="David"/>
          <w:rtl/>
        </w:rPr>
        <w:t xml:space="preserve"> כשהיא נושאת על גופה תיק שהכיל טלפון </w:t>
      </w:r>
      <w:r>
        <w:rPr>
          <w:rFonts w:ascii="David" w:hAnsi="David" w:hint="cs"/>
          <w:rtl/>
        </w:rPr>
        <w:t>נייד</w:t>
      </w:r>
      <w:r w:rsidRPr="001C70AD">
        <w:rPr>
          <w:rFonts w:ascii="David" w:hAnsi="David"/>
          <w:rtl/>
        </w:rPr>
        <w:t>, משקפי</w:t>
      </w:r>
      <w:r>
        <w:rPr>
          <w:rFonts w:ascii="David" w:hAnsi="David"/>
          <w:rtl/>
        </w:rPr>
        <w:t xml:space="preserve"> ראיה, תעודות שונות ו-50 ₪ לערך</w:t>
      </w:r>
      <w:r>
        <w:rPr>
          <w:rFonts w:ascii="David" w:hAnsi="David" w:hint="cs"/>
          <w:rtl/>
        </w:rPr>
        <w:t xml:space="preserve">. </w:t>
      </w:r>
      <w:r w:rsidRPr="001C70AD">
        <w:rPr>
          <w:rFonts w:ascii="David" w:hAnsi="David"/>
          <w:rtl/>
        </w:rPr>
        <w:t>הנאשם</w:t>
      </w:r>
      <w:r>
        <w:rPr>
          <w:rFonts w:ascii="David" w:hAnsi="David" w:hint="cs"/>
          <w:rtl/>
        </w:rPr>
        <w:t>, שהחליט לשדוד את המתלוננת,</w:t>
      </w:r>
      <w:r w:rsidRPr="001C70AD">
        <w:rPr>
          <w:rFonts w:ascii="David" w:hAnsi="David"/>
          <w:rtl/>
        </w:rPr>
        <w:t xml:space="preserve"> צעד בעקבות</w:t>
      </w:r>
      <w:r>
        <w:rPr>
          <w:rFonts w:ascii="David" w:hAnsi="David" w:hint="cs"/>
          <w:rtl/>
        </w:rPr>
        <w:t>יה,</w:t>
      </w:r>
      <w:r w:rsidRPr="001C70AD">
        <w:rPr>
          <w:rFonts w:ascii="David" w:hAnsi="David"/>
          <w:rtl/>
        </w:rPr>
        <w:t xml:space="preserve"> הגיח מאחוריה, אחז את התיק ומשך אותו בחוזקה, כ</w:t>
      </w:r>
      <w:r>
        <w:rPr>
          <w:rFonts w:ascii="David" w:hAnsi="David"/>
          <w:rtl/>
        </w:rPr>
        <w:t>ך שרצועת התיק נכרכה סביב צווארה</w:t>
      </w:r>
      <w:r>
        <w:rPr>
          <w:rFonts w:ascii="David" w:hAnsi="David" w:hint="cs"/>
          <w:rtl/>
        </w:rPr>
        <w:t xml:space="preserve">. </w:t>
      </w:r>
      <w:r w:rsidRPr="001C70AD">
        <w:rPr>
          <w:rFonts w:ascii="David" w:hAnsi="David"/>
          <w:rtl/>
        </w:rPr>
        <w:t xml:space="preserve">משלא הצליח </w:t>
      </w:r>
      <w:r>
        <w:rPr>
          <w:rFonts w:ascii="David" w:hAnsi="David" w:hint="cs"/>
          <w:rtl/>
        </w:rPr>
        <w:t xml:space="preserve">הנאשם </w:t>
      </w:r>
      <w:r w:rsidRPr="001C70AD">
        <w:rPr>
          <w:rFonts w:ascii="David" w:hAnsi="David"/>
          <w:rtl/>
        </w:rPr>
        <w:t>ליטול את התיק, שב ומשך אותו בחוזקה</w:t>
      </w:r>
      <w:r>
        <w:rPr>
          <w:rFonts w:ascii="David" w:hAnsi="David" w:hint="cs"/>
          <w:rtl/>
        </w:rPr>
        <w:t>,</w:t>
      </w:r>
      <w:r w:rsidRPr="001C70AD">
        <w:rPr>
          <w:rFonts w:ascii="David" w:hAnsi="David"/>
          <w:rtl/>
        </w:rPr>
        <w:t xml:space="preserve"> כשרצועת</w:t>
      </w:r>
      <w:r>
        <w:rPr>
          <w:rFonts w:ascii="David" w:hAnsi="David" w:hint="cs"/>
          <w:rtl/>
        </w:rPr>
        <w:t>ו</w:t>
      </w:r>
      <w:r w:rsidRPr="001C70AD">
        <w:rPr>
          <w:rFonts w:ascii="David" w:hAnsi="David"/>
          <w:rtl/>
        </w:rPr>
        <w:t xml:space="preserve"> עדיין כרוכה סביב צווארה של המתלוננת.</w:t>
      </w:r>
      <w:r>
        <w:rPr>
          <w:rFonts w:ascii="David" w:hAnsi="David" w:hint="cs"/>
          <w:rtl/>
        </w:rPr>
        <w:t xml:space="preserve"> </w:t>
      </w:r>
    </w:p>
    <w:p w14:paraId="39375C10" w14:textId="77777777" w:rsidR="00B657ED" w:rsidRDefault="00B657ED" w:rsidP="00B657ED">
      <w:pPr>
        <w:spacing w:line="360" w:lineRule="auto"/>
        <w:jc w:val="both"/>
        <w:rPr>
          <w:rFonts w:ascii="David" w:hAnsi="David"/>
          <w:rtl/>
        </w:rPr>
      </w:pPr>
    </w:p>
    <w:p w14:paraId="1BD3A5CF" w14:textId="77777777" w:rsidR="00B657ED" w:rsidRPr="001C70AD" w:rsidRDefault="00B657ED" w:rsidP="00B657ED">
      <w:pPr>
        <w:spacing w:line="360" w:lineRule="auto"/>
        <w:jc w:val="both"/>
        <w:rPr>
          <w:rFonts w:ascii="David" w:hAnsi="David"/>
          <w:rtl/>
        </w:rPr>
      </w:pPr>
      <w:r w:rsidRPr="001C70AD">
        <w:rPr>
          <w:rFonts w:ascii="David" w:hAnsi="David"/>
          <w:rtl/>
        </w:rPr>
        <w:t>כתוצאה ממעשי הנאשם נפלה המתלוננת ארצה</w:t>
      </w:r>
      <w:r>
        <w:rPr>
          <w:rFonts w:ascii="David" w:hAnsi="David" w:hint="cs"/>
          <w:rtl/>
        </w:rPr>
        <w:t>,</w:t>
      </w:r>
      <w:r>
        <w:rPr>
          <w:rFonts w:ascii="David" w:hAnsi="David"/>
          <w:rtl/>
        </w:rPr>
        <w:t xml:space="preserve"> </w:t>
      </w:r>
      <w:r>
        <w:rPr>
          <w:rFonts w:ascii="David" w:hAnsi="David" w:hint="cs"/>
          <w:rtl/>
        </w:rPr>
        <w:t xml:space="preserve">היא נחבטה </w:t>
      </w:r>
      <w:r w:rsidRPr="001C70AD">
        <w:rPr>
          <w:rFonts w:ascii="David" w:hAnsi="David"/>
          <w:rtl/>
        </w:rPr>
        <w:t xml:space="preserve">ברצפה ונגרמו לה שפשופים בגב, בברך ובירך שמאל. בעודה שוכבת פצועה על המדרכה, משך הנאשם את התיק מגופה ונמלט בריצה מהמקום כשהתיק בידו. </w:t>
      </w:r>
    </w:p>
    <w:p w14:paraId="218CC16E" w14:textId="77777777" w:rsidR="00B657ED" w:rsidRPr="001C70AD" w:rsidRDefault="00B657ED" w:rsidP="00B657ED">
      <w:pPr>
        <w:spacing w:line="360" w:lineRule="auto"/>
        <w:jc w:val="both"/>
        <w:rPr>
          <w:rFonts w:ascii="David" w:hAnsi="David"/>
          <w:rtl/>
        </w:rPr>
      </w:pPr>
    </w:p>
    <w:p w14:paraId="2FE55A86" w14:textId="77777777" w:rsidR="00B657ED" w:rsidRPr="001140BF" w:rsidRDefault="00B657ED" w:rsidP="00B657ED">
      <w:pPr>
        <w:rPr>
          <w:rFonts w:ascii="David" w:hAnsi="David"/>
          <w:b/>
          <w:bCs/>
          <w:u w:val="single"/>
          <w:rtl/>
        </w:rPr>
      </w:pPr>
      <w:r w:rsidRPr="001140BF">
        <w:rPr>
          <w:rFonts w:ascii="David" w:hAnsi="David"/>
          <w:b/>
          <w:bCs/>
          <w:u w:val="single"/>
          <w:rtl/>
        </w:rPr>
        <w:t>תסקיר שירות המבחן</w:t>
      </w:r>
    </w:p>
    <w:p w14:paraId="0CCE9E0D" w14:textId="77777777" w:rsidR="00B657ED" w:rsidRPr="001C70AD" w:rsidRDefault="00B657ED" w:rsidP="00B657ED">
      <w:pPr>
        <w:rPr>
          <w:rFonts w:ascii="David" w:hAnsi="David"/>
          <w:b/>
          <w:bCs/>
          <w:rtl/>
        </w:rPr>
      </w:pPr>
    </w:p>
    <w:p w14:paraId="6D920441" w14:textId="77777777" w:rsidR="00B657ED" w:rsidRDefault="00B657ED" w:rsidP="00B657ED">
      <w:pPr>
        <w:spacing w:line="360" w:lineRule="auto"/>
        <w:jc w:val="both"/>
        <w:rPr>
          <w:rFonts w:ascii="David" w:hAnsi="David"/>
          <w:rtl/>
        </w:rPr>
      </w:pPr>
      <w:r>
        <w:rPr>
          <w:rFonts w:ascii="David" w:hAnsi="David" w:hint="cs"/>
          <w:rtl/>
        </w:rPr>
        <w:t xml:space="preserve">בעניינו של הנאשם נערך תסקיר לעניין העונש. </w:t>
      </w:r>
    </w:p>
    <w:p w14:paraId="15BA1FE9" w14:textId="77777777" w:rsidR="00B657ED" w:rsidRDefault="00B657ED" w:rsidP="00B657ED">
      <w:pPr>
        <w:spacing w:line="360" w:lineRule="auto"/>
        <w:jc w:val="both"/>
        <w:rPr>
          <w:rFonts w:ascii="David" w:hAnsi="David"/>
          <w:rtl/>
        </w:rPr>
      </w:pPr>
    </w:p>
    <w:p w14:paraId="2066EF82" w14:textId="77777777" w:rsidR="00B657ED" w:rsidRPr="001C70AD" w:rsidRDefault="00B657ED" w:rsidP="00B657ED">
      <w:pPr>
        <w:spacing w:line="360" w:lineRule="auto"/>
        <w:jc w:val="both"/>
        <w:rPr>
          <w:rFonts w:ascii="David" w:hAnsi="David"/>
          <w:rtl/>
        </w:rPr>
      </w:pPr>
      <w:r w:rsidRPr="001C70AD">
        <w:rPr>
          <w:rFonts w:ascii="David" w:hAnsi="David"/>
          <w:rtl/>
        </w:rPr>
        <w:t xml:space="preserve">בתסקיר, </w:t>
      </w:r>
      <w:r>
        <w:rPr>
          <w:rFonts w:ascii="David" w:hAnsi="David" w:hint="cs"/>
          <w:rtl/>
        </w:rPr>
        <w:t xml:space="preserve">קצינת </w:t>
      </w:r>
      <w:r w:rsidRPr="001C70AD">
        <w:rPr>
          <w:rFonts w:ascii="David" w:hAnsi="David"/>
          <w:rtl/>
        </w:rPr>
        <w:t xml:space="preserve">המבחן </w:t>
      </w:r>
      <w:r>
        <w:rPr>
          <w:rFonts w:ascii="David" w:hAnsi="David" w:hint="cs"/>
          <w:rtl/>
        </w:rPr>
        <w:t>מציינת</w:t>
      </w:r>
      <w:r w:rsidRPr="001C70AD">
        <w:rPr>
          <w:rFonts w:ascii="David" w:hAnsi="David"/>
          <w:rtl/>
        </w:rPr>
        <w:t xml:space="preserve"> כי הנאשם בן 30, רווק, וטרם מעצרו היה דר רחוב. הנאשם </w:t>
      </w:r>
      <w:r>
        <w:rPr>
          <w:rFonts w:ascii="David" w:hAnsi="David" w:hint="cs"/>
          <w:rtl/>
        </w:rPr>
        <w:t>גדל</w:t>
      </w:r>
      <w:r w:rsidRPr="001C70AD">
        <w:rPr>
          <w:rFonts w:ascii="David" w:hAnsi="David"/>
          <w:rtl/>
        </w:rPr>
        <w:t xml:space="preserve"> בבית בו אווירה משפחתית של התפרצויות זעם ותוקפנות מצד האם, לאור היותה מתמודדת נפש. הוריו </w:t>
      </w:r>
      <w:r>
        <w:rPr>
          <w:rFonts w:ascii="David" w:hAnsi="David" w:hint="cs"/>
          <w:rtl/>
        </w:rPr>
        <w:t>התגרשו כאשר היה נער ו</w:t>
      </w:r>
      <w:r w:rsidRPr="001C70AD">
        <w:rPr>
          <w:rFonts w:ascii="David" w:hAnsi="David"/>
          <w:rtl/>
        </w:rPr>
        <w:t xml:space="preserve">אביו </w:t>
      </w:r>
      <w:r>
        <w:rPr>
          <w:rFonts w:ascii="David" w:hAnsi="David" w:hint="cs"/>
          <w:rtl/>
        </w:rPr>
        <w:t xml:space="preserve">ניתק קשר </w:t>
      </w:r>
      <w:r w:rsidRPr="001C70AD">
        <w:rPr>
          <w:rFonts w:ascii="David" w:hAnsi="David"/>
          <w:rtl/>
        </w:rPr>
        <w:t>עם המשפחה</w:t>
      </w:r>
      <w:r>
        <w:rPr>
          <w:rFonts w:ascii="David" w:hAnsi="David" w:hint="cs"/>
          <w:rtl/>
        </w:rPr>
        <w:t>, דבר שהיווה עבור הנאשם אירוע משברי</w:t>
      </w:r>
      <w:r w:rsidRPr="001C70AD">
        <w:rPr>
          <w:rFonts w:ascii="David" w:hAnsi="David"/>
          <w:rtl/>
        </w:rPr>
        <w:t>.</w:t>
      </w:r>
      <w:r>
        <w:rPr>
          <w:rFonts w:ascii="David" w:hAnsi="David" w:hint="cs"/>
          <w:rtl/>
        </w:rPr>
        <w:t xml:space="preserve"> הנאשם אף ציין כי אובחן עם קשיי קשב וריכוז וכי בהיותו בן 17 יצר קשר עם חברה שולית וניהל אורח חיים המאופיין בפריצת גבולות. </w:t>
      </w:r>
    </w:p>
    <w:p w14:paraId="27FF1B1B" w14:textId="77777777" w:rsidR="00B657ED" w:rsidRPr="001C70AD" w:rsidRDefault="00B657ED" w:rsidP="00B657ED">
      <w:pPr>
        <w:spacing w:line="360" w:lineRule="auto"/>
        <w:jc w:val="both"/>
        <w:rPr>
          <w:rFonts w:ascii="David" w:hAnsi="David"/>
          <w:rtl/>
        </w:rPr>
      </w:pPr>
    </w:p>
    <w:p w14:paraId="00BF9C3A" w14:textId="77777777" w:rsidR="00B657ED" w:rsidRPr="001C70AD" w:rsidRDefault="00B657ED" w:rsidP="00B657ED">
      <w:pPr>
        <w:spacing w:line="360" w:lineRule="auto"/>
        <w:jc w:val="both"/>
        <w:rPr>
          <w:rFonts w:ascii="David" w:hAnsi="David"/>
          <w:rtl/>
        </w:rPr>
      </w:pPr>
      <w:r>
        <w:rPr>
          <w:rFonts w:ascii="David" w:hAnsi="David" w:hint="cs"/>
          <w:rtl/>
        </w:rPr>
        <w:t>הנאשם מסר לקצינת המבחן כי בתחילת חייו הבוגרים החל לעשות באופן יומיומי בסמים, אך כאשר הגיע לגיל 23 הפסיק לחלוטין את השימוש בהם. כן צוין כי הנאשם השלים שירות צבאי מלא, על אף הקושי שהיה כרוך בכך עבורו.</w:t>
      </w:r>
    </w:p>
    <w:p w14:paraId="51D90023" w14:textId="77777777" w:rsidR="00B657ED" w:rsidRDefault="00B657ED" w:rsidP="00B657ED">
      <w:pPr>
        <w:spacing w:line="360" w:lineRule="auto"/>
        <w:jc w:val="both"/>
        <w:rPr>
          <w:rFonts w:ascii="David" w:hAnsi="David"/>
          <w:rtl/>
        </w:rPr>
      </w:pPr>
    </w:p>
    <w:p w14:paraId="0CE718DC" w14:textId="77777777" w:rsidR="00B657ED" w:rsidRDefault="00B657ED" w:rsidP="00B657ED">
      <w:pPr>
        <w:spacing w:line="360" w:lineRule="auto"/>
        <w:jc w:val="both"/>
        <w:rPr>
          <w:rFonts w:ascii="David" w:hAnsi="David"/>
          <w:rtl/>
        </w:rPr>
      </w:pPr>
      <w:r>
        <w:rPr>
          <w:rFonts w:ascii="David" w:hAnsi="David" w:hint="cs"/>
          <w:rtl/>
        </w:rPr>
        <w:t xml:space="preserve">התסקיר אף סוקר את מצבו הנפשי של הנאשם, בהתאם לחוות דעת הפסיכיאטרית מיום 16.04.2024, ממנה עלה כי הנאשם אושפז לראשונה בשנת 2017 בעקבות חשד לפסיכוזה, על רקע שימוש בסמים. לאחר מספר ימים, שוחרר בעקבות הטבה במצבו. עוד צוין כי התנהגותו אופיינה בביזאריות, תפקוד ירוד, התנהגות בלתי צפויה, מאיימת ותוקפנית ונכונות נמוכה לשיתוף פעולה עם סביבתו. בשנת 2020 אושפז שוב הנאשם בכפייה בעקבות מצב פסיכוטי המלווה בהתנהגות תוקפנית. במהלך האשפוז, הועבר לטיפול במחלקה לתחלואה כפולה לצורך גמילה, אולם לאחר שחרור לא הקפיד על המשך טיפול ומעקב במרפאה האמבולטורית. לאחר מכן, אושפז שוב על רקע מצבו הנפשי </w:t>
      </w:r>
      <w:r>
        <w:rPr>
          <w:rFonts w:ascii="David" w:hAnsi="David" w:hint="cs"/>
          <w:rtl/>
        </w:rPr>
        <w:lastRenderedPageBreak/>
        <w:t>ארבע פעמים, האחרונה בשנת 2022, לאחריה שולב בתוכנית שיקומית באמצעות "סל שיקום" של משרד הבריאות.</w:t>
      </w:r>
    </w:p>
    <w:p w14:paraId="18B15C35" w14:textId="77777777" w:rsidR="00B657ED" w:rsidRDefault="00B657ED" w:rsidP="00B657ED">
      <w:pPr>
        <w:spacing w:line="360" w:lineRule="auto"/>
        <w:jc w:val="both"/>
        <w:rPr>
          <w:rFonts w:ascii="David" w:hAnsi="David"/>
          <w:rtl/>
        </w:rPr>
      </w:pPr>
    </w:p>
    <w:p w14:paraId="672B1E24" w14:textId="77777777" w:rsidR="00B657ED" w:rsidRPr="001C70AD" w:rsidRDefault="00B657ED" w:rsidP="00B657ED">
      <w:pPr>
        <w:spacing w:line="360" w:lineRule="auto"/>
        <w:jc w:val="both"/>
        <w:rPr>
          <w:rFonts w:ascii="David" w:hAnsi="David"/>
          <w:rtl/>
        </w:rPr>
      </w:pPr>
      <w:r>
        <w:rPr>
          <w:rFonts w:ascii="David" w:hAnsi="David" w:hint="cs"/>
          <w:rtl/>
        </w:rPr>
        <w:t>עוד עמדה קצינת המבחן על ה</w:t>
      </w:r>
      <w:r w:rsidRPr="001C70AD">
        <w:rPr>
          <w:rFonts w:ascii="David" w:hAnsi="David"/>
          <w:rtl/>
        </w:rPr>
        <w:t xml:space="preserve">רקע </w:t>
      </w:r>
      <w:r>
        <w:rPr>
          <w:rFonts w:ascii="David" w:hAnsi="David" w:hint="cs"/>
          <w:rtl/>
        </w:rPr>
        <w:t>ה</w:t>
      </w:r>
      <w:r w:rsidRPr="001C70AD">
        <w:rPr>
          <w:rFonts w:ascii="David" w:hAnsi="David"/>
          <w:rtl/>
        </w:rPr>
        <w:t xml:space="preserve">פסיכו-סוציאלי </w:t>
      </w:r>
      <w:r>
        <w:rPr>
          <w:rFonts w:ascii="David" w:hAnsi="David" w:hint="cs"/>
          <w:rtl/>
        </w:rPr>
        <w:t>ה</w:t>
      </w:r>
      <w:r w:rsidRPr="001C70AD">
        <w:rPr>
          <w:rFonts w:ascii="David" w:hAnsi="David"/>
          <w:rtl/>
        </w:rPr>
        <w:t>מורכב אשר עמד בר</w:t>
      </w:r>
      <w:r>
        <w:rPr>
          <w:rFonts w:ascii="David" w:hAnsi="David"/>
          <w:rtl/>
        </w:rPr>
        <w:t xml:space="preserve">קע ביצוע העבירה בתיק דנן, </w:t>
      </w:r>
      <w:r>
        <w:rPr>
          <w:rFonts w:ascii="David" w:hAnsi="David" w:hint="cs"/>
          <w:rtl/>
        </w:rPr>
        <w:t xml:space="preserve">וכן על העובדה כי </w:t>
      </w:r>
      <w:r w:rsidRPr="001C70AD">
        <w:rPr>
          <w:rFonts w:ascii="David" w:hAnsi="David"/>
          <w:rtl/>
        </w:rPr>
        <w:t>הנאשם מתמודד עם תחלואה כפולה של התמכרות לסמים והפרעה סכיזו-אפקטיבית</w:t>
      </w:r>
      <w:r>
        <w:rPr>
          <w:rFonts w:ascii="David" w:hAnsi="David" w:hint="cs"/>
          <w:rtl/>
        </w:rPr>
        <w:t>,</w:t>
      </w:r>
      <w:r w:rsidRPr="001C70AD">
        <w:rPr>
          <w:rFonts w:ascii="David" w:hAnsi="David"/>
          <w:rtl/>
        </w:rPr>
        <w:t xml:space="preserve"> בהיותו שרוי ללא טיפול תרופתי.</w:t>
      </w:r>
    </w:p>
    <w:p w14:paraId="7C303074" w14:textId="77777777" w:rsidR="00B657ED" w:rsidRPr="001C70AD" w:rsidRDefault="00B657ED" w:rsidP="00B657ED">
      <w:pPr>
        <w:spacing w:line="360" w:lineRule="auto"/>
        <w:jc w:val="both"/>
        <w:rPr>
          <w:rFonts w:ascii="David" w:hAnsi="David"/>
          <w:rtl/>
        </w:rPr>
      </w:pPr>
    </w:p>
    <w:p w14:paraId="5FBFC920" w14:textId="77777777" w:rsidR="00B657ED" w:rsidRPr="001C70AD" w:rsidRDefault="00B657ED" w:rsidP="00B657ED">
      <w:pPr>
        <w:spacing w:line="360" w:lineRule="auto"/>
        <w:jc w:val="both"/>
        <w:rPr>
          <w:rFonts w:ascii="David" w:hAnsi="David"/>
          <w:rtl/>
        </w:rPr>
      </w:pPr>
      <w:r>
        <w:rPr>
          <w:rFonts w:ascii="David" w:hAnsi="David" w:hint="cs"/>
          <w:rtl/>
        </w:rPr>
        <w:t xml:space="preserve">בהיבטי הסיכון, </w:t>
      </w:r>
      <w:r>
        <w:rPr>
          <w:rFonts w:ascii="David" w:hAnsi="David"/>
          <w:rtl/>
        </w:rPr>
        <w:t>קצי</w:t>
      </w:r>
      <w:r>
        <w:rPr>
          <w:rFonts w:ascii="David" w:hAnsi="David" w:hint="cs"/>
          <w:rtl/>
        </w:rPr>
        <w:t>נת</w:t>
      </w:r>
      <w:r w:rsidRPr="001C70AD">
        <w:rPr>
          <w:rFonts w:ascii="David" w:hAnsi="David"/>
          <w:rtl/>
        </w:rPr>
        <w:t xml:space="preserve"> המבחן </w:t>
      </w:r>
      <w:r>
        <w:rPr>
          <w:rFonts w:ascii="David" w:hAnsi="David" w:hint="cs"/>
          <w:rtl/>
        </w:rPr>
        <w:t xml:space="preserve">התרשמה </w:t>
      </w:r>
      <w:r w:rsidRPr="001C70AD">
        <w:rPr>
          <w:rFonts w:ascii="David" w:hAnsi="David"/>
          <w:rtl/>
        </w:rPr>
        <w:t xml:space="preserve">כי קיים סיכון להישנות התנהגות פורצת גבולות חוק, בפרט בעבירות אלימות ועבירות </w:t>
      </w:r>
      <w:r>
        <w:rPr>
          <w:rFonts w:ascii="David" w:hAnsi="David" w:hint="cs"/>
          <w:rtl/>
        </w:rPr>
        <w:t xml:space="preserve">לפי </w:t>
      </w:r>
      <w:hyperlink r:id="rId13" w:history="1">
        <w:r w:rsidR="00921F90" w:rsidRPr="00921F90">
          <w:rPr>
            <w:rFonts w:ascii="David" w:hAnsi="David"/>
            <w:color w:val="0000FF"/>
            <w:u w:val="single"/>
            <w:rtl/>
          </w:rPr>
          <w:t>פקודת הסמים המסוכנים</w:t>
        </w:r>
      </w:hyperlink>
      <w:r w:rsidRPr="001C70AD">
        <w:rPr>
          <w:rFonts w:ascii="David" w:hAnsi="David"/>
          <w:rtl/>
        </w:rPr>
        <w:t xml:space="preserve">. </w:t>
      </w:r>
    </w:p>
    <w:p w14:paraId="5B93BB8C" w14:textId="77777777" w:rsidR="00B657ED" w:rsidRPr="001C70AD" w:rsidRDefault="00B657ED" w:rsidP="00B657ED">
      <w:pPr>
        <w:spacing w:line="360" w:lineRule="auto"/>
        <w:jc w:val="both"/>
        <w:rPr>
          <w:rFonts w:ascii="David" w:hAnsi="David"/>
          <w:rtl/>
        </w:rPr>
      </w:pPr>
    </w:p>
    <w:p w14:paraId="4D8ECB6A" w14:textId="77777777" w:rsidR="00B657ED" w:rsidRPr="001C70AD" w:rsidRDefault="00B657ED" w:rsidP="00B657ED">
      <w:pPr>
        <w:spacing w:line="360" w:lineRule="auto"/>
        <w:jc w:val="both"/>
        <w:rPr>
          <w:rFonts w:ascii="David" w:hAnsi="David"/>
          <w:rtl/>
        </w:rPr>
      </w:pPr>
      <w:r>
        <w:rPr>
          <w:rFonts w:ascii="David" w:hAnsi="David" w:hint="cs"/>
          <w:rtl/>
        </w:rPr>
        <w:t xml:space="preserve">קצינת </w:t>
      </w:r>
      <w:r w:rsidRPr="001C70AD">
        <w:rPr>
          <w:rFonts w:ascii="David" w:hAnsi="David"/>
          <w:rtl/>
        </w:rPr>
        <w:t>המבחן</w:t>
      </w:r>
      <w:r>
        <w:rPr>
          <w:rFonts w:ascii="David" w:hAnsi="David" w:hint="cs"/>
          <w:rtl/>
        </w:rPr>
        <w:t xml:space="preserve"> הוסיפה</w:t>
      </w:r>
      <w:r w:rsidRPr="001C70AD">
        <w:rPr>
          <w:rFonts w:ascii="David" w:hAnsi="David"/>
          <w:rtl/>
        </w:rPr>
        <w:t xml:space="preserve"> כי נוכח העובדה שבעבר הנאשם הצליח לשמור על יציבות בטיפול במסגרת "סל שיקום", תהליך טיפולי ייעודי ממושך ואינטנסיבי במסגרת </w:t>
      </w:r>
      <w:r w:rsidRPr="001C70AD">
        <w:rPr>
          <w:rFonts w:ascii="David" w:hAnsi="David" w:hint="cs"/>
          <w:rtl/>
        </w:rPr>
        <w:t>פנימ</w:t>
      </w:r>
      <w:r>
        <w:rPr>
          <w:rFonts w:ascii="David" w:hAnsi="David" w:hint="cs"/>
          <w:rtl/>
        </w:rPr>
        <w:t>י</w:t>
      </w:r>
      <w:r w:rsidRPr="001C70AD">
        <w:rPr>
          <w:rFonts w:ascii="David" w:hAnsi="David" w:hint="cs"/>
          <w:rtl/>
        </w:rPr>
        <w:t>יתי</w:t>
      </w:r>
      <w:r>
        <w:rPr>
          <w:rFonts w:ascii="David" w:hAnsi="David" w:hint="cs"/>
          <w:rtl/>
        </w:rPr>
        <w:t>ת</w:t>
      </w:r>
      <w:r w:rsidRPr="001C70AD">
        <w:rPr>
          <w:rFonts w:ascii="David" w:hAnsi="David"/>
          <w:rtl/>
        </w:rPr>
        <w:t xml:space="preserve"> בתחום התמכרויות יוכל לסייע ל</w:t>
      </w:r>
      <w:r>
        <w:rPr>
          <w:rFonts w:ascii="David" w:hAnsi="David" w:hint="cs"/>
          <w:rtl/>
        </w:rPr>
        <w:t>ו</w:t>
      </w:r>
      <w:r w:rsidRPr="001C70AD">
        <w:rPr>
          <w:rFonts w:ascii="David" w:hAnsi="David"/>
          <w:rtl/>
        </w:rPr>
        <w:t xml:space="preserve"> לערוך שינוי מהותי בחייו ובהתמכרותו</w:t>
      </w:r>
      <w:r>
        <w:rPr>
          <w:rFonts w:ascii="David" w:hAnsi="David" w:hint="cs"/>
          <w:rtl/>
        </w:rPr>
        <w:t>.</w:t>
      </w:r>
      <w:r>
        <w:rPr>
          <w:rFonts w:ascii="David" w:hAnsi="David"/>
          <w:rtl/>
        </w:rPr>
        <w:t xml:space="preserve"> </w:t>
      </w:r>
      <w:r>
        <w:rPr>
          <w:rFonts w:ascii="David" w:hAnsi="David" w:hint="cs"/>
          <w:rtl/>
        </w:rPr>
        <w:t>עם זאת, ל</w:t>
      </w:r>
      <w:r w:rsidRPr="001C70AD">
        <w:rPr>
          <w:rFonts w:ascii="David" w:hAnsi="David"/>
          <w:rtl/>
        </w:rPr>
        <w:t>אור העובדה כי הנאשם אינו תופ</w:t>
      </w:r>
      <w:r>
        <w:rPr>
          <w:rFonts w:ascii="David" w:hAnsi="David"/>
          <w:rtl/>
        </w:rPr>
        <w:t>ס עצמו כמי שיש לו בעי</w:t>
      </w:r>
      <w:r>
        <w:rPr>
          <w:rFonts w:ascii="David" w:hAnsi="David" w:hint="cs"/>
          <w:rtl/>
        </w:rPr>
        <w:t>ית</w:t>
      </w:r>
      <w:r>
        <w:rPr>
          <w:rFonts w:ascii="David" w:hAnsi="David"/>
          <w:rtl/>
        </w:rPr>
        <w:t xml:space="preserve"> התמכרות</w:t>
      </w:r>
      <w:r w:rsidRPr="001C70AD">
        <w:rPr>
          <w:rFonts w:ascii="David" w:hAnsi="David"/>
          <w:rtl/>
        </w:rPr>
        <w:t xml:space="preserve">, ההערכה </w:t>
      </w:r>
      <w:r>
        <w:rPr>
          <w:rFonts w:ascii="David" w:hAnsi="David" w:hint="cs"/>
          <w:rtl/>
        </w:rPr>
        <w:t xml:space="preserve">היא </w:t>
      </w:r>
      <w:r w:rsidRPr="001C70AD">
        <w:rPr>
          <w:rFonts w:ascii="David" w:hAnsi="David"/>
          <w:rtl/>
        </w:rPr>
        <w:t xml:space="preserve">כי כעת </w:t>
      </w:r>
      <w:r>
        <w:rPr>
          <w:rFonts w:ascii="David" w:hAnsi="David" w:hint="cs"/>
          <w:rtl/>
        </w:rPr>
        <w:t>הוא</w:t>
      </w:r>
      <w:r w:rsidRPr="001C70AD">
        <w:rPr>
          <w:rFonts w:ascii="David" w:hAnsi="David"/>
          <w:rtl/>
        </w:rPr>
        <w:t xml:space="preserve"> יתקשה לגייס את הכוחות הנדרשים לתהליך טיפולי מעמיק ויסודי בתחום ההתמכרויות</w:t>
      </w:r>
      <w:r>
        <w:rPr>
          <w:rFonts w:ascii="David" w:hAnsi="David" w:hint="cs"/>
          <w:rtl/>
        </w:rPr>
        <w:t xml:space="preserve"> כאמור</w:t>
      </w:r>
      <w:r w:rsidRPr="001C70AD">
        <w:rPr>
          <w:rFonts w:ascii="David" w:hAnsi="David"/>
          <w:rtl/>
        </w:rPr>
        <w:t>.</w:t>
      </w:r>
    </w:p>
    <w:p w14:paraId="7A1E8E60" w14:textId="77777777" w:rsidR="00B657ED" w:rsidRPr="001C70AD" w:rsidRDefault="00B657ED" w:rsidP="00B657ED">
      <w:pPr>
        <w:spacing w:line="360" w:lineRule="auto"/>
        <w:jc w:val="both"/>
        <w:rPr>
          <w:rFonts w:ascii="David" w:hAnsi="David"/>
          <w:rtl/>
        </w:rPr>
      </w:pPr>
    </w:p>
    <w:p w14:paraId="0148F629" w14:textId="77777777" w:rsidR="00B657ED" w:rsidRPr="001C70AD" w:rsidRDefault="00B657ED" w:rsidP="00B657ED">
      <w:pPr>
        <w:spacing w:line="360" w:lineRule="auto"/>
        <w:jc w:val="both"/>
        <w:rPr>
          <w:rFonts w:ascii="David" w:hAnsi="David"/>
          <w:rtl/>
        </w:rPr>
      </w:pPr>
      <w:r>
        <w:rPr>
          <w:rFonts w:ascii="David" w:hAnsi="David" w:hint="cs"/>
          <w:rtl/>
        </w:rPr>
        <w:t>לאור האמור, סוכמה חוות הדעת</w:t>
      </w:r>
      <w:r w:rsidRPr="001C70AD">
        <w:rPr>
          <w:rFonts w:ascii="David" w:hAnsi="David"/>
          <w:rtl/>
        </w:rPr>
        <w:t xml:space="preserve"> </w:t>
      </w:r>
      <w:r>
        <w:rPr>
          <w:rFonts w:ascii="David" w:hAnsi="David" w:hint="cs"/>
          <w:rtl/>
        </w:rPr>
        <w:t xml:space="preserve">ללא </w:t>
      </w:r>
      <w:r w:rsidRPr="001C70AD">
        <w:rPr>
          <w:rFonts w:ascii="David" w:hAnsi="David"/>
          <w:rtl/>
        </w:rPr>
        <w:t>המלצה לחלופת ענישה או המלצה טיפולית אשר תוכל להפחית את הסיכון במקרה דנן.</w:t>
      </w:r>
    </w:p>
    <w:p w14:paraId="67182AFB" w14:textId="77777777" w:rsidR="00B657ED" w:rsidRPr="001C70AD" w:rsidRDefault="00B657ED" w:rsidP="00B657ED">
      <w:pPr>
        <w:spacing w:line="360" w:lineRule="auto"/>
        <w:jc w:val="both"/>
        <w:rPr>
          <w:rFonts w:ascii="David" w:hAnsi="David"/>
          <w:rtl/>
        </w:rPr>
      </w:pPr>
    </w:p>
    <w:p w14:paraId="2535BFD8" w14:textId="77777777" w:rsidR="00B657ED" w:rsidRPr="001140BF" w:rsidRDefault="00B657ED" w:rsidP="00B657ED">
      <w:pPr>
        <w:spacing w:line="360" w:lineRule="auto"/>
        <w:jc w:val="both"/>
        <w:rPr>
          <w:rFonts w:ascii="David" w:hAnsi="David"/>
          <w:b/>
          <w:bCs/>
          <w:u w:val="single"/>
          <w:rtl/>
        </w:rPr>
      </w:pPr>
      <w:r w:rsidRPr="001140BF">
        <w:rPr>
          <w:rFonts w:ascii="David" w:hAnsi="David"/>
          <w:b/>
          <w:bCs/>
          <w:u w:val="single"/>
          <w:rtl/>
        </w:rPr>
        <w:t>טיעוני הצדדים לעונש</w:t>
      </w:r>
    </w:p>
    <w:p w14:paraId="1A0D8C8D" w14:textId="77777777" w:rsidR="00B657ED" w:rsidRPr="001C70AD" w:rsidRDefault="00B657ED" w:rsidP="00B657ED">
      <w:pPr>
        <w:spacing w:line="360" w:lineRule="auto"/>
        <w:jc w:val="both"/>
        <w:rPr>
          <w:rFonts w:ascii="David" w:hAnsi="David"/>
          <w:b/>
          <w:bCs/>
          <w:rtl/>
        </w:rPr>
      </w:pPr>
    </w:p>
    <w:p w14:paraId="14D5B0DA" w14:textId="77777777" w:rsidR="00B657ED" w:rsidRPr="001C70AD" w:rsidRDefault="00B657ED" w:rsidP="00B657ED">
      <w:pPr>
        <w:spacing w:line="360" w:lineRule="auto"/>
        <w:jc w:val="both"/>
        <w:rPr>
          <w:rFonts w:ascii="David" w:hAnsi="David"/>
          <w:b/>
          <w:bCs/>
          <w:rtl/>
        </w:rPr>
      </w:pPr>
      <w:r w:rsidRPr="001C70AD">
        <w:rPr>
          <w:rFonts w:ascii="David" w:hAnsi="David"/>
          <w:rtl/>
        </w:rPr>
        <w:t>בפתח טיעוניו לעונש</w:t>
      </w:r>
      <w:r>
        <w:rPr>
          <w:rFonts w:ascii="David" w:hAnsi="David" w:hint="cs"/>
          <w:rtl/>
        </w:rPr>
        <w:t>,</w:t>
      </w:r>
      <w:r w:rsidRPr="001C70AD">
        <w:rPr>
          <w:rFonts w:ascii="David" w:hAnsi="David"/>
          <w:rtl/>
        </w:rPr>
        <w:t xml:space="preserve"> </w:t>
      </w:r>
      <w:r>
        <w:rPr>
          <w:rFonts w:ascii="David" w:hAnsi="David" w:hint="cs"/>
          <w:rtl/>
        </w:rPr>
        <w:t>ציין</w:t>
      </w:r>
      <w:r w:rsidRPr="001C70AD">
        <w:rPr>
          <w:rFonts w:ascii="David" w:hAnsi="David"/>
          <w:rtl/>
        </w:rPr>
        <w:t xml:space="preserve"> ב"כ המאשימה כי לחובתו של הנאשם </w:t>
      </w:r>
      <w:r w:rsidRPr="00510FED">
        <w:rPr>
          <w:rFonts w:ascii="David" w:hAnsi="David"/>
          <w:rtl/>
        </w:rPr>
        <w:t xml:space="preserve">הרשעה אחת </w:t>
      </w:r>
      <w:r w:rsidRPr="00510FED">
        <w:rPr>
          <w:rFonts w:ascii="David" w:hAnsi="David" w:hint="cs"/>
          <w:rtl/>
        </w:rPr>
        <w:t xml:space="preserve">בעבירת רכוש </w:t>
      </w:r>
      <w:r w:rsidRPr="00510FED">
        <w:rPr>
          <w:rFonts w:ascii="David" w:hAnsi="David"/>
          <w:rtl/>
        </w:rPr>
        <w:t xml:space="preserve">משנת 2014, וכעת מצוי הנאשם בצו מרפאתי בגין </w:t>
      </w:r>
      <w:r w:rsidRPr="00510FED">
        <w:rPr>
          <w:rFonts w:ascii="David" w:hAnsi="David" w:hint="cs"/>
          <w:rtl/>
        </w:rPr>
        <w:t xml:space="preserve">עבירת </w:t>
      </w:r>
      <w:r w:rsidRPr="00510FED">
        <w:rPr>
          <w:rFonts w:ascii="David" w:hAnsi="David"/>
          <w:rtl/>
        </w:rPr>
        <w:t>חבלה חמורה משנת 2023.</w:t>
      </w:r>
    </w:p>
    <w:p w14:paraId="64EE5470" w14:textId="77777777" w:rsidR="00B657ED" w:rsidRPr="001C70AD" w:rsidRDefault="00B657ED" w:rsidP="00B657ED">
      <w:pPr>
        <w:spacing w:line="360" w:lineRule="auto"/>
        <w:rPr>
          <w:rFonts w:ascii="David" w:hAnsi="David"/>
          <w:b/>
          <w:bCs/>
          <w:rtl/>
        </w:rPr>
      </w:pPr>
    </w:p>
    <w:p w14:paraId="262A4433" w14:textId="77777777" w:rsidR="00B657ED" w:rsidRPr="001C70AD" w:rsidRDefault="00B657ED" w:rsidP="00B657ED">
      <w:pPr>
        <w:spacing w:line="360" w:lineRule="auto"/>
        <w:jc w:val="both"/>
        <w:rPr>
          <w:rFonts w:ascii="David" w:hAnsi="David"/>
          <w:rtl/>
        </w:rPr>
      </w:pPr>
      <w:r w:rsidRPr="001140BF">
        <w:rPr>
          <w:rFonts w:ascii="David" w:hAnsi="David"/>
          <w:b/>
          <w:bCs/>
          <w:rtl/>
        </w:rPr>
        <w:t>ב"כ המאשימה</w:t>
      </w:r>
      <w:r>
        <w:rPr>
          <w:rFonts w:ascii="David" w:hAnsi="David"/>
          <w:rtl/>
        </w:rPr>
        <w:t xml:space="preserve"> </w:t>
      </w:r>
      <w:r>
        <w:rPr>
          <w:rFonts w:ascii="David" w:hAnsi="David" w:hint="cs"/>
          <w:rtl/>
        </w:rPr>
        <w:t xml:space="preserve">ציין </w:t>
      </w:r>
      <w:r w:rsidRPr="001C70AD">
        <w:rPr>
          <w:rFonts w:ascii="David" w:hAnsi="David"/>
          <w:rtl/>
        </w:rPr>
        <w:t xml:space="preserve">כי הנאשם כבן 30, </w:t>
      </w:r>
      <w:r>
        <w:rPr>
          <w:rFonts w:ascii="David" w:hAnsi="David" w:hint="cs"/>
          <w:rtl/>
        </w:rPr>
        <w:t xml:space="preserve">אשר </w:t>
      </w:r>
      <w:r w:rsidRPr="001C70AD">
        <w:rPr>
          <w:rFonts w:ascii="David" w:hAnsi="David"/>
          <w:rtl/>
        </w:rPr>
        <w:t>ביצע את עבירת השוד כלפי אישה מבוגרת (כבת 75)</w:t>
      </w:r>
      <w:r>
        <w:rPr>
          <w:rFonts w:ascii="David" w:hAnsi="David" w:hint="cs"/>
          <w:rtl/>
        </w:rPr>
        <w:t xml:space="preserve">. נטען כי </w:t>
      </w:r>
      <w:r w:rsidRPr="001C70AD">
        <w:rPr>
          <w:rFonts w:ascii="David" w:hAnsi="David"/>
          <w:rtl/>
        </w:rPr>
        <w:t xml:space="preserve">פער הגילים, </w:t>
      </w:r>
      <w:r>
        <w:rPr>
          <w:rFonts w:ascii="David" w:hAnsi="David" w:hint="cs"/>
          <w:rtl/>
        </w:rPr>
        <w:t xml:space="preserve">אף מלמד על  </w:t>
      </w:r>
      <w:r w:rsidRPr="001C70AD">
        <w:rPr>
          <w:rFonts w:ascii="David" w:hAnsi="David"/>
          <w:rtl/>
        </w:rPr>
        <w:t>פערי כוחות אדירים בין הנאשם למתלוננת</w:t>
      </w:r>
      <w:r>
        <w:rPr>
          <w:rFonts w:ascii="David" w:hAnsi="David" w:hint="cs"/>
          <w:rtl/>
        </w:rPr>
        <w:t>, ומכאן המסוכנות המוגברת שבעבירה</w:t>
      </w:r>
      <w:r w:rsidRPr="001C70AD">
        <w:rPr>
          <w:rFonts w:ascii="David" w:hAnsi="David"/>
          <w:rtl/>
        </w:rPr>
        <w:t>.</w:t>
      </w:r>
      <w:r>
        <w:rPr>
          <w:rFonts w:ascii="David" w:hAnsi="David" w:hint="cs"/>
          <w:rtl/>
        </w:rPr>
        <w:t xml:space="preserve"> התובע הדגיש את פוטנציאל הנזק אשר היה עלול להיגרם למתלוננת, לאור העובדה הפשוטה כי בגילה גופה שברירי יותר.</w:t>
      </w:r>
    </w:p>
    <w:p w14:paraId="3E872781" w14:textId="77777777" w:rsidR="00B657ED" w:rsidRPr="001C70AD" w:rsidRDefault="00B657ED" w:rsidP="00B657ED">
      <w:pPr>
        <w:rPr>
          <w:rFonts w:ascii="David" w:hAnsi="David"/>
          <w:b/>
          <w:bCs/>
          <w:rtl/>
        </w:rPr>
      </w:pPr>
    </w:p>
    <w:p w14:paraId="62034492" w14:textId="77777777" w:rsidR="00B657ED" w:rsidRPr="001C70AD" w:rsidRDefault="00B657ED" w:rsidP="00B657ED">
      <w:pPr>
        <w:spacing w:line="360" w:lineRule="auto"/>
        <w:jc w:val="both"/>
        <w:rPr>
          <w:rFonts w:ascii="David" w:hAnsi="David"/>
          <w:rtl/>
        </w:rPr>
      </w:pPr>
      <w:r w:rsidRPr="001C70AD">
        <w:rPr>
          <w:rFonts w:ascii="David" w:hAnsi="David"/>
          <w:rtl/>
        </w:rPr>
        <w:t xml:space="preserve">התובע </w:t>
      </w:r>
      <w:r>
        <w:rPr>
          <w:rFonts w:ascii="David" w:hAnsi="David" w:hint="cs"/>
          <w:rtl/>
        </w:rPr>
        <w:t xml:space="preserve">עמד על נסיבות האירוע, כאשר </w:t>
      </w:r>
      <w:r w:rsidRPr="001C70AD">
        <w:rPr>
          <w:rFonts w:ascii="David" w:hAnsi="David"/>
          <w:rtl/>
        </w:rPr>
        <w:t xml:space="preserve">הנאשם </w:t>
      </w:r>
      <w:r>
        <w:rPr>
          <w:rFonts w:ascii="David" w:hAnsi="David" w:hint="cs"/>
          <w:rtl/>
        </w:rPr>
        <w:t xml:space="preserve">החליט לשדוד את המתלוננת, משך בחוזקה את התיק שלה והמשיך לעשות כן עד שהצליח ליטול את התיק על תכולתו, מבלי להתחשב כלל בנזק שנגרם למתלוננת. בעניין אחרון זה, צוין כי המתלוננת </w:t>
      </w:r>
      <w:r>
        <w:rPr>
          <w:rFonts w:ascii="David" w:hAnsi="David"/>
          <w:rtl/>
        </w:rPr>
        <w:t>נ</w:t>
      </w:r>
      <w:r>
        <w:rPr>
          <w:rFonts w:ascii="David" w:hAnsi="David" w:hint="cs"/>
          <w:rtl/>
        </w:rPr>
        <w:t xml:space="preserve">פלה </w:t>
      </w:r>
      <w:r>
        <w:rPr>
          <w:rFonts w:ascii="David" w:hAnsi="David"/>
          <w:rtl/>
        </w:rPr>
        <w:t>ונחבל</w:t>
      </w:r>
      <w:r>
        <w:rPr>
          <w:rFonts w:ascii="David" w:hAnsi="David" w:hint="cs"/>
          <w:rtl/>
        </w:rPr>
        <w:t>ה</w:t>
      </w:r>
      <w:r>
        <w:rPr>
          <w:rFonts w:ascii="David" w:hAnsi="David"/>
          <w:rtl/>
        </w:rPr>
        <w:t xml:space="preserve"> במספר מקומות בגו</w:t>
      </w:r>
      <w:r>
        <w:rPr>
          <w:rFonts w:ascii="David" w:hAnsi="David" w:hint="cs"/>
          <w:rtl/>
        </w:rPr>
        <w:t>ף</w:t>
      </w:r>
      <w:r w:rsidRPr="001C70AD">
        <w:rPr>
          <w:rFonts w:ascii="David" w:hAnsi="David"/>
          <w:rtl/>
        </w:rPr>
        <w:t xml:space="preserve">. </w:t>
      </w:r>
    </w:p>
    <w:p w14:paraId="326A8489" w14:textId="77777777" w:rsidR="00B657ED" w:rsidRPr="001C70AD" w:rsidRDefault="00B657ED" w:rsidP="00B657ED">
      <w:pPr>
        <w:spacing w:line="360" w:lineRule="auto"/>
        <w:jc w:val="both"/>
        <w:rPr>
          <w:rFonts w:ascii="David" w:hAnsi="David"/>
          <w:rtl/>
        </w:rPr>
      </w:pPr>
    </w:p>
    <w:p w14:paraId="3B6B3A09" w14:textId="77777777" w:rsidR="00B657ED" w:rsidRPr="001C70AD" w:rsidRDefault="00B657ED" w:rsidP="00B657ED">
      <w:pPr>
        <w:spacing w:line="360" w:lineRule="auto"/>
        <w:jc w:val="both"/>
        <w:rPr>
          <w:rFonts w:ascii="David" w:hAnsi="David"/>
          <w:rtl/>
        </w:rPr>
      </w:pPr>
      <w:r w:rsidRPr="001C70AD">
        <w:rPr>
          <w:rFonts w:ascii="David" w:hAnsi="David"/>
          <w:rtl/>
        </w:rPr>
        <w:t>לטענת התובע, במקום שהנאשם יחזור בו מזממו, יחדל ממעשיו ויגיש עזרה</w:t>
      </w:r>
      <w:r>
        <w:rPr>
          <w:rFonts w:ascii="David" w:hAnsi="David" w:hint="cs"/>
          <w:rtl/>
        </w:rPr>
        <w:t xml:space="preserve"> למתלוננת</w:t>
      </w:r>
      <w:r w:rsidRPr="001C70AD">
        <w:rPr>
          <w:rFonts w:ascii="David" w:hAnsi="David"/>
          <w:rtl/>
        </w:rPr>
        <w:t xml:space="preserve">, אשר יכולה להיות סבתו, הוא </w:t>
      </w:r>
      <w:r>
        <w:rPr>
          <w:rFonts w:ascii="David" w:hAnsi="David" w:hint="cs"/>
          <w:rtl/>
        </w:rPr>
        <w:t>המשיך במעשיו עד שהצליח</w:t>
      </w:r>
      <w:r>
        <w:rPr>
          <w:rFonts w:ascii="David" w:hAnsi="David"/>
          <w:rtl/>
        </w:rPr>
        <w:t xml:space="preserve"> </w:t>
      </w:r>
      <w:r>
        <w:rPr>
          <w:rFonts w:ascii="David" w:hAnsi="David" w:hint="cs"/>
          <w:rtl/>
        </w:rPr>
        <w:t>לקחת את</w:t>
      </w:r>
      <w:r w:rsidRPr="001C70AD">
        <w:rPr>
          <w:rFonts w:ascii="David" w:hAnsi="David"/>
          <w:rtl/>
        </w:rPr>
        <w:t xml:space="preserve"> התיק </w:t>
      </w:r>
      <w:r>
        <w:rPr>
          <w:rFonts w:ascii="David" w:hAnsi="David" w:hint="cs"/>
          <w:rtl/>
        </w:rPr>
        <w:t>ונמלט</w:t>
      </w:r>
      <w:r w:rsidRPr="001C70AD">
        <w:rPr>
          <w:rFonts w:ascii="David" w:hAnsi="David"/>
          <w:rtl/>
        </w:rPr>
        <w:t>.</w:t>
      </w:r>
    </w:p>
    <w:p w14:paraId="1B9E42F0" w14:textId="77777777" w:rsidR="00B657ED" w:rsidRPr="001C70AD" w:rsidRDefault="00B657ED" w:rsidP="00B657ED">
      <w:pPr>
        <w:spacing w:line="360" w:lineRule="auto"/>
        <w:jc w:val="both"/>
        <w:rPr>
          <w:rFonts w:ascii="David" w:hAnsi="David"/>
          <w:rtl/>
        </w:rPr>
      </w:pPr>
    </w:p>
    <w:p w14:paraId="217AB899" w14:textId="77777777" w:rsidR="00B657ED" w:rsidRPr="001C70AD" w:rsidRDefault="00B657ED" w:rsidP="00B657ED">
      <w:pPr>
        <w:spacing w:line="360" w:lineRule="auto"/>
        <w:jc w:val="both"/>
        <w:rPr>
          <w:rFonts w:ascii="David" w:hAnsi="David"/>
          <w:rtl/>
        </w:rPr>
      </w:pPr>
      <w:r w:rsidRPr="001C70AD">
        <w:rPr>
          <w:rFonts w:ascii="David" w:hAnsi="David"/>
          <w:rtl/>
        </w:rPr>
        <w:t xml:space="preserve">ב"כ המאשימה </w:t>
      </w:r>
      <w:r>
        <w:rPr>
          <w:rFonts w:ascii="David" w:hAnsi="David"/>
          <w:rtl/>
        </w:rPr>
        <w:t>ט</w:t>
      </w:r>
      <w:r w:rsidRPr="001C70AD">
        <w:rPr>
          <w:rFonts w:ascii="David" w:hAnsi="David"/>
          <w:rtl/>
        </w:rPr>
        <w:t xml:space="preserve">ען כי </w:t>
      </w:r>
      <w:r>
        <w:rPr>
          <w:rFonts w:ascii="David" w:hAnsi="David" w:hint="cs"/>
          <w:rtl/>
        </w:rPr>
        <w:t>מכלול ה</w:t>
      </w:r>
      <w:r w:rsidRPr="001C70AD">
        <w:rPr>
          <w:rFonts w:ascii="David" w:hAnsi="David"/>
          <w:rtl/>
        </w:rPr>
        <w:t xml:space="preserve">עובדות </w:t>
      </w:r>
      <w:r>
        <w:rPr>
          <w:rFonts w:ascii="David" w:hAnsi="David" w:hint="cs"/>
          <w:rtl/>
        </w:rPr>
        <w:t xml:space="preserve">האמורות מעיד </w:t>
      </w:r>
      <w:r w:rsidRPr="001C70AD">
        <w:rPr>
          <w:rFonts w:ascii="David" w:hAnsi="David"/>
          <w:rtl/>
        </w:rPr>
        <w:t xml:space="preserve">על המסוכנות, החוצפה והדבקות במשימה </w:t>
      </w:r>
      <w:r>
        <w:rPr>
          <w:rFonts w:ascii="David" w:hAnsi="David" w:hint="cs"/>
          <w:rtl/>
        </w:rPr>
        <w:t>של ה</w:t>
      </w:r>
      <w:r w:rsidRPr="001C70AD">
        <w:rPr>
          <w:rFonts w:ascii="David" w:hAnsi="David"/>
          <w:rtl/>
        </w:rPr>
        <w:t xml:space="preserve">נאשם, </w:t>
      </w:r>
      <w:r>
        <w:rPr>
          <w:rFonts w:ascii="David" w:hAnsi="David" w:hint="cs"/>
          <w:rtl/>
        </w:rPr>
        <w:t xml:space="preserve">אשר פעל כאמור </w:t>
      </w:r>
      <w:r w:rsidRPr="001C70AD">
        <w:rPr>
          <w:rFonts w:ascii="David" w:hAnsi="David"/>
          <w:rtl/>
        </w:rPr>
        <w:t xml:space="preserve">כשהוא מודע היטב לפסול </w:t>
      </w:r>
      <w:r>
        <w:rPr>
          <w:rFonts w:ascii="David" w:hAnsi="David" w:hint="cs"/>
          <w:rtl/>
        </w:rPr>
        <w:t>ש</w:t>
      </w:r>
      <w:r w:rsidRPr="001C70AD">
        <w:rPr>
          <w:rFonts w:ascii="David" w:hAnsi="David"/>
          <w:rtl/>
        </w:rPr>
        <w:t xml:space="preserve">במעשיו. התובע </w:t>
      </w:r>
      <w:r w:rsidRPr="00E11E41">
        <w:rPr>
          <w:rFonts w:ascii="David" w:hAnsi="David" w:hint="cs"/>
          <w:rtl/>
        </w:rPr>
        <w:t>הדגיש</w:t>
      </w:r>
      <w:r w:rsidRPr="001C70AD">
        <w:rPr>
          <w:rFonts w:ascii="David" w:hAnsi="David"/>
          <w:rtl/>
        </w:rPr>
        <w:t xml:space="preserve"> כי מעשי</w:t>
      </w:r>
      <w:r>
        <w:rPr>
          <w:rFonts w:ascii="David" w:hAnsi="David" w:hint="cs"/>
          <w:rtl/>
        </w:rPr>
        <w:t xml:space="preserve"> הנאשם </w:t>
      </w:r>
      <w:r>
        <w:rPr>
          <w:rFonts w:ascii="David" w:hAnsi="David"/>
          <w:rtl/>
        </w:rPr>
        <w:t>נעשו</w:t>
      </w:r>
      <w:r>
        <w:rPr>
          <w:rFonts w:ascii="David" w:hAnsi="David" w:hint="cs"/>
          <w:rtl/>
        </w:rPr>
        <w:t xml:space="preserve"> </w:t>
      </w:r>
      <w:r w:rsidRPr="001C70AD">
        <w:rPr>
          <w:rFonts w:ascii="David" w:hAnsi="David"/>
          <w:rtl/>
        </w:rPr>
        <w:t>באור יום, במרחב ציבורי</w:t>
      </w:r>
      <w:r>
        <w:rPr>
          <w:rFonts w:ascii="David" w:hAnsi="David" w:hint="cs"/>
          <w:rtl/>
        </w:rPr>
        <w:t>,</w:t>
      </w:r>
      <w:r w:rsidRPr="001C70AD">
        <w:rPr>
          <w:rFonts w:ascii="David" w:hAnsi="David"/>
          <w:rtl/>
        </w:rPr>
        <w:t xml:space="preserve"> </w:t>
      </w:r>
      <w:r>
        <w:rPr>
          <w:rFonts w:ascii="David" w:hAnsi="David" w:hint="cs"/>
          <w:rtl/>
        </w:rPr>
        <w:t xml:space="preserve">כלפי </w:t>
      </w:r>
      <w:r w:rsidRPr="001C70AD">
        <w:rPr>
          <w:rFonts w:ascii="David" w:hAnsi="David"/>
          <w:rtl/>
        </w:rPr>
        <w:t xml:space="preserve">מתלוננת אשר </w:t>
      </w:r>
      <w:r>
        <w:rPr>
          <w:rFonts w:ascii="David" w:hAnsi="David" w:hint="cs"/>
          <w:rtl/>
        </w:rPr>
        <w:t xml:space="preserve">נגרם לה </w:t>
      </w:r>
      <w:r>
        <w:rPr>
          <w:rFonts w:ascii="David" w:hAnsi="David"/>
          <w:rtl/>
        </w:rPr>
        <w:t>נזק רכוש</w:t>
      </w:r>
      <w:r>
        <w:rPr>
          <w:rFonts w:ascii="David" w:hAnsi="David" w:hint="cs"/>
          <w:rtl/>
        </w:rPr>
        <w:t>י, פיזי ונפשי.</w:t>
      </w:r>
    </w:p>
    <w:p w14:paraId="7C087D07" w14:textId="77777777" w:rsidR="00B657ED" w:rsidRPr="001C70AD" w:rsidRDefault="00B657ED" w:rsidP="00B657ED">
      <w:pPr>
        <w:spacing w:line="360" w:lineRule="auto"/>
        <w:jc w:val="both"/>
        <w:rPr>
          <w:rFonts w:ascii="David" w:hAnsi="David"/>
          <w:rtl/>
        </w:rPr>
      </w:pPr>
    </w:p>
    <w:p w14:paraId="6CB15F44" w14:textId="77777777" w:rsidR="00B657ED" w:rsidRPr="001C70AD" w:rsidRDefault="00B657ED" w:rsidP="00B657ED">
      <w:pPr>
        <w:spacing w:line="360" w:lineRule="auto"/>
        <w:jc w:val="both"/>
        <w:rPr>
          <w:rFonts w:ascii="David" w:hAnsi="David"/>
          <w:rtl/>
        </w:rPr>
      </w:pPr>
      <w:r>
        <w:rPr>
          <w:rFonts w:ascii="David" w:hAnsi="David" w:hint="cs"/>
          <w:rtl/>
        </w:rPr>
        <w:t xml:space="preserve">עוד נטען כי </w:t>
      </w:r>
      <w:r w:rsidRPr="001C70AD">
        <w:rPr>
          <w:rFonts w:ascii="David" w:hAnsi="David"/>
          <w:rtl/>
        </w:rPr>
        <w:t>בתי המשפט, בכלל</w:t>
      </w:r>
      <w:r>
        <w:rPr>
          <w:rFonts w:ascii="David" w:hAnsi="David" w:hint="cs"/>
          <w:rtl/>
        </w:rPr>
        <w:t>ם</w:t>
      </w:r>
      <w:r w:rsidRPr="001C70AD">
        <w:rPr>
          <w:rFonts w:ascii="David" w:hAnsi="David"/>
          <w:rtl/>
        </w:rPr>
        <w:t xml:space="preserve"> גם בית המשפט העליון, עמד</w:t>
      </w:r>
      <w:r>
        <w:rPr>
          <w:rFonts w:ascii="David" w:hAnsi="David" w:hint="cs"/>
          <w:rtl/>
        </w:rPr>
        <w:t>ו</w:t>
      </w:r>
      <w:r w:rsidRPr="001C70AD">
        <w:rPr>
          <w:rFonts w:ascii="David" w:hAnsi="David"/>
          <w:rtl/>
        </w:rPr>
        <w:t xml:space="preserve"> על חומרת עבירת השוד, במיוחד כ</w:t>
      </w:r>
      <w:r>
        <w:rPr>
          <w:rFonts w:ascii="David" w:hAnsi="David"/>
          <w:rtl/>
        </w:rPr>
        <w:t xml:space="preserve">שזאת מבוצעת כלפי אוכלוסייה </w:t>
      </w:r>
      <w:r>
        <w:rPr>
          <w:rFonts w:ascii="David" w:hAnsi="David" w:hint="cs"/>
          <w:rtl/>
        </w:rPr>
        <w:t>מבוגרת</w:t>
      </w:r>
      <w:r w:rsidRPr="001C70AD">
        <w:rPr>
          <w:rFonts w:ascii="David" w:hAnsi="David"/>
          <w:rtl/>
        </w:rPr>
        <w:t>, בדומה למקרה שבעניינ</w:t>
      </w:r>
      <w:r>
        <w:rPr>
          <w:rFonts w:ascii="David" w:hAnsi="David" w:hint="cs"/>
          <w:rtl/>
        </w:rPr>
        <w:t>נ</w:t>
      </w:r>
      <w:r w:rsidRPr="001C70AD">
        <w:rPr>
          <w:rFonts w:ascii="David" w:hAnsi="David"/>
          <w:rtl/>
        </w:rPr>
        <w:t>ו.</w:t>
      </w:r>
    </w:p>
    <w:p w14:paraId="6BA098EE" w14:textId="77777777" w:rsidR="00B657ED" w:rsidRPr="001C70AD" w:rsidRDefault="00B657ED" w:rsidP="00B657ED">
      <w:pPr>
        <w:spacing w:line="360" w:lineRule="auto"/>
        <w:jc w:val="both"/>
        <w:rPr>
          <w:rFonts w:ascii="David" w:hAnsi="David"/>
          <w:rtl/>
        </w:rPr>
      </w:pPr>
    </w:p>
    <w:p w14:paraId="0B17CB97" w14:textId="77777777" w:rsidR="00B657ED" w:rsidRDefault="00B657ED" w:rsidP="00B657ED">
      <w:pPr>
        <w:spacing w:line="360" w:lineRule="auto"/>
        <w:jc w:val="both"/>
        <w:rPr>
          <w:rFonts w:ascii="David" w:hAnsi="David"/>
          <w:rtl/>
        </w:rPr>
      </w:pPr>
      <w:r>
        <w:rPr>
          <w:rFonts w:ascii="David" w:hAnsi="David"/>
          <w:rtl/>
        </w:rPr>
        <w:t>בהמש</w:t>
      </w:r>
      <w:r>
        <w:rPr>
          <w:rFonts w:ascii="David" w:hAnsi="David" w:hint="cs"/>
          <w:rtl/>
        </w:rPr>
        <w:t>ך</w:t>
      </w:r>
      <w:r>
        <w:rPr>
          <w:rFonts w:ascii="David" w:hAnsi="David"/>
          <w:rtl/>
        </w:rPr>
        <w:t xml:space="preserve"> </w:t>
      </w:r>
      <w:r>
        <w:rPr>
          <w:rFonts w:ascii="David" w:hAnsi="David" w:hint="cs"/>
          <w:rtl/>
        </w:rPr>
        <w:t>התייחס התובע לעברו של הנאשם, לחובתו ה</w:t>
      </w:r>
      <w:r w:rsidRPr="001C70AD">
        <w:rPr>
          <w:rFonts w:ascii="David" w:hAnsi="David"/>
          <w:rtl/>
        </w:rPr>
        <w:t xml:space="preserve">רשעה </w:t>
      </w:r>
      <w:r>
        <w:rPr>
          <w:rFonts w:ascii="David" w:hAnsi="David" w:hint="cs"/>
          <w:rtl/>
        </w:rPr>
        <w:t>קודמת</w:t>
      </w:r>
      <w:r w:rsidRPr="001C70AD">
        <w:rPr>
          <w:rFonts w:ascii="David" w:hAnsi="David"/>
          <w:rtl/>
        </w:rPr>
        <w:t xml:space="preserve">. </w:t>
      </w:r>
      <w:r>
        <w:rPr>
          <w:rFonts w:ascii="David" w:hAnsi="David" w:hint="cs"/>
          <w:rtl/>
        </w:rPr>
        <w:t xml:space="preserve">בנוסף, הדגיש התובע כי </w:t>
      </w:r>
      <w:r w:rsidRPr="001C70AD">
        <w:rPr>
          <w:rFonts w:ascii="David" w:hAnsi="David"/>
          <w:rtl/>
        </w:rPr>
        <w:t>הנאשם אובחן כסובל מתחל</w:t>
      </w:r>
      <w:r>
        <w:rPr>
          <w:rFonts w:ascii="David" w:hAnsi="David"/>
          <w:rtl/>
        </w:rPr>
        <w:t>ואה כפולה, התמכרות והפרעה נפשית</w:t>
      </w:r>
      <w:r>
        <w:rPr>
          <w:rFonts w:ascii="David" w:hAnsi="David" w:hint="cs"/>
          <w:rtl/>
        </w:rPr>
        <w:t xml:space="preserve">, אך הוא </w:t>
      </w:r>
      <w:r w:rsidRPr="001C70AD">
        <w:rPr>
          <w:rFonts w:ascii="David" w:hAnsi="David"/>
          <w:rtl/>
        </w:rPr>
        <w:t xml:space="preserve">תופס </w:t>
      </w:r>
      <w:r>
        <w:rPr>
          <w:rFonts w:ascii="David" w:hAnsi="David" w:hint="cs"/>
          <w:rtl/>
        </w:rPr>
        <w:t xml:space="preserve">את </w:t>
      </w:r>
      <w:r w:rsidRPr="001C70AD">
        <w:rPr>
          <w:rFonts w:ascii="David" w:hAnsi="David"/>
          <w:rtl/>
        </w:rPr>
        <w:t>עצמו כ</w:t>
      </w:r>
      <w:r>
        <w:rPr>
          <w:rFonts w:ascii="David" w:hAnsi="David" w:hint="cs"/>
          <w:rtl/>
        </w:rPr>
        <w:t xml:space="preserve">מי </w:t>
      </w:r>
      <w:r w:rsidRPr="001C70AD">
        <w:rPr>
          <w:rFonts w:ascii="David" w:hAnsi="David"/>
          <w:rtl/>
        </w:rPr>
        <w:t>שלא נזקק לטיפול בתחום ההתמכרות</w:t>
      </w:r>
      <w:r>
        <w:rPr>
          <w:rFonts w:ascii="David" w:hAnsi="David" w:hint="cs"/>
          <w:rtl/>
        </w:rPr>
        <w:t>, דבר המוסיף לסיכון להישנות התנהגות אלימה</w:t>
      </w:r>
      <w:r w:rsidRPr="001C70AD">
        <w:rPr>
          <w:rFonts w:ascii="David" w:hAnsi="David"/>
          <w:rtl/>
        </w:rPr>
        <w:t>.</w:t>
      </w:r>
    </w:p>
    <w:p w14:paraId="2AEA0D57" w14:textId="77777777" w:rsidR="00B657ED" w:rsidRDefault="00B657ED" w:rsidP="00B657ED">
      <w:pPr>
        <w:spacing w:line="360" w:lineRule="auto"/>
        <w:jc w:val="both"/>
        <w:rPr>
          <w:rFonts w:ascii="David" w:hAnsi="David"/>
          <w:rtl/>
        </w:rPr>
      </w:pPr>
    </w:p>
    <w:p w14:paraId="700E7FE5" w14:textId="77777777" w:rsidR="00B657ED" w:rsidRDefault="00B657ED" w:rsidP="00B657ED">
      <w:pPr>
        <w:spacing w:line="360" w:lineRule="auto"/>
        <w:jc w:val="both"/>
        <w:rPr>
          <w:rFonts w:ascii="David" w:hAnsi="David"/>
          <w:rtl/>
        </w:rPr>
      </w:pPr>
      <w:r>
        <w:rPr>
          <w:rFonts w:ascii="David" w:hAnsi="David" w:hint="cs"/>
          <w:rtl/>
        </w:rPr>
        <w:t>לצד הקולא</w:t>
      </w:r>
      <w:r w:rsidRPr="001C70AD">
        <w:rPr>
          <w:rFonts w:ascii="David" w:hAnsi="David"/>
          <w:rtl/>
        </w:rPr>
        <w:t xml:space="preserve">, </w:t>
      </w:r>
      <w:r>
        <w:rPr>
          <w:rFonts w:ascii="David" w:hAnsi="David" w:hint="cs"/>
          <w:rtl/>
        </w:rPr>
        <w:t>ציין התובע את ה</w:t>
      </w:r>
      <w:r w:rsidRPr="001C70AD">
        <w:rPr>
          <w:rFonts w:ascii="David" w:hAnsi="David"/>
          <w:rtl/>
        </w:rPr>
        <w:t xml:space="preserve">הודאה בכתב </w:t>
      </w:r>
      <w:r>
        <w:rPr>
          <w:rFonts w:ascii="David" w:hAnsi="David" w:hint="cs"/>
          <w:rtl/>
        </w:rPr>
        <w:t>ה</w:t>
      </w:r>
      <w:r w:rsidRPr="001C70AD">
        <w:rPr>
          <w:rFonts w:ascii="David" w:hAnsi="David"/>
          <w:rtl/>
        </w:rPr>
        <w:t xml:space="preserve">אישום </w:t>
      </w:r>
      <w:r>
        <w:rPr>
          <w:rFonts w:ascii="David" w:hAnsi="David" w:hint="cs"/>
          <w:rtl/>
        </w:rPr>
        <w:t>ה</w:t>
      </w:r>
      <w:r w:rsidRPr="001C70AD">
        <w:rPr>
          <w:rFonts w:ascii="David" w:hAnsi="David"/>
          <w:rtl/>
        </w:rPr>
        <w:t xml:space="preserve">מתוקן וחיסכון בזמן שיפוטי יקר. </w:t>
      </w:r>
    </w:p>
    <w:p w14:paraId="774D645B" w14:textId="77777777" w:rsidR="00B657ED" w:rsidRDefault="00B657ED" w:rsidP="00B657ED">
      <w:pPr>
        <w:spacing w:line="360" w:lineRule="auto"/>
        <w:jc w:val="both"/>
        <w:rPr>
          <w:rFonts w:ascii="David" w:hAnsi="David"/>
          <w:rtl/>
        </w:rPr>
      </w:pPr>
    </w:p>
    <w:p w14:paraId="6F0FF41D" w14:textId="77777777" w:rsidR="00B657ED" w:rsidRPr="001C70AD" w:rsidRDefault="00B657ED" w:rsidP="00B657ED">
      <w:pPr>
        <w:spacing w:line="360" w:lineRule="auto"/>
        <w:jc w:val="both"/>
        <w:rPr>
          <w:rFonts w:ascii="David" w:hAnsi="David"/>
          <w:rtl/>
        </w:rPr>
      </w:pPr>
      <w:r>
        <w:rPr>
          <w:rFonts w:ascii="David" w:hAnsi="David" w:hint="cs"/>
          <w:rtl/>
        </w:rPr>
        <w:t xml:space="preserve">לבסוף, </w:t>
      </w:r>
      <w:r w:rsidRPr="001C70AD">
        <w:rPr>
          <w:rFonts w:ascii="David" w:hAnsi="David"/>
          <w:rtl/>
        </w:rPr>
        <w:t>ה</w:t>
      </w:r>
      <w:r>
        <w:rPr>
          <w:rFonts w:ascii="David" w:hAnsi="David" w:hint="cs"/>
          <w:rtl/>
        </w:rPr>
        <w:t>פנה ב"כ המאשימה</w:t>
      </w:r>
      <w:r w:rsidRPr="001C70AD">
        <w:rPr>
          <w:rFonts w:ascii="David" w:hAnsi="David"/>
          <w:rtl/>
        </w:rPr>
        <w:t xml:space="preserve"> </w:t>
      </w:r>
      <w:r>
        <w:rPr>
          <w:rFonts w:ascii="David" w:hAnsi="David" w:hint="cs"/>
          <w:rtl/>
        </w:rPr>
        <w:t>ל</w:t>
      </w:r>
      <w:r w:rsidRPr="001C70AD">
        <w:rPr>
          <w:rFonts w:ascii="David" w:hAnsi="David"/>
          <w:rtl/>
        </w:rPr>
        <w:t xml:space="preserve">סיכומי פסיקה רלוונטית, ממנה עולה </w:t>
      </w:r>
      <w:r>
        <w:rPr>
          <w:rFonts w:ascii="David" w:hAnsi="David" w:hint="cs"/>
          <w:rtl/>
        </w:rPr>
        <w:t xml:space="preserve">כי </w:t>
      </w:r>
      <w:r w:rsidRPr="001C70AD">
        <w:rPr>
          <w:rFonts w:ascii="David" w:hAnsi="David"/>
          <w:rtl/>
        </w:rPr>
        <w:t xml:space="preserve">העונש הראוי </w:t>
      </w:r>
      <w:r>
        <w:rPr>
          <w:rFonts w:ascii="David" w:hAnsi="David" w:hint="cs"/>
          <w:rtl/>
        </w:rPr>
        <w:t xml:space="preserve">בעניינו של הנאשם </w:t>
      </w:r>
      <w:r>
        <w:rPr>
          <w:rFonts w:ascii="David" w:hAnsi="David"/>
          <w:rtl/>
        </w:rPr>
        <w:t>נע בין 2.5 - 4 שנות מאסר</w:t>
      </w:r>
      <w:r>
        <w:rPr>
          <w:rFonts w:ascii="David" w:hAnsi="David" w:hint="cs"/>
          <w:rtl/>
        </w:rPr>
        <w:t xml:space="preserve"> בפועל, לצד מאסר מותנה משמעותי, קנס ופיצוי למתלוננת</w:t>
      </w:r>
      <w:r w:rsidRPr="001C70AD">
        <w:rPr>
          <w:rFonts w:ascii="David" w:hAnsi="David"/>
          <w:rtl/>
        </w:rPr>
        <w:t>.</w:t>
      </w:r>
      <w:r>
        <w:rPr>
          <w:rFonts w:ascii="David" w:hAnsi="David" w:hint="cs"/>
          <w:rtl/>
        </w:rPr>
        <w:t xml:space="preserve"> לגישתו, לנוכח כלל נסיבות העניין יש לקבוע את העונש </w:t>
      </w:r>
      <w:r w:rsidRPr="001C70AD">
        <w:rPr>
          <w:rFonts w:ascii="David" w:hAnsi="David"/>
          <w:rtl/>
        </w:rPr>
        <w:t>באמצע המתחם</w:t>
      </w:r>
      <w:r>
        <w:rPr>
          <w:rFonts w:ascii="David" w:hAnsi="David" w:hint="cs"/>
          <w:rtl/>
        </w:rPr>
        <w:t>.</w:t>
      </w:r>
    </w:p>
    <w:p w14:paraId="5214DC84" w14:textId="77777777" w:rsidR="00B657ED" w:rsidRPr="001C70AD" w:rsidRDefault="00B657ED" w:rsidP="00B657ED">
      <w:pPr>
        <w:rPr>
          <w:rFonts w:ascii="David" w:hAnsi="David"/>
          <w:b/>
          <w:bCs/>
          <w:rtl/>
        </w:rPr>
      </w:pPr>
    </w:p>
    <w:p w14:paraId="055CA805" w14:textId="77777777" w:rsidR="00B657ED" w:rsidRPr="001C70AD" w:rsidRDefault="00B657ED" w:rsidP="00B657ED">
      <w:pPr>
        <w:spacing w:line="360" w:lineRule="auto"/>
        <w:jc w:val="both"/>
        <w:rPr>
          <w:rFonts w:ascii="David" w:hAnsi="David"/>
          <w:b/>
          <w:bCs/>
          <w:rtl/>
        </w:rPr>
      </w:pPr>
      <w:r w:rsidRPr="00671513">
        <w:rPr>
          <w:rFonts w:ascii="David" w:hAnsi="David"/>
          <w:rtl/>
        </w:rPr>
        <w:t>בפתח דבריו הגיש</w:t>
      </w:r>
      <w:r w:rsidRPr="001C70AD">
        <w:rPr>
          <w:rFonts w:ascii="David" w:hAnsi="David"/>
          <w:b/>
          <w:bCs/>
          <w:rtl/>
        </w:rPr>
        <w:t xml:space="preserve"> ב"כ הנאשם </w:t>
      </w:r>
      <w:r w:rsidRPr="00671513">
        <w:rPr>
          <w:rFonts w:ascii="David" w:hAnsi="David" w:hint="cs"/>
          <w:rtl/>
        </w:rPr>
        <w:t>את</w:t>
      </w:r>
      <w:r>
        <w:rPr>
          <w:rFonts w:ascii="David" w:hAnsi="David" w:hint="cs"/>
          <w:b/>
          <w:bCs/>
          <w:rtl/>
        </w:rPr>
        <w:t xml:space="preserve"> </w:t>
      </w:r>
      <w:r w:rsidRPr="00671513">
        <w:rPr>
          <w:rFonts w:ascii="David" w:hAnsi="David"/>
          <w:rtl/>
        </w:rPr>
        <w:t xml:space="preserve">חוות </w:t>
      </w:r>
      <w:r>
        <w:rPr>
          <w:rFonts w:ascii="David" w:hAnsi="David" w:hint="cs"/>
          <w:rtl/>
        </w:rPr>
        <w:t>ה</w:t>
      </w:r>
      <w:r w:rsidRPr="00671513">
        <w:rPr>
          <w:rFonts w:ascii="David" w:hAnsi="David"/>
          <w:rtl/>
        </w:rPr>
        <w:t xml:space="preserve">דעת </w:t>
      </w:r>
      <w:r>
        <w:rPr>
          <w:rFonts w:ascii="David" w:hAnsi="David" w:hint="cs"/>
          <w:rtl/>
        </w:rPr>
        <w:t>ה</w:t>
      </w:r>
      <w:r w:rsidRPr="00671513">
        <w:rPr>
          <w:rFonts w:ascii="David" w:hAnsi="David"/>
          <w:rtl/>
        </w:rPr>
        <w:t>פסיכי</w:t>
      </w:r>
      <w:r>
        <w:rPr>
          <w:rFonts w:ascii="David" w:hAnsi="David"/>
          <w:rtl/>
        </w:rPr>
        <w:t>אטרית מיום</w:t>
      </w:r>
      <w:r w:rsidRPr="00671513">
        <w:rPr>
          <w:rFonts w:ascii="David" w:hAnsi="David"/>
          <w:rtl/>
        </w:rPr>
        <w:t xml:space="preserve"> 16.04.2024</w:t>
      </w:r>
      <w:r>
        <w:rPr>
          <w:rFonts w:ascii="David" w:hAnsi="David" w:hint="cs"/>
          <w:rtl/>
        </w:rPr>
        <w:t>, אליה התייחסה קצינת המבחן</w:t>
      </w:r>
      <w:r w:rsidRPr="00671513">
        <w:rPr>
          <w:rFonts w:ascii="David" w:hAnsi="David"/>
          <w:rtl/>
        </w:rPr>
        <w:t>.</w:t>
      </w:r>
    </w:p>
    <w:p w14:paraId="4EA68927" w14:textId="77777777" w:rsidR="00B657ED" w:rsidRPr="001C70AD" w:rsidRDefault="00B657ED" w:rsidP="00B657ED">
      <w:pPr>
        <w:rPr>
          <w:rFonts w:ascii="David" w:hAnsi="David"/>
          <w:b/>
          <w:bCs/>
          <w:rtl/>
        </w:rPr>
      </w:pPr>
    </w:p>
    <w:p w14:paraId="65E885FE" w14:textId="77777777" w:rsidR="00B657ED" w:rsidRDefault="00B657ED" w:rsidP="00B657ED">
      <w:pPr>
        <w:spacing w:line="360" w:lineRule="auto"/>
        <w:jc w:val="both"/>
        <w:rPr>
          <w:rFonts w:ascii="David" w:hAnsi="David"/>
          <w:rtl/>
        </w:rPr>
      </w:pPr>
      <w:r>
        <w:rPr>
          <w:rFonts w:ascii="David" w:hAnsi="David" w:hint="cs"/>
          <w:rtl/>
        </w:rPr>
        <w:t xml:space="preserve">לשיטת </w:t>
      </w:r>
      <w:r w:rsidRPr="00671513">
        <w:rPr>
          <w:rFonts w:ascii="David" w:hAnsi="David"/>
          <w:rtl/>
        </w:rPr>
        <w:t xml:space="preserve">ב"כ הנאשם </w:t>
      </w:r>
      <w:r>
        <w:rPr>
          <w:rFonts w:ascii="David" w:hAnsi="David" w:hint="cs"/>
          <w:rtl/>
        </w:rPr>
        <w:t>תיקו של הנאשם</w:t>
      </w:r>
      <w:r w:rsidRPr="001C70AD">
        <w:rPr>
          <w:rFonts w:ascii="David" w:hAnsi="David"/>
          <w:rtl/>
        </w:rPr>
        <w:t xml:space="preserve"> הוא </w:t>
      </w:r>
      <w:r>
        <w:rPr>
          <w:rFonts w:ascii="David" w:hAnsi="David" w:hint="cs"/>
          <w:rtl/>
        </w:rPr>
        <w:t xml:space="preserve">הרבה יותר </w:t>
      </w:r>
      <w:r w:rsidRPr="001C70AD">
        <w:rPr>
          <w:rFonts w:ascii="David" w:hAnsi="David"/>
          <w:rtl/>
        </w:rPr>
        <w:t>תיק סוציאלי מאשר תיק פלילי</w:t>
      </w:r>
      <w:r>
        <w:rPr>
          <w:rFonts w:ascii="David" w:hAnsi="David" w:hint="cs"/>
          <w:rtl/>
        </w:rPr>
        <w:t>.</w:t>
      </w:r>
      <w:r w:rsidRPr="001C70AD">
        <w:rPr>
          <w:rFonts w:ascii="David" w:hAnsi="David"/>
          <w:rtl/>
        </w:rPr>
        <w:t xml:space="preserve"> לטענתו</w:t>
      </w:r>
      <w:r>
        <w:rPr>
          <w:rFonts w:ascii="David" w:hAnsi="David" w:hint="cs"/>
          <w:rtl/>
        </w:rPr>
        <w:t>,</w:t>
      </w:r>
      <w:r w:rsidRPr="001C70AD">
        <w:rPr>
          <w:rFonts w:ascii="David" w:hAnsi="David"/>
          <w:rtl/>
        </w:rPr>
        <w:t xml:space="preserve"> הנאשם ביצע </w:t>
      </w:r>
      <w:r>
        <w:rPr>
          <w:rFonts w:ascii="David" w:hAnsi="David" w:hint="cs"/>
          <w:rtl/>
        </w:rPr>
        <w:t xml:space="preserve">אומנם </w:t>
      </w:r>
      <w:r w:rsidRPr="001C70AD">
        <w:rPr>
          <w:rFonts w:ascii="David" w:hAnsi="David"/>
          <w:rtl/>
        </w:rPr>
        <w:t>עבירה פלילית, אך הוא אינו עבריין</w:t>
      </w:r>
      <w:r>
        <w:rPr>
          <w:rFonts w:ascii="David" w:hAnsi="David" w:hint="cs"/>
          <w:rtl/>
        </w:rPr>
        <w:t>.</w:t>
      </w:r>
      <w:r w:rsidRPr="001C70AD">
        <w:rPr>
          <w:rFonts w:ascii="David" w:hAnsi="David"/>
          <w:rtl/>
        </w:rPr>
        <w:t xml:space="preserve"> מדובר באדם שמתמודד עם נסיבות חיים קשות, הסובל מתחלואה נפשית ומתחלואה נוספת</w:t>
      </w:r>
      <w:r>
        <w:rPr>
          <w:rFonts w:ascii="David" w:hAnsi="David" w:hint="cs"/>
          <w:rtl/>
        </w:rPr>
        <w:t>, אשר פעל ללא כוונת זדון מלאה</w:t>
      </w:r>
      <w:r w:rsidRPr="001C70AD">
        <w:rPr>
          <w:rFonts w:ascii="David" w:hAnsi="David"/>
          <w:rtl/>
        </w:rPr>
        <w:t>.</w:t>
      </w:r>
    </w:p>
    <w:p w14:paraId="24693F89" w14:textId="77777777" w:rsidR="00B657ED" w:rsidRPr="001C70AD" w:rsidRDefault="00B657ED" w:rsidP="00B657ED">
      <w:pPr>
        <w:spacing w:line="360" w:lineRule="auto"/>
        <w:jc w:val="both"/>
        <w:rPr>
          <w:rFonts w:ascii="David" w:hAnsi="David"/>
          <w:rtl/>
        </w:rPr>
      </w:pPr>
    </w:p>
    <w:p w14:paraId="74B73193" w14:textId="77777777" w:rsidR="00B657ED" w:rsidRPr="001C70AD" w:rsidRDefault="00B657ED" w:rsidP="00B657ED">
      <w:pPr>
        <w:spacing w:line="360" w:lineRule="auto"/>
        <w:jc w:val="both"/>
        <w:rPr>
          <w:rFonts w:ascii="David" w:hAnsi="David"/>
          <w:rtl/>
        </w:rPr>
      </w:pPr>
      <w:r w:rsidRPr="001C70AD">
        <w:rPr>
          <w:rFonts w:ascii="David" w:hAnsi="David"/>
          <w:rtl/>
        </w:rPr>
        <w:t xml:space="preserve">הסנגור </w:t>
      </w:r>
      <w:r>
        <w:rPr>
          <w:rFonts w:ascii="David" w:hAnsi="David" w:hint="cs"/>
          <w:rtl/>
        </w:rPr>
        <w:t>ציין</w:t>
      </w:r>
      <w:r w:rsidRPr="001C70AD">
        <w:rPr>
          <w:rFonts w:ascii="David" w:hAnsi="David"/>
          <w:rtl/>
        </w:rPr>
        <w:t xml:space="preserve"> כי הנאשם </w:t>
      </w:r>
      <w:r>
        <w:rPr>
          <w:rFonts w:ascii="David" w:hAnsi="David" w:hint="cs"/>
          <w:rtl/>
        </w:rPr>
        <w:t xml:space="preserve">נקלע לסיטואציה קשה שהביאה אותו לבצע את העבירה, כאשר הוא </w:t>
      </w:r>
      <w:r w:rsidRPr="001C70AD">
        <w:rPr>
          <w:rFonts w:ascii="David" w:hAnsi="David"/>
          <w:rtl/>
        </w:rPr>
        <w:t xml:space="preserve">שוכנע על ידי חבר </w:t>
      </w:r>
      <w:r>
        <w:rPr>
          <w:rFonts w:ascii="David" w:hAnsi="David" w:hint="cs"/>
          <w:rtl/>
        </w:rPr>
        <w:t xml:space="preserve">לעזוב את ההוסטל בו שהה ולעבור לגור </w:t>
      </w:r>
      <w:r>
        <w:rPr>
          <w:rFonts w:ascii="David" w:hAnsi="David"/>
          <w:rtl/>
        </w:rPr>
        <w:t>איתו</w:t>
      </w:r>
      <w:r>
        <w:rPr>
          <w:rFonts w:ascii="David" w:hAnsi="David" w:hint="cs"/>
          <w:rtl/>
        </w:rPr>
        <w:t>.</w:t>
      </w:r>
      <w:r w:rsidRPr="001C70AD">
        <w:rPr>
          <w:rFonts w:ascii="David" w:hAnsi="David"/>
          <w:rtl/>
        </w:rPr>
        <w:t xml:space="preserve"> האחרון ניצל </w:t>
      </w:r>
      <w:r>
        <w:rPr>
          <w:rFonts w:ascii="David" w:hAnsi="David" w:hint="cs"/>
          <w:rtl/>
        </w:rPr>
        <w:t>את הנאשם</w:t>
      </w:r>
      <w:r w:rsidRPr="001C70AD">
        <w:rPr>
          <w:rFonts w:ascii="David" w:hAnsi="David"/>
          <w:rtl/>
        </w:rPr>
        <w:t xml:space="preserve">, לקח </w:t>
      </w:r>
      <w:r>
        <w:rPr>
          <w:rFonts w:ascii="David" w:hAnsi="David"/>
          <w:rtl/>
        </w:rPr>
        <w:t xml:space="preserve">לו את כל </w:t>
      </w:r>
      <w:r>
        <w:rPr>
          <w:rFonts w:ascii="David" w:hAnsi="David" w:hint="cs"/>
          <w:rtl/>
        </w:rPr>
        <w:t xml:space="preserve">רכושו </w:t>
      </w:r>
      <w:r>
        <w:rPr>
          <w:rFonts w:ascii="David" w:hAnsi="David"/>
          <w:rtl/>
        </w:rPr>
        <w:t>ו</w:t>
      </w:r>
      <w:r>
        <w:rPr>
          <w:rFonts w:ascii="David" w:hAnsi="David" w:hint="cs"/>
          <w:rtl/>
        </w:rPr>
        <w:t xml:space="preserve">גירש אותו מדירתו, כך שהנאשם הפך להיות דר רחוב. הנאשם פעל על כן על רקע מצוקה נקודתית קשה, ולא מתוך דפוס עברייני. על כן, </w:t>
      </w:r>
      <w:r w:rsidRPr="001C70AD">
        <w:rPr>
          <w:rFonts w:ascii="David" w:hAnsi="David"/>
          <w:rtl/>
        </w:rPr>
        <w:t>ל</w:t>
      </w:r>
      <w:r>
        <w:rPr>
          <w:rFonts w:ascii="David" w:hAnsi="David" w:hint="cs"/>
          <w:rtl/>
        </w:rPr>
        <w:t xml:space="preserve">שיטת </w:t>
      </w:r>
      <w:r w:rsidRPr="001C70AD">
        <w:rPr>
          <w:rFonts w:ascii="David" w:hAnsi="David"/>
          <w:rtl/>
        </w:rPr>
        <w:t xml:space="preserve">הסנגור, עסקינן באירוע ספונטני </w:t>
      </w:r>
      <w:r>
        <w:rPr>
          <w:rFonts w:ascii="David" w:hAnsi="David" w:hint="cs"/>
          <w:rtl/>
        </w:rPr>
        <w:t>ו</w:t>
      </w:r>
      <w:r w:rsidRPr="001C70AD">
        <w:rPr>
          <w:rFonts w:ascii="David" w:hAnsi="David"/>
          <w:rtl/>
        </w:rPr>
        <w:t>לא מתוכנן</w:t>
      </w:r>
      <w:r>
        <w:rPr>
          <w:rFonts w:ascii="David" w:hAnsi="David" w:hint="cs"/>
          <w:rtl/>
        </w:rPr>
        <w:t xml:space="preserve">, במסגרתו, </w:t>
      </w:r>
      <w:r w:rsidRPr="001C70AD">
        <w:rPr>
          <w:rFonts w:ascii="David" w:hAnsi="David"/>
          <w:rtl/>
        </w:rPr>
        <w:t xml:space="preserve">הנאשם </w:t>
      </w:r>
      <w:r>
        <w:rPr>
          <w:rFonts w:ascii="David" w:hAnsi="David" w:hint="cs"/>
          <w:rtl/>
        </w:rPr>
        <w:t>ש</w:t>
      </w:r>
      <w:r w:rsidRPr="001C70AD">
        <w:rPr>
          <w:rFonts w:ascii="David" w:hAnsi="David"/>
          <w:rtl/>
        </w:rPr>
        <w:t xml:space="preserve">היה רעב, </w:t>
      </w:r>
      <w:r>
        <w:rPr>
          <w:rFonts w:ascii="David" w:hAnsi="David" w:hint="cs"/>
          <w:rtl/>
        </w:rPr>
        <w:t xml:space="preserve">ביצע </w:t>
      </w:r>
      <w:r w:rsidRPr="001C70AD">
        <w:rPr>
          <w:rFonts w:ascii="David" w:hAnsi="David"/>
          <w:rtl/>
        </w:rPr>
        <w:t>את השוד כדי לקנות לעצמו אוכל.</w:t>
      </w:r>
    </w:p>
    <w:p w14:paraId="32F5C732" w14:textId="77777777" w:rsidR="00B657ED" w:rsidRPr="0039133E" w:rsidRDefault="00B657ED" w:rsidP="00B657ED">
      <w:pPr>
        <w:spacing w:line="360" w:lineRule="auto"/>
        <w:rPr>
          <w:rFonts w:ascii="David" w:hAnsi="David"/>
          <w:rtl/>
        </w:rPr>
      </w:pPr>
    </w:p>
    <w:p w14:paraId="19E78722" w14:textId="77777777" w:rsidR="00B657ED" w:rsidRPr="0039133E" w:rsidRDefault="00B657ED" w:rsidP="00B657ED">
      <w:pPr>
        <w:spacing w:line="360" w:lineRule="auto"/>
        <w:jc w:val="both"/>
        <w:rPr>
          <w:rFonts w:ascii="David" w:hAnsi="David"/>
          <w:rtl/>
        </w:rPr>
      </w:pPr>
      <w:r w:rsidRPr="0039133E">
        <w:rPr>
          <w:rFonts w:ascii="David" w:hAnsi="David"/>
          <w:rtl/>
        </w:rPr>
        <w:t xml:space="preserve">ב"כ הנאשם </w:t>
      </w:r>
      <w:r>
        <w:rPr>
          <w:rFonts w:ascii="David" w:hAnsi="David" w:hint="cs"/>
          <w:rtl/>
        </w:rPr>
        <w:t>הפנה ל</w:t>
      </w:r>
      <w:r w:rsidRPr="0039133E">
        <w:rPr>
          <w:rFonts w:ascii="David" w:hAnsi="David"/>
          <w:rtl/>
        </w:rPr>
        <w:t xml:space="preserve">פסיקה רלוונטית </w:t>
      </w:r>
      <w:r>
        <w:rPr>
          <w:rFonts w:ascii="David" w:hAnsi="David" w:hint="cs"/>
          <w:rtl/>
        </w:rPr>
        <w:t xml:space="preserve">בעבירות </w:t>
      </w:r>
      <w:r w:rsidRPr="0039133E">
        <w:rPr>
          <w:rFonts w:ascii="David" w:hAnsi="David" w:hint="cs"/>
          <w:rtl/>
        </w:rPr>
        <w:t>של שוד כלפי אישה מבוגרת</w:t>
      </w:r>
      <w:r>
        <w:rPr>
          <w:rFonts w:ascii="David" w:hAnsi="David" w:hint="cs"/>
          <w:rtl/>
        </w:rPr>
        <w:t xml:space="preserve">, בה נקבע </w:t>
      </w:r>
      <w:r w:rsidRPr="0039133E">
        <w:rPr>
          <w:rFonts w:ascii="David" w:hAnsi="David" w:hint="cs"/>
          <w:rtl/>
        </w:rPr>
        <w:t xml:space="preserve">מתחם </w:t>
      </w:r>
      <w:r>
        <w:rPr>
          <w:rFonts w:ascii="David" w:hAnsi="David" w:hint="cs"/>
          <w:rtl/>
        </w:rPr>
        <w:t>ענישה ה</w:t>
      </w:r>
      <w:r w:rsidRPr="0039133E">
        <w:rPr>
          <w:rFonts w:ascii="David" w:hAnsi="David" w:hint="cs"/>
          <w:rtl/>
        </w:rPr>
        <w:t xml:space="preserve">נע בין 6-28 חודשי מאסר. </w:t>
      </w:r>
      <w:r>
        <w:rPr>
          <w:rFonts w:ascii="David" w:hAnsi="David" w:hint="cs"/>
          <w:rtl/>
        </w:rPr>
        <w:t xml:space="preserve">במיוחד ציין הסנגור מקרה בו הנאשם התמודד עם מחלת </w:t>
      </w:r>
      <w:r w:rsidRPr="0039133E">
        <w:rPr>
          <w:rFonts w:ascii="David" w:hAnsi="David" w:hint="cs"/>
          <w:rtl/>
        </w:rPr>
        <w:t>נפש</w:t>
      </w:r>
      <w:r>
        <w:rPr>
          <w:rFonts w:ascii="David" w:hAnsi="David" w:hint="cs"/>
          <w:rtl/>
        </w:rPr>
        <w:t>,</w:t>
      </w:r>
      <w:r w:rsidRPr="0039133E">
        <w:rPr>
          <w:rFonts w:ascii="David" w:hAnsi="David" w:hint="cs"/>
          <w:rtl/>
        </w:rPr>
        <w:t xml:space="preserve"> ונפגעת העבירה נחבלה בצורה חמורה יותר, </w:t>
      </w:r>
      <w:r>
        <w:rPr>
          <w:rFonts w:ascii="David" w:hAnsi="David" w:hint="cs"/>
          <w:rtl/>
        </w:rPr>
        <w:t xml:space="preserve">ונגזרו עליו </w:t>
      </w:r>
      <w:r w:rsidRPr="0039133E">
        <w:rPr>
          <w:rFonts w:ascii="David" w:hAnsi="David" w:hint="cs"/>
          <w:rtl/>
        </w:rPr>
        <w:t>10 חודשי מאסר בפועל</w:t>
      </w:r>
      <w:r>
        <w:rPr>
          <w:rFonts w:ascii="David" w:hAnsi="David" w:hint="cs"/>
          <w:rtl/>
        </w:rPr>
        <w:t>.</w:t>
      </w:r>
    </w:p>
    <w:p w14:paraId="6237DF25" w14:textId="77777777" w:rsidR="00B657ED" w:rsidRPr="001C70AD" w:rsidRDefault="00B657ED" w:rsidP="00B657ED">
      <w:pPr>
        <w:rPr>
          <w:rFonts w:ascii="David" w:hAnsi="David"/>
          <w:b/>
          <w:bCs/>
          <w:rtl/>
        </w:rPr>
      </w:pPr>
    </w:p>
    <w:p w14:paraId="14786656" w14:textId="77777777" w:rsidR="00B657ED" w:rsidRDefault="00B657ED" w:rsidP="00B657ED">
      <w:pPr>
        <w:spacing w:line="360" w:lineRule="auto"/>
        <w:jc w:val="both"/>
        <w:rPr>
          <w:rFonts w:ascii="David" w:hAnsi="David"/>
          <w:rtl/>
        </w:rPr>
      </w:pPr>
      <w:r>
        <w:rPr>
          <w:rFonts w:ascii="David" w:hAnsi="David" w:hint="cs"/>
          <w:rtl/>
        </w:rPr>
        <w:t xml:space="preserve">על כך הוסיף </w:t>
      </w:r>
      <w:r w:rsidRPr="001C70AD">
        <w:rPr>
          <w:rFonts w:ascii="David" w:hAnsi="David"/>
          <w:rtl/>
        </w:rPr>
        <w:t xml:space="preserve">הסנגור </w:t>
      </w:r>
      <w:r>
        <w:rPr>
          <w:rFonts w:ascii="David" w:hAnsi="David" w:hint="cs"/>
          <w:rtl/>
        </w:rPr>
        <w:t xml:space="preserve">כי לאור </w:t>
      </w:r>
      <w:r w:rsidRPr="001C70AD">
        <w:rPr>
          <w:rFonts w:ascii="David" w:hAnsi="David"/>
          <w:rtl/>
        </w:rPr>
        <w:t>נסיבותיו</w:t>
      </w:r>
      <w:r>
        <w:rPr>
          <w:rFonts w:ascii="David" w:hAnsi="David" w:hint="cs"/>
          <w:rtl/>
        </w:rPr>
        <w:t>,</w:t>
      </w:r>
      <w:r w:rsidRPr="001C70AD">
        <w:rPr>
          <w:rFonts w:ascii="David" w:hAnsi="David"/>
          <w:rtl/>
        </w:rPr>
        <w:t xml:space="preserve"> </w:t>
      </w:r>
      <w:r>
        <w:rPr>
          <w:rFonts w:ascii="David" w:hAnsi="David" w:hint="cs"/>
          <w:rtl/>
        </w:rPr>
        <w:t xml:space="preserve">הנאשם </w:t>
      </w:r>
      <w:r w:rsidRPr="001C70AD">
        <w:rPr>
          <w:rFonts w:ascii="David" w:hAnsi="David"/>
          <w:rtl/>
        </w:rPr>
        <w:t>נופל בין הכ</w:t>
      </w:r>
      <w:r>
        <w:rPr>
          <w:rFonts w:ascii="David" w:hAnsi="David" w:hint="cs"/>
          <w:rtl/>
        </w:rPr>
        <w:t>י</w:t>
      </w:r>
      <w:r w:rsidRPr="001C70AD">
        <w:rPr>
          <w:rFonts w:ascii="David" w:hAnsi="David"/>
          <w:rtl/>
        </w:rPr>
        <w:t xml:space="preserve">סאות, </w:t>
      </w:r>
      <w:r>
        <w:rPr>
          <w:rFonts w:ascii="David" w:hAnsi="David" w:hint="cs"/>
          <w:rtl/>
        </w:rPr>
        <w:t xml:space="preserve">כאשר במקום להיות במעצר, היה ראוי שהוא ישולב </w:t>
      </w:r>
      <w:r w:rsidRPr="001C70AD">
        <w:rPr>
          <w:rFonts w:ascii="David" w:hAnsi="David"/>
          <w:rtl/>
        </w:rPr>
        <w:t>במסגרת תומכת ומסייעת</w:t>
      </w:r>
      <w:r>
        <w:rPr>
          <w:rFonts w:ascii="David" w:hAnsi="David" w:hint="cs"/>
          <w:rtl/>
        </w:rPr>
        <w:t>, המתאימה לצרכיו</w:t>
      </w:r>
      <w:r w:rsidRPr="001C70AD">
        <w:rPr>
          <w:rFonts w:ascii="David" w:hAnsi="David"/>
          <w:rtl/>
        </w:rPr>
        <w:t xml:space="preserve">. </w:t>
      </w:r>
      <w:r>
        <w:rPr>
          <w:rFonts w:ascii="David" w:hAnsi="David" w:hint="cs"/>
          <w:rtl/>
        </w:rPr>
        <w:t>בתמיכה לדבריו,</w:t>
      </w:r>
      <w:r w:rsidRPr="001C70AD">
        <w:rPr>
          <w:rFonts w:ascii="David" w:hAnsi="David"/>
          <w:rtl/>
        </w:rPr>
        <w:t xml:space="preserve"> ציין כי בהליך אחר</w:t>
      </w:r>
      <w:r>
        <w:rPr>
          <w:rFonts w:ascii="David" w:hAnsi="David" w:hint="cs"/>
          <w:rtl/>
        </w:rPr>
        <w:t>,</w:t>
      </w:r>
      <w:r w:rsidRPr="001C70AD">
        <w:rPr>
          <w:rFonts w:ascii="David" w:hAnsi="David"/>
          <w:rtl/>
        </w:rPr>
        <w:t xml:space="preserve"> שהתקיים לפני כחצי שנה</w:t>
      </w:r>
      <w:r>
        <w:rPr>
          <w:rFonts w:ascii="David" w:hAnsi="David" w:hint="cs"/>
          <w:rtl/>
        </w:rPr>
        <w:t>,</w:t>
      </w:r>
      <w:r w:rsidRPr="001C70AD">
        <w:rPr>
          <w:rFonts w:ascii="David" w:hAnsi="David"/>
          <w:rtl/>
        </w:rPr>
        <w:t xml:space="preserve"> </w:t>
      </w:r>
      <w:r>
        <w:rPr>
          <w:rFonts w:ascii="David" w:hAnsi="David" w:hint="cs"/>
          <w:rtl/>
        </w:rPr>
        <w:t>נ</w:t>
      </w:r>
      <w:r>
        <w:rPr>
          <w:rFonts w:ascii="David" w:hAnsi="David"/>
          <w:rtl/>
        </w:rPr>
        <w:t>קבע</w:t>
      </w:r>
      <w:r w:rsidRPr="001C70AD">
        <w:rPr>
          <w:rFonts w:ascii="David" w:hAnsi="David"/>
          <w:rtl/>
        </w:rPr>
        <w:t xml:space="preserve"> שהנאשם אינו כשיר לעמוד לדין. </w:t>
      </w:r>
    </w:p>
    <w:p w14:paraId="69FAA730" w14:textId="77777777" w:rsidR="00B657ED" w:rsidRPr="008458D2" w:rsidRDefault="00B657ED" w:rsidP="00B657ED">
      <w:pPr>
        <w:rPr>
          <w:rFonts w:ascii="David" w:hAnsi="David"/>
          <w:b/>
          <w:bCs/>
          <w:rtl/>
        </w:rPr>
      </w:pPr>
    </w:p>
    <w:p w14:paraId="4FECD43F" w14:textId="77777777" w:rsidR="00B657ED" w:rsidRPr="001C70AD" w:rsidRDefault="00B657ED" w:rsidP="00B657ED">
      <w:pPr>
        <w:spacing w:line="360" w:lineRule="auto"/>
        <w:jc w:val="both"/>
        <w:rPr>
          <w:rFonts w:ascii="David" w:hAnsi="David"/>
        </w:rPr>
      </w:pPr>
      <w:r w:rsidRPr="001C70AD">
        <w:rPr>
          <w:rFonts w:ascii="David" w:hAnsi="David"/>
          <w:rtl/>
        </w:rPr>
        <w:t>בהתאם לאמור, בשים לב לנסיבות שתוארו, ולאור מצבו הנפשי של הנאשם, ביקש הסנ</w:t>
      </w:r>
      <w:r>
        <w:rPr>
          <w:rFonts w:ascii="David" w:hAnsi="David"/>
          <w:rtl/>
        </w:rPr>
        <w:t xml:space="preserve">גור להעמיד את עונשו של הנאשם </w:t>
      </w:r>
      <w:r>
        <w:rPr>
          <w:rFonts w:ascii="David" w:hAnsi="David" w:hint="cs"/>
          <w:rtl/>
        </w:rPr>
        <w:t>ב</w:t>
      </w:r>
      <w:r w:rsidRPr="001C70AD">
        <w:rPr>
          <w:rFonts w:ascii="David" w:hAnsi="David"/>
          <w:rtl/>
        </w:rPr>
        <w:t>תחתית מתחם הענישה</w:t>
      </w:r>
      <w:r>
        <w:rPr>
          <w:rFonts w:ascii="David" w:hAnsi="David"/>
          <w:rtl/>
        </w:rPr>
        <w:t xml:space="preserve"> </w:t>
      </w:r>
      <w:r>
        <w:rPr>
          <w:rFonts w:ascii="David" w:hAnsi="David" w:hint="cs"/>
          <w:rtl/>
        </w:rPr>
        <w:t>עליו הצביע (</w:t>
      </w:r>
      <w:r>
        <w:rPr>
          <w:rFonts w:ascii="David" w:hAnsi="David"/>
          <w:rtl/>
        </w:rPr>
        <w:t>6-28 חודשי</w:t>
      </w:r>
      <w:r>
        <w:rPr>
          <w:rFonts w:ascii="David" w:hAnsi="David" w:hint="cs"/>
          <w:rtl/>
        </w:rPr>
        <w:t xml:space="preserve"> מאסר</w:t>
      </w:r>
      <w:r w:rsidRPr="001C70AD">
        <w:rPr>
          <w:rFonts w:ascii="David" w:hAnsi="David"/>
          <w:rtl/>
        </w:rPr>
        <w:t>) ולהסתפק בימי מעצרו</w:t>
      </w:r>
      <w:r>
        <w:rPr>
          <w:rFonts w:ascii="David" w:hAnsi="David" w:hint="cs"/>
          <w:rtl/>
        </w:rPr>
        <w:t>, כשמונה חודשים</w:t>
      </w:r>
      <w:r w:rsidRPr="001C70AD">
        <w:rPr>
          <w:rFonts w:ascii="David" w:hAnsi="David"/>
          <w:rtl/>
        </w:rPr>
        <w:t xml:space="preserve">. </w:t>
      </w:r>
      <w:r>
        <w:rPr>
          <w:rFonts w:ascii="David" w:hAnsi="David" w:hint="cs"/>
          <w:rtl/>
        </w:rPr>
        <w:t xml:space="preserve">בנוסף, </w:t>
      </w:r>
      <w:r w:rsidRPr="001C70AD">
        <w:rPr>
          <w:rFonts w:ascii="David" w:hAnsi="David"/>
          <w:rtl/>
        </w:rPr>
        <w:t xml:space="preserve">הסנגור </w:t>
      </w:r>
      <w:r>
        <w:rPr>
          <w:rFonts w:ascii="David" w:hAnsi="David" w:hint="cs"/>
          <w:rtl/>
        </w:rPr>
        <w:t xml:space="preserve">ביקש </w:t>
      </w:r>
      <w:r>
        <w:rPr>
          <w:rFonts w:ascii="David" w:hAnsi="David"/>
          <w:rtl/>
        </w:rPr>
        <w:t>להימנע מהטלת קנס</w:t>
      </w:r>
      <w:r>
        <w:rPr>
          <w:rFonts w:ascii="David" w:hAnsi="David" w:hint="cs"/>
          <w:rtl/>
        </w:rPr>
        <w:t xml:space="preserve">, שכן </w:t>
      </w:r>
      <w:r w:rsidRPr="001C70AD">
        <w:rPr>
          <w:rFonts w:ascii="David" w:hAnsi="David"/>
          <w:rtl/>
        </w:rPr>
        <w:t>הנאשם מקבל קצבת נכות זעומה ממנה הוא מתקיים</w:t>
      </w:r>
      <w:r>
        <w:rPr>
          <w:rFonts w:ascii="David" w:hAnsi="David" w:hint="cs"/>
          <w:rtl/>
        </w:rPr>
        <w:t>,</w:t>
      </w:r>
      <w:r>
        <w:rPr>
          <w:rFonts w:ascii="David" w:hAnsi="David"/>
          <w:rtl/>
        </w:rPr>
        <w:t xml:space="preserve"> </w:t>
      </w:r>
      <w:r>
        <w:rPr>
          <w:rFonts w:ascii="David" w:hAnsi="David" w:hint="cs"/>
          <w:rtl/>
        </w:rPr>
        <w:t xml:space="preserve">וכל קנס </w:t>
      </w:r>
      <w:r w:rsidRPr="001C70AD">
        <w:rPr>
          <w:rFonts w:ascii="David" w:hAnsi="David"/>
          <w:rtl/>
        </w:rPr>
        <w:t xml:space="preserve">עלול </w:t>
      </w:r>
      <w:r>
        <w:rPr>
          <w:rFonts w:ascii="David" w:hAnsi="David" w:hint="cs"/>
          <w:rtl/>
        </w:rPr>
        <w:t>להביאו</w:t>
      </w:r>
      <w:r>
        <w:rPr>
          <w:rFonts w:ascii="David" w:hAnsi="David"/>
          <w:rtl/>
        </w:rPr>
        <w:t xml:space="preserve"> שוב </w:t>
      </w:r>
      <w:r>
        <w:rPr>
          <w:rFonts w:ascii="David" w:hAnsi="David" w:hint="cs"/>
          <w:rtl/>
        </w:rPr>
        <w:t xml:space="preserve">עד </w:t>
      </w:r>
      <w:r w:rsidRPr="001C70AD">
        <w:rPr>
          <w:rFonts w:ascii="David" w:hAnsi="David"/>
          <w:rtl/>
        </w:rPr>
        <w:t xml:space="preserve">פת לחם. </w:t>
      </w:r>
    </w:p>
    <w:p w14:paraId="4B975FBC" w14:textId="77777777" w:rsidR="00B657ED" w:rsidRPr="001C70AD" w:rsidRDefault="00B657ED" w:rsidP="00B657ED">
      <w:pPr>
        <w:rPr>
          <w:rFonts w:ascii="David" w:hAnsi="David"/>
          <w:b/>
          <w:bCs/>
          <w:rtl/>
        </w:rPr>
      </w:pPr>
    </w:p>
    <w:p w14:paraId="094089E4" w14:textId="77777777" w:rsidR="00B657ED" w:rsidRPr="001C70AD" w:rsidRDefault="00B657ED" w:rsidP="00B657ED">
      <w:pPr>
        <w:spacing w:line="360" w:lineRule="auto"/>
        <w:jc w:val="both"/>
        <w:rPr>
          <w:rFonts w:ascii="David" w:hAnsi="David"/>
          <w:b/>
          <w:bCs/>
          <w:rtl/>
        </w:rPr>
      </w:pPr>
      <w:r w:rsidRPr="002C6DF7">
        <w:rPr>
          <w:rFonts w:ascii="David" w:hAnsi="David"/>
          <w:b/>
          <w:bCs/>
          <w:rtl/>
        </w:rPr>
        <w:t xml:space="preserve">הנאשם </w:t>
      </w:r>
      <w:r>
        <w:rPr>
          <w:rFonts w:ascii="David" w:hAnsi="David"/>
          <w:rtl/>
        </w:rPr>
        <w:t>בדבר</w:t>
      </w:r>
      <w:r w:rsidRPr="002C6DF7">
        <w:rPr>
          <w:rFonts w:ascii="David" w:hAnsi="David"/>
          <w:rtl/>
        </w:rPr>
        <w:t>ו</w:t>
      </w:r>
      <w:r>
        <w:rPr>
          <w:rFonts w:ascii="David" w:hAnsi="David" w:hint="cs"/>
          <w:rtl/>
        </w:rPr>
        <w:t xml:space="preserve"> האחרון מסר כי הוא </w:t>
      </w:r>
      <w:r>
        <w:rPr>
          <w:rFonts w:ascii="David" w:hAnsi="David"/>
          <w:rtl/>
        </w:rPr>
        <w:t>מצטער על מעשי</w:t>
      </w:r>
      <w:r>
        <w:rPr>
          <w:rFonts w:ascii="David" w:hAnsi="David" w:hint="cs"/>
          <w:rtl/>
        </w:rPr>
        <w:t>ו ו</w:t>
      </w:r>
      <w:r w:rsidRPr="002C6DF7">
        <w:rPr>
          <w:rFonts w:ascii="David" w:hAnsi="David"/>
          <w:rtl/>
        </w:rPr>
        <w:t xml:space="preserve">מעוניין לטפל בעצמו. הנאשם </w:t>
      </w:r>
      <w:r>
        <w:rPr>
          <w:rFonts w:ascii="David" w:hAnsi="David" w:hint="cs"/>
          <w:rtl/>
        </w:rPr>
        <w:t xml:space="preserve">טען </w:t>
      </w:r>
      <w:r w:rsidRPr="002C6DF7">
        <w:rPr>
          <w:rFonts w:ascii="David" w:hAnsi="David"/>
          <w:rtl/>
        </w:rPr>
        <w:t xml:space="preserve">כי אינו מנהל חיי פשע וכי </w:t>
      </w:r>
      <w:r>
        <w:rPr>
          <w:rFonts w:ascii="David" w:hAnsi="David"/>
          <w:rtl/>
        </w:rPr>
        <w:t>בדרך כלל מטופל על ידי פסיכיאטר</w:t>
      </w:r>
      <w:r>
        <w:rPr>
          <w:rFonts w:ascii="David" w:hAnsi="David" w:hint="cs"/>
          <w:rtl/>
        </w:rPr>
        <w:t>, דבר הנמנע ממנו בעת מעצרו</w:t>
      </w:r>
      <w:r w:rsidRPr="002C6DF7">
        <w:rPr>
          <w:rFonts w:ascii="David" w:hAnsi="David"/>
          <w:rtl/>
        </w:rPr>
        <w:t>.</w:t>
      </w:r>
      <w:r w:rsidRPr="002C6DF7">
        <w:rPr>
          <w:rFonts w:ascii="David" w:hAnsi="David"/>
          <w:b/>
          <w:bCs/>
          <w:rtl/>
        </w:rPr>
        <w:t xml:space="preserve"> </w:t>
      </w:r>
      <w:r>
        <w:rPr>
          <w:rFonts w:ascii="David" w:hAnsi="David"/>
          <w:rtl/>
        </w:rPr>
        <w:t>הנאשם</w:t>
      </w:r>
      <w:r>
        <w:rPr>
          <w:rFonts w:ascii="David" w:hAnsi="David" w:hint="cs"/>
          <w:rtl/>
        </w:rPr>
        <w:t xml:space="preserve"> ה</w:t>
      </w:r>
      <w:r w:rsidRPr="002C6DF7">
        <w:rPr>
          <w:rFonts w:ascii="David" w:hAnsi="David"/>
          <w:rtl/>
        </w:rPr>
        <w:t>ביע חרטה</w:t>
      </w:r>
      <w:r>
        <w:rPr>
          <w:rFonts w:ascii="David" w:hAnsi="David" w:hint="cs"/>
          <w:rtl/>
        </w:rPr>
        <w:t xml:space="preserve"> והבטיח ש</w:t>
      </w:r>
      <w:r w:rsidRPr="002C6DF7">
        <w:rPr>
          <w:rFonts w:ascii="David" w:hAnsi="David"/>
          <w:rtl/>
        </w:rPr>
        <w:t xml:space="preserve">לא </w:t>
      </w:r>
      <w:r>
        <w:rPr>
          <w:rFonts w:ascii="David" w:hAnsi="David" w:hint="cs"/>
          <w:rtl/>
        </w:rPr>
        <w:t xml:space="preserve">יבצע עבירות דומות בעתיד, כאשר הוא מעוניין </w:t>
      </w:r>
      <w:r w:rsidRPr="002C6DF7">
        <w:rPr>
          <w:rFonts w:ascii="David" w:hAnsi="David"/>
          <w:rtl/>
        </w:rPr>
        <w:t>להשתקם, לעבוד ולחיות חיים נורמליים.</w:t>
      </w:r>
      <w:r w:rsidRPr="001C70AD">
        <w:rPr>
          <w:rFonts w:ascii="David" w:hAnsi="David"/>
          <w:b/>
          <w:bCs/>
          <w:rtl/>
        </w:rPr>
        <w:t xml:space="preserve"> </w:t>
      </w:r>
    </w:p>
    <w:p w14:paraId="0BF69419" w14:textId="77777777" w:rsidR="00B657ED" w:rsidRPr="001C70AD" w:rsidRDefault="00B657ED" w:rsidP="00B657ED">
      <w:pPr>
        <w:rPr>
          <w:rFonts w:ascii="David" w:hAnsi="David"/>
          <w:b/>
          <w:bCs/>
          <w:rtl/>
        </w:rPr>
      </w:pPr>
    </w:p>
    <w:p w14:paraId="0D9C3344" w14:textId="77777777" w:rsidR="00B657ED" w:rsidRPr="001C70AD" w:rsidRDefault="00B657ED" w:rsidP="00B657ED">
      <w:pPr>
        <w:rPr>
          <w:rFonts w:ascii="David" w:hAnsi="David"/>
          <w:b/>
          <w:bCs/>
          <w:rtl/>
        </w:rPr>
      </w:pPr>
    </w:p>
    <w:p w14:paraId="3C676350" w14:textId="77777777" w:rsidR="00B657ED" w:rsidRPr="001C70AD" w:rsidRDefault="00B657ED" w:rsidP="00B657ED">
      <w:pPr>
        <w:spacing w:line="360" w:lineRule="auto"/>
        <w:jc w:val="both"/>
        <w:rPr>
          <w:rFonts w:ascii="David" w:hAnsi="David"/>
          <w:b/>
          <w:bCs/>
          <w:u w:val="single"/>
          <w:rtl/>
        </w:rPr>
      </w:pPr>
      <w:r w:rsidRPr="001C70AD">
        <w:rPr>
          <w:rFonts w:ascii="David" w:hAnsi="David"/>
          <w:b/>
          <w:bCs/>
          <w:u w:val="single"/>
          <w:rtl/>
        </w:rPr>
        <w:t>דיון והכרעה</w:t>
      </w:r>
    </w:p>
    <w:p w14:paraId="6559C2F6" w14:textId="77777777" w:rsidR="00B657ED" w:rsidRDefault="00B657ED" w:rsidP="00B657ED">
      <w:pPr>
        <w:spacing w:line="360" w:lineRule="auto"/>
        <w:jc w:val="both"/>
        <w:rPr>
          <w:rFonts w:ascii="David" w:hAnsi="David"/>
          <w:b/>
          <w:bCs/>
          <w:rtl/>
        </w:rPr>
      </w:pPr>
      <w:r w:rsidRPr="001C70AD">
        <w:rPr>
          <w:rFonts w:ascii="David" w:hAnsi="David"/>
          <w:b/>
          <w:bCs/>
          <w:rtl/>
        </w:rPr>
        <w:t>הערכים החברתיים המוגנים</w:t>
      </w:r>
    </w:p>
    <w:p w14:paraId="3F993B79" w14:textId="77777777" w:rsidR="00B657ED" w:rsidRPr="001C70AD" w:rsidRDefault="00B657ED" w:rsidP="00B657ED">
      <w:pPr>
        <w:spacing w:line="360" w:lineRule="auto"/>
        <w:jc w:val="both"/>
        <w:rPr>
          <w:rFonts w:ascii="David" w:hAnsi="David"/>
          <w:rtl/>
        </w:rPr>
      </w:pPr>
    </w:p>
    <w:p w14:paraId="748B5E35" w14:textId="77777777" w:rsidR="00B657ED" w:rsidRDefault="00B657ED" w:rsidP="00B657ED">
      <w:pPr>
        <w:spacing w:line="360" w:lineRule="auto"/>
        <w:jc w:val="both"/>
        <w:rPr>
          <w:rFonts w:ascii="David" w:hAnsi="David"/>
          <w:rtl/>
        </w:rPr>
      </w:pPr>
      <w:r w:rsidRPr="007970E4">
        <w:rPr>
          <w:rFonts w:ascii="David" w:hAnsi="David"/>
          <w:rtl/>
        </w:rPr>
        <w:t>עבירת שוד</w:t>
      </w:r>
      <w:r>
        <w:rPr>
          <w:rFonts w:ascii="David" w:hAnsi="David" w:hint="cs"/>
          <w:rtl/>
        </w:rPr>
        <w:t>, דוגמת זו נעברה במקרה זה,</w:t>
      </w:r>
      <w:r w:rsidRPr="007970E4">
        <w:rPr>
          <w:rFonts w:ascii="David" w:hAnsi="David"/>
          <w:rtl/>
        </w:rPr>
        <w:t xml:space="preserve"> פוגעת באופן קשה בערך חברתי בסיסי ביותר, זכותו של כל אדם להתהלך ברחובה של עיר בביטחון </w:t>
      </w:r>
      <w:r w:rsidRPr="007970E4">
        <w:rPr>
          <w:rFonts w:ascii="David" w:hAnsi="David" w:hint="cs"/>
          <w:rtl/>
        </w:rPr>
        <w:t>מבלי ש</w:t>
      </w:r>
      <w:r w:rsidRPr="007970E4">
        <w:rPr>
          <w:rFonts w:ascii="David" w:hAnsi="David"/>
          <w:rtl/>
        </w:rPr>
        <w:t xml:space="preserve">יפגע </w:t>
      </w:r>
      <w:r w:rsidRPr="007970E4">
        <w:rPr>
          <w:rFonts w:ascii="David" w:hAnsi="David" w:hint="cs"/>
          <w:rtl/>
        </w:rPr>
        <w:t>ב</w:t>
      </w:r>
      <w:r w:rsidRPr="007970E4">
        <w:rPr>
          <w:rFonts w:ascii="David" w:hAnsi="David"/>
          <w:rtl/>
        </w:rPr>
        <w:t xml:space="preserve">גופו או </w:t>
      </w:r>
      <w:r w:rsidRPr="007970E4">
        <w:rPr>
          <w:rFonts w:ascii="David" w:hAnsi="David" w:hint="cs"/>
          <w:rtl/>
        </w:rPr>
        <w:t>ב</w:t>
      </w:r>
      <w:r w:rsidRPr="007970E4">
        <w:rPr>
          <w:rFonts w:ascii="David" w:hAnsi="David"/>
          <w:rtl/>
        </w:rPr>
        <w:t xml:space="preserve">רכושו. </w:t>
      </w:r>
      <w:r w:rsidRPr="007970E4">
        <w:rPr>
          <w:rFonts w:ascii="David" w:hAnsi="David" w:hint="cs"/>
          <w:rtl/>
        </w:rPr>
        <w:t>יתרה מזו, גלום בה מעצם טבעה פוטנציאל להידרדרות</w:t>
      </w:r>
      <w:r>
        <w:rPr>
          <w:rFonts w:ascii="David" w:hAnsi="David" w:hint="cs"/>
          <w:rtl/>
        </w:rPr>
        <w:t xml:space="preserve"> לאלימות קשה, ולפגיעות גופניות קשות עד קטלניות.</w:t>
      </w:r>
    </w:p>
    <w:p w14:paraId="21A9FB83" w14:textId="77777777" w:rsidR="00B657ED" w:rsidRDefault="00B657ED" w:rsidP="00B657ED">
      <w:pPr>
        <w:spacing w:line="360" w:lineRule="auto"/>
        <w:jc w:val="both"/>
        <w:rPr>
          <w:rFonts w:ascii="David" w:hAnsi="David"/>
          <w:rtl/>
        </w:rPr>
      </w:pPr>
    </w:p>
    <w:p w14:paraId="11228591" w14:textId="77777777" w:rsidR="00B657ED" w:rsidRDefault="00B657ED" w:rsidP="00B657ED">
      <w:pPr>
        <w:spacing w:line="360" w:lineRule="auto"/>
        <w:jc w:val="both"/>
        <w:rPr>
          <w:rFonts w:ascii="David" w:hAnsi="David"/>
          <w:rtl/>
        </w:rPr>
      </w:pPr>
      <w:r>
        <w:rPr>
          <w:rFonts w:ascii="David" w:hAnsi="David" w:hint="cs"/>
          <w:rtl/>
        </w:rPr>
        <w:t xml:space="preserve">כך נקבע לדוגמא בעניין </w:t>
      </w:r>
      <w:r w:rsidRPr="009510C3">
        <w:rPr>
          <w:rFonts w:ascii="David" w:hAnsi="David" w:hint="cs"/>
          <w:b/>
          <w:bCs/>
          <w:rtl/>
        </w:rPr>
        <w:t>אזולאי</w:t>
      </w:r>
      <w:r>
        <w:rPr>
          <w:rFonts w:ascii="David" w:hAnsi="David" w:hint="cs"/>
          <w:rtl/>
        </w:rPr>
        <w:t>:</w:t>
      </w:r>
    </w:p>
    <w:p w14:paraId="746ACF42" w14:textId="77777777" w:rsidR="00B657ED" w:rsidRDefault="00B657ED" w:rsidP="00B657ED">
      <w:pPr>
        <w:spacing w:line="360" w:lineRule="atLeast"/>
        <w:ind w:left="850" w:right="851"/>
        <w:jc w:val="both"/>
        <w:rPr>
          <w:rFonts w:ascii="David" w:hAnsi="David"/>
          <w:i/>
          <w:iCs/>
          <w:color w:val="000000"/>
          <w:rtl/>
        </w:rPr>
      </w:pPr>
      <w:r w:rsidRPr="001C70AD">
        <w:rPr>
          <w:rFonts w:ascii="David" w:hAnsi="David"/>
          <w:b/>
          <w:bCs/>
          <w:i/>
          <w:iCs/>
          <w:color w:val="000000"/>
          <w:rtl/>
        </w:rPr>
        <w:t xml:space="preserve">"... עבירות של שוד על דרך תקיפה ברחוב פוגעות לא רק בקורבן, אלא בתחושת הביטחון האזרחית הכללית. אחת הציפיות הראשונות של אנשים היוצאים מביתם לרחובות העיר היא היכולת להתנהל בביטחון וללא אימה, ולא כל שכן בסביבה היומיומית והמוכרת. </w:t>
      </w:r>
      <w:r>
        <w:rPr>
          <w:rFonts w:ascii="David" w:hAnsi="David" w:hint="cs"/>
          <w:b/>
          <w:bCs/>
          <w:i/>
          <w:iCs/>
          <w:color w:val="000000"/>
          <w:rtl/>
        </w:rPr>
        <w:t>"</w:t>
      </w:r>
      <w:r>
        <w:rPr>
          <w:rFonts w:ascii="David" w:hAnsi="David"/>
        </w:rPr>
        <w:t>)</w:t>
      </w:r>
      <w:r w:rsidRPr="001C70AD">
        <w:rPr>
          <w:rFonts w:ascii="David" w:hAnsi="David"/>
        </w:rPr>
        <w:t xml:space="preserve">  </w:t>
      </w:r>
      <w:hyperlink r:id="rId14" w:history="1">
        <w:r w:rsidR="00921F90" w:rsidRPr="00921F90">
          <w:rPr>
            <w:rFonts w:ascii="David" w:hAnsi="David"/>
            <w:color w:val="0000FF"/>
            <w:u w:val="single"/>
            <w:rtl/>
          </w:rPr>
          <w:t>ע"פ 5541/11</w:t>
        </w:r>
      </w:hyperlink>
      <w:r w:rsidRPr="001C70AD">
        <w:rPr>
          <w:rFonts w:ascii="David" w:hAnsi="David"/>
        </w:rPr>
        <w:t xml:space="preserve"> </w:t>
      </w:r>
      <w:r w:rsidRPr="001C70AD">
        <w:rPr>
          <w:rFonts w:ascii="David" w:hAnsi="David"/>
          <w:b/>
          <w:bCs/>
          <w:rtl/>
        </w:rPr>
        <w:t>אזולאי</w:t>
      </w:r>
      <w:r w:rsidRPr="001C70AD">
        <w:rPr>
          <w:rFonts w:ascii="David" w:hAnsi="David"/>
          <w:rtl/>
        </w:rPr>
        <w:t xml:space="preserve"> נ' </w:t>
      </w:r>
      <w:r w:rsidRPr="001C70AD">
        <w:rPr>
          <w:rFonts w:ascii="David" w:hAnsi="David"/>
          <w:b/>
          <w:bCs/>
          <w:rtl/>
        </w:rPr>
        <w:t>מדינת</w:t>
      </w:r>
      <w:r w:rsidRPr="001C70AD">
        <w:rPr>
          <w:rFonts w:ascii="David" w:hAnsi="David"/>
          <w:rtl/>
        </w:rPr>
        <w:t xml:space="preserve"> </w:t>
      </w:r>
      <w:r w:rsidRPr="001C70AD">
        <w:rPr>
          <w:rFonts w:ascii="David" w:hAnsi="David"/>
          <w:b/>
          <w:bCs/>
          <w:rtl/>
        </w:rPr>
        <w:t>ישראל</w:t>
      </w:r>
      <w:r w:rsidRPr="001C70AD">
        <w:rPr>
          <w:rFonts w:ascii="David" w:hAnsi="David"/>
          <w:rtl/>
        </w:rPr>
        <w:t>, (פורסם בנבו, 13.12.12))</w:t>
      </w:r>
      <w:r>
        <w:rPr>
          <w:rFonts w:ascii="David" w:hAnsi="David" w:hint="cs"/>
          <w:color w:val="000000"/>
          <w:rtl/>
        </w:rPr>
        <w:t>.</w:t>
      </w:r>
    </w:p>
    <w:p w14:paraId="409E1109" w14:textId="77777777" w:rsidR="00B657ED" w:rsidRDefault="00B657ED" w:rsidP="00B657ED">
      <w:pPr>
        <w:spacing w:line="360" w:lineRule="atLeast"/>
        <w:ind w:right="851"/>
        <w:jc w:val="both"/>
        <w:rPr>
          <w:rFonts w:ascii="David" w:hAnsi="David"/>
          <w:color w:val="000000"/>
          <w:rtl/>
        </w:rPr>
      </w:pPr>
    </w:p>
    <w:p w14:paraId="0B005C11" w14:textId="77777777" w:rsidR="00B657ED" w:rsidRDefault="00B657ED" w:rsidP="00B657ED">
      <w:pPr>
        <w:spacing w:line="360" w:lineRule="atLeast"/>
        <w:ind w:right="851"/>
        <w:jc w:val="both"/>
        <w:rPr>
          <w:rFonts w:ascii="David" w:hAnsi="David"/>
          <w:color w:val="000000"/>
          <w:rtl/>
        </w:rPr>
      </w:pPr>
      <w:r>
        <w:rPr>
          <w:rFonts w:ascii="David" w:hAnsi="David" w:hint="cs"/>
          <w:color w:val="000000"/>
          <w:rtl/>
        </w:rPr>
        <w:t xml:space="preserve">ברוח דברים אלה, </w:t>
      </w:r>
      <w:r w:rsidRPr="008351C7">
        <w:rPr>
          <w:rFonts w:ascii="David" w:hAnsi="David" w:hint="cs"/>
          <w:color w:val="000000"/>
          <w:rtl/>
        </w:rPr>
        <w:t>לאחרונה נזדמן לי לקבוע</w:t>
      </w:r>
      <w:r>
        <w:rPr>
          <w:rFonts w:ascii="David" w:hAnsi="David" w:hint="cs"/>
          <w:color w:val="000000"/>
          <w:rtl/>
        </w:rPr>
        <w:t>:</w:t>
      </w:r>
    </w:p>
    <w:p w14:paraId="27D8AAD4" w14:textId="77777777" w:rsidR="00B657ED" w:rsidRDefault="00B657ED" w:rsidP="00B657ED">
      <w:pPr>
        <w:spacing w:line="360" w:lineRule="auto"/>
        <w:jc w:val="both"/>
        <w:rPr>
          <w:rFonts w:ascii="Arial" w:hAnsi="Arial"/>
          <w:sz w:val="26"/>
          <w:szCs w:val="26"/>
          <w:highlight w:val="green"/>
          <w:rtl/>
        </w:rPr>
      </w:pPr>
    </w:p>
    <w:p w14:paraId="3E1E58C3" w14:textId="77777777" w:rsidR="00B657ED" w:rsidRPr="002718BF" w:rsidRDefault="00B657ED" w:rsidP="00B657ED">
      <w:pPr>
        <w:spacing w:line="360" w:lineRule="auto"/>
        <w:ind w:left="720" w:right="851"/>
        <w:jc w:val="both"/>
        <w:rPr>
          <w:rFonts w:ascii="Arial" w:hAnsi="Arial"/>
          <w:b/>
          <w:bCs/>
          <w:i/>
          <w:iCs/>
          <w:sz w:val="22"/>
          <w:szCs w:val="22"/>
          <w:rtl/>
        </w:rPr>
      </w:pPr>
      <w:r w:rsidRPr="002718BF">
        <w:rPr>
          <w:rFonts w:ascii="Arial" w:hAnsi="Arial" w:hint="cs"/>
          <w:b/>
          <w:bCs/>
          <w:i/>
          <w:iCs/>
          <w:rtl/>
        </w:rPr>
        <w:t>"</w:t>
      </w:r>
      <w:r w:rsidRPr="002718BF">
        <w:rPr>
          <w:rFonts w:ascii="Arial" w:hAnsi="Arial"/>
          <w:b/>
          <w:bCs/>
          <w:i/>
          <w:iCs/>
          <w:rtl/>
        </w:rPr>
        <w:t>ואכן, הן במישור הכללי-תאורתי והן במישור הפרטני- מעשי, זו פוגעת ופגעה באופן קשה בערך חברתי בסיסי ביותר, זכותו של כל אדם להתהלך ברחובה של עיר בביטחון כי לא יפגע גופו או רכושו. יתרה מזו, עבירת שוד פוגעת בקניינו של האדם ולעתים אף בגופו, והיא מערערת את שלום הציבור ותחושת ביטחונו.</w:t>
      </w:r>
      <w:r w:rsidRPr="002718BF">
        <w:rPr>
          <w:rFonts w:ascii="Arial" w:hAnsi="Arial" w:hint="cs"/>
          <w:b/>
          <w:bCs/>
          <w:i/>
          <w:iCs/>
          <w:rtl/>
        </w:rPr>
        <w:t>"</w:t>
      </w:r>
      <w:r w:rsidRPr="002718BF">
        <w:rPr>
          <w:rFonts w:ascii="Arial" w:hAnsi="Arial" w:hint="cs"/>
          <w:rtl/>
        </w:rPr>
        <w:t>(</w:t>
      </w:r>
      <w:hyperlink r:id="rId15" w:history="1">
        <w:r w:rsidR="00921F90" w:rsidRPr="00921F90">
          <w:rPr>
            <w:rFonts w:ascii="David" w:hAnsi="David"/>
            <w:color w:val="0000FF"/>
            <w:u w:val="single"/>
            <w:rtl/>
          </w:rPr>
          <w:t>ת"פ 59277-01-24</w:t>
        </w:r>
      </w:hyperlink>
      <w:r>
        <w:rPr>
          <w:rFonts w:ascii="David" w:hAnsi="David" w:hint="cs"/>
          <w:color w:val="000000"/>
          <w:rtl/>
        </w:rPr>
        <w:t xml:space="preserve"> </w:t>
      </w:r>
      <w:r w:rsidRPr="002718BF">
        <w:rPr>
          <w:rFonts w:ascii="David" w:hAnsi="David"/>
          <w:b/>
          <w:bCs/>
          <w:color w:val="000000"/>
          <w:rtl/>
        </w:rPr>
        <w:t>מדינת ישראל</w:t>
      </w:r>
      <w:r w:rsidRPr="002718BF">
        <w:rPr>
          <w:rFonts w:ascii="David" w:hAnsi="David"/>
          <w:color w:val="000000"/>
          <w:rtl/>
        </w:rPr>
        <w:t xml:space="preserve"> נ' </w:t>
      </w:r>
      <w:r w:rsidRPr="002718BF">
        <w:rPr>
          <w:rFonts w:ascii="David" w:hAnsi="David"/>
          <w:b/>
          <w:bCs/>
          <w:color w:val="000000"/>
          <w:rtl/>
        </w:rPr>
        <w:t>טשייב</w:t>
      </w:r>
      <w:r>
        <w:rPr>
          <w:rFonts w:ascii="David" w:hAnsi="David" w:hint="cs"/>
          <w:b/>
          <w:bCs/>
          <w:color w:val="000000"/>
          <w:rtl/>
        </w:rPr>
        <w:t xml:space="preserve">, </w:t>
      </w:r>
      <w:r>
        <w:rPr>
          <w:rFonts w:ascii="David" w:hAnsi="David" w:hint="cs"/>
          <w:color w:val="000000"/>
          <w:rtl/>
        </w:rPr>
        <w:t>(</w:t>
      </w:r>
      <w:r w:rsidRPr="002718BF">
        <w:rPr>
          <w:rFonts w:ascii="David" w:hAnsi="David" w:hint="cs"/>
          <w:color w:val="000000"/>
          <w:rtl/>
        </w:rPr>
        <w:t>פורסם בנבו</w:t>
      </w:r>
      <w:r>
        <w:rPr>
          <w:rFonts w:ascii="Arial" w:hAnsi="Arial" w:hint="cs"/>
          <w:rtl/>
        </w:rPr>
        <w:t>, 24.07.2024 )</w:t>
      </w:r>
      <w:r w:rsidRPr="002718BF">
        <w:rPr>
          <w:rFonts w:ascii="Arial" w:hAnsi="Arial" w:hint="cs"/>
          <w:rtl/>
        </w:rPr>
        <w:t>)</w:t>
      </w:r>
      <w:r>
        <w:rPr>
          <w:rFonts w:ascii="Arial" w:hAnsi="Arial" w:hint="cs"/>
          <w:rtl/>
        </w:rPr>
        <w:t>.</w:t>
      </w:r>
    </w:p>
    <w:p w14:paraId="2D401133" w14:textId="77777777" w:rsidR="00B657ED" w:rsidRPr="001C70AD" w:rsidRDefault="00B657ED" w:rsidP="00B657ED">
      <w:pPr>
        <w:spacing w:line="360" w:lineRule="auto"/>
        <w:jc w:val="both"/>
        <w:rPr>
          <w:rFonts w:ascii="David" w:hAnsi="David"/>
          <w:rtl/>
        </w:rPr>
      </w:pPr>
    </w:p>
    <w:p w14:paraId="0DE09BA3" w14:textId="77777777" w:rsidR="00B657ED" w:rsidRPr="009510C3" w:rsidRDefault="00B657ED" w:rsidP="00B657ED">
      <w:pPr>
        <w:spacing w:line="360" w:lineRule="auto"/>
        <w:jc w:val="both"/>
        <w:rPr>
          <w:rFonts w:ascii="David" w:hAnsi="David"/>
          <w:b/>
          <w:bCs/>
          <w:u w:val="single"/>
          <w:rtl/>
        </w:rPr>
      </w:pPr>
      <w:r w:rsidRPr="009510C3">
        <w:rPr>
          <w:rFonts w:ascii="David" w:hAnsi="David" w:hint="cs"/>
          <w:b/>
          <w:bCs/>
          <w:u w:val="single"/>
          <w:rtl/>
        </w:rPr>
        <w:t>נסיבות הקשורות בביצוע העבירה</w:t>
      </w:r>
    </w:p>
    <w:p w14:paraId="7CBF61FA" w14:textId="77777777" w:rsidR="00B657ED" w:rsidRPr="009510C3" w:rsidRDefault="00B657ED" w:rsidP="00B657ED">
      <w:pPr>
        <w:spacing w:line="360" w:lineRule="auto"/>
        <w:jc w:val="both"/>
        <w:rPr>
          <w:rFonts w:ascii="David" w:hAnsi="David"/>
          <w:rtl/>
        </w:rPr>
      </w:pPr>
    </w:p>
    <w:p w14:paraId="551EA2A3" w14:textId="77777777" w:rsidR="00B657ED" w:rsidRDefault="00B657ED" w:rsidP="00B657ED">
      <w:pPr>
        <w:spacing w:line="360" w:lineRule="auto"/>
        <w:jc w:val="both"/>
        <w:rPr>
          <w:rFonts w:ascii="David" w:hAnsi="David"/>
          <w:rtl/>
        </w:rPr>
      </w:pPr>
      <w:r w:rsidRPr="009510C3">
        <w:rPr>
          <w:rFonts w:ascii="David" w:hAnsi="David"/>
          <w:rtl/>
        </w:rPr>
        <w:t xml:space="preserve">בענייננו, </w:t>
      </w:r>
      <w:r w:rsidRPr="009510C3">
        <w:rPr>
          <w:rFonts w:ascii="David" w:hAnsi="David" w:hint="cs"/>
          <w:rtl/>
        </w:rPr>
        <w:t xml:space="preserve">מתקיימות נסיבות לא מעטות המצביעות על חומרות מעשיו של הנאשם. </w:t>
      </w:r>
    </w:p>
    <w:p w14:paraId="135239EF" w14:textId="77777777" w:rsidR="00B657ED" w:rsidRPr="009510C3" w:rsidRDefault="00B657ED" w:rsidP="00B657ED">
      <w:pPr>
        <w:spacing w:line="360" w:lineRule="auto"/>
        <w:jc w:val="both"/>
        <w:rPr>
          <w:rFonts w:ascii="David" w:hAnsi="David"/>
          <w:rtl/>
        </w:rPr>
      </w:pPr>
    </w:p>
    <w:p w14:paraId="54853CD2" w14:textId="77777777" w:rsidR="00B657ED" w:rsidRPr="001C70AD" w:rsidRDefault="00B657ED" w:rsidP="00B657ED">
      <w:pPr>
        <w:spacing w:line="360" w:lineRule="auto"/>
        <w:jc w:val="both"/>
        <w:rPr>
          <w:rFonts w:ascii="David" w:hAnsi="David"/>
          <w:rtl/>
        </w:rPr>
      </w:pPr>
      <w:r w:rsidRPr="009510C3">
        <w:rPr>
          <w:rFonts w:ascii="David" w:hAnsi="David" w:hint="cs"/>
          <w:rtl/>
        </w:rPr>
        <w:t xml:space="preserve">ראשית, </w:t>
      </w:r>
      <w:r w:rsidRPr="009510C3">
        <w:rPr>
          <w:rFonts w:ascii="David" w:hAnsi="David"/>
          <w:rtl/>
        </w:rPr>
        <w:t xml:space="preserve">הנאשם </w:t>
      </w:r>
      <w:r w:rsidRPr="009510C3">
        <w:rPr>
          <w:rFonts w:ascii="David" w:hAnsi="David" w:hint="cs"/>
          <w:rtl/>
        </w:rPr>
        <w:t>לא בחל בהפעלת אלימות כלפי המתלוננת</w:t>
      </w:r>
      <w:r w:rsidRPr="009510C3">
        <w:rPr>
          <w:rFonts w:ascii="David" w:hAnsi="David"/>
          <w:rtl/>
        </w:rPr>
        <w:t xml:space="preserve">, כאשר משך מגופה מספר פעמים את התיק, </w:t>
      </w:r>
      <w:r w:rsidRPr="009510C3">
        <w:rPr>
          <w:rFonts w:ascii="David" w:hAnsi="David" w:hint="cs"/>
          <w:rtl/>
        </w:rPr>
        <w:t xml:space="preserve">בעוד </w:t>
      </w:r>
      <w:r w:rsidRPr="009510C3">
        <w:rPr>
          <w:rFonts w:ascii="David" w:hAnsi="David"/>
          <w:rtl/>
        </w:rPr>
        <w:t>רצוע</w:t>
      </w:r>
      <w:r w:rsidRPr="009510C3">
        <w:rPr>
          <w:rFonts w:ascii="David" w:hAnsi="David" w:hint="cs"/>
          <w:rtl/>
        </w:rPr>
        <w:t>תו</w:t>
      </w:r>
      <w:r w:rsidRPr="009510C3">
        <w:rPr>
          <w:rFonts w:ascii="David" w:hAnsi="David"/>
          <w:rtl/>
        </w:rPr>
        <w:t xml:space="preserve"> מקיפה את צווארה</w:t>
      </w:r>
      <w:r w:rsidRPr="009510C3">
        <w:rPr>
          <w:rFonts w:ascii="David" w:hAnsi="David" w:hint="cs"/>
          <w:rtl/>
        </w:rPr>
        <w:t>.</w:t>
      </w:r>
      <w:r w:rsidRPr="009510C3">
        <w:rPr>
          <w:rFonts w:ascii="David" w:hAnsi="David"/>
          <w:rtl/>
        </w:rPr>
        <w:t xml:space="preserve"> </w:t>
      </w:r>
      <w:r w:rsidRPr="009510C3">
        <w:rPr>
          <w:rFonts w:ascii="David" w:hAnsi="David" w:hint="cs"/>
          <w:rtl/>
        </w:rPr>
        <w:t>הנאשם התמיד בהפעלת האלימות גם כאשר כתוצאה מ</w:t>
      </w:r>
      <w:r w:rsidRPr="009510C3">
        <w:rPr>
          <w:rFonts w:ascii="David" w:hAnsi="David"/>
          <w:rtl/>
        </w:rPr>
        <w:t xml:space="preserve">מעשיו </w:t>
      </w:r>
      <w:r w:rsidRPr="009510C3">
        <w:rPr>
          <w:rFonts w:ascii="David" w:hAnsi="David" w:hint="cs"/>
          <w:rtl/>
        </w:rPr>
        <w:t>המתלוננת נפלה על הרצפה</w:t>
      </w:r>
      <w:r>
        <w:rPr>
          <w:rFonts w:ascii="David" w:hAnsi="David" w:hint="cs"/>
          <w:rtl/>
        </w:rPr>
        <w:t>,</w:t>
      </w:r>
      <w:r w:rsidRPr="009510C3">
        <w:rPr>
          <w:rFonts w:ascii="David" w:hAnsi="David" w:hint="cs"/>
          <w:rtl/>
        </w:rPr>
        <w:t xml:space="preserve"> והוא חדל רק לאחר שמימש את זממו והצליח לגנוב את התיק</w:t>
      </w:r>
      <w:r>
        <w:rPr>
          <w:rFonts w:ascii="David" w:hAnsi="David" w:hint="cs"/>
          <w:rtl/>
        </w:rPr>
        <w:t xml:space="preserve"> על תכולתו</w:t>
      </w:r>
      <w:r w:rsidRPr="009510C3">
        <w:rPr>
          <w:rFonts w:ascii="David" w:hAnsi="David" w:hint="cs"/>
          <w:rtl/>
        </w:rPr>
        <w:t>.</w:t>
      </w:r>
      <w:r w:rsidRPr="001C70AD">
        <w:rPr>
          <w:rFonts w:ascii="David" w:hAnsi="David"/>
          <w:rtl/>
        </w:rPr>
        <w:t xml:space="preserve"> </w:t>
      </w:r>
    </w:p>
    <w:p w14:paraId="167B2A92" w14:textId="77777777" w:rsidR="00B657ED" w:rsidRPr="001C70AD" w:rsidRDefault="00B657ED" w:rsidP="00B657ED">
      <w:pPr>
        <w:spacing w:line="360" w:lineRule="auto"/>
        <w:jc w:val="both"/>
        <w:rPr>
          <w:rFonts w:ascii="David" w:hAnsi="David"/>
          <w:rtl/>
        </w:rPr>
      </w:pPr>
    </w:p>
    <w:p w14:paraId="0E1CD432" w14:textId="77777777" w:rsidR="00B657ED" w:rsidRDefault="00B657ED" w:rsidP="00B657ED">
      <w:pPr>
        <w:spacing w:line="360" w:lineRule="auto"/>
        <w:jc w:val="both"/>
        <w:rPr>
          <w:rFonts w:ascii="David" w:hAnsi="David"/>
          <w:rtl/>
        </w:rPr>
      </w:pPr>
      <w:r w:rsidRPr="00AA10EC">
        <w:rPr>
          <w:rFonts w:ascii="David" w:hAnsi="David" w:hint="cs"/>
          <w:rtl/>
        </w:rPr>
        <w:t xml:space="preserve">הנאשם לא נרתע מלבצע את העבירה ברחובה של עיר, בשעות היום. </w:t>
      </w:r>
      <w:r>
        <w:rPr>
          <w:rFonts w:ascii="David" w:hAnsi="David" w:hint="cs"/>
          <w:rtl/>
        </w:rPr>
        <w:t xml:space="preserve">הוא אף לא בחל בתקיפת אישה מבוגרת, ואולי אף ראה עובדה זו כמקלה על ביצוע העבירה. </w:t>
      </w:r>
      <w:r w:rsidRPr="00B765BE">
        <w:rPr>
          <w:rFonts w:ascii="David" w:hAnsi="David" w:hint="cs"/>
          <w:rtl/>
        </w:rPr>
        <w:t xml:space="preserve">העובדה כי התקיפה כוונה כאמור כלפי קורבן בגיל מבוגר מוסיפה </w:t>
      </w:r>
      <w:r>
        <w:rPr>
          <w:rFonts w:ascii="David" w:hAnsi="David" w:hint="cs"/>
          <w:rtl/>
        </w:rPr>
        <w:t>לכיעור שבמעשה וכן ל</w:t>
      </w:r>
      <w:r w:rsidRPr="00B765BE">
        <w:rPr>
          <w:rFonts w:ascii="David" w:hAnsi="David" w:hint="cs"/>
          <w:rtl/>
        </w:rPr>
        <w:t xml:space="preserve">סיכון </w:t>
      </w:r>
      <w:r>
        <w:rPr>
          <w:rFonts w:ascii="David" w:hAnsi="David" w:hint="cs"/>
          <w:rtl/>
        </w:rPr>
        <w:t>הטמון בו עבור הקורבן.</w:t>
      </w:r>
    </w:p>
    <w:p w14:paraId="03053BA3" w14:textId="77777777" w:rsidR="00B657ED" w:rsidRDefault="00B657ED" w:rsidP="00B657ED">
      <w:pPr>
        <w:spacing w:line="360" w:lineRule="auto"/>
        <w:jc w:val="both"/>
        <w:rPr>
          <w:rFonts w:ascii="David" w:hAnsi="David"/>
          <w:rtl/>
        </w:rPr>
      </w:pPr>
    </w:p>
    <w:p w14:paraId="7ACD9BE7" w14:textId="77777777" w:rsidR="00B657ED" w:rsidRPr="008351C7" w:rsidRDefault="00B657ED" w:rsidP="00B657ED">
      <w:pPr>
        <w:spacing w:line="360" w:lineRule="auto"/>
        <w:jc w:val="both"/>
        <w:rPr>
          <w:rFonts w:ascii="Arial" w:hAnsi="Arial"/>
          <w:sz w:val="26"/>
          <w:szCs w:val="26"/>
          <w:rtl/>
        </w:rPr>
      </w:pPr>
      <w:r>
        <w:rPr>
          <w:rFonts w:ascii="David" w:hAnsi="David" w:hint="cs"/>
          <w:rtl/>
        </w:rPr>
        <w:t>בעניין זה</w:t>
      </w:r>
      <w:r w:rsidRPr="00AA10EC">
        <w:rPr>
          <w:rFonts w:ascii="David" w:hAnsi="David"/>
          <w:rtl/>
        </w:rPr>
        <w:t>,</w:t>
      </w:r>
      <w:r>
        <w:rPr>
          <w:rFonts w:ascii="David" w:hAnsi="David" w:hint="cs"/>
          <w:rtl/>
        </w:rPr>
        <w:t xml:space="preserve"> יש לזכור כי</w:t>
      </w:r>
      <w:r w:rsidRPr="00AA10EC">
        <w:rPr>
          <w:rFonts w:ascii="David" w:hAnsi="David"/>
          <w:rtl/>
        </w:rPr>
        <w:t xml:space="preserve"> </w:t>
      </w:r>
      <w:r w:rsidRPr="00AA10EC">
        <w:rPr>
          <w:rFonts w:ascii="David" w:hAnsi="David" w:hint="cs"/>
          <w:rtl/>
        </w:rPr>
        <w:t>למתלוננת נגרם נזק גופני</w:t>
      </w:r>
      <w:r>
        <w:rPr>
          <w:rFonts w:ascii="David" w:hAnsi="David" w:hint="cs"/>
          <w:rtl/>
        </w:rPr>
        <w:t>,</w:t>
      </w:r>
      <w:r w:rsidRPr="00AA10EC">
        <w:rPr>
          <w:rFonts w:ascii="David" w:hAnsi="David" w:hint="cs"/>
          <w:rtl/>
        </w:rPr>
        <w:t xml:space="preserve"> </w:t>
      </w:r>
      <w:r w:rsidRPr="00AA10EC">
        <w:rPr>
          <w:rFonts w:ascii="David" w:hAnsi="David"/>
          <w:rtl/>
        </w:rPr>
        <w:t xml:space="preserve">גם אם </w:t>
      </w:r>
      <w:r w:rsidRPr="00AA10EC">
        <w:rPr>
          <w:rFonts w:ascii="David" w:hAnsi="David" w:hint="cs"/>
          <w:rtl/>
        </w:rPr>
        <w:t xml:space="preserve">לא חמור, ונקל לשער גם נזק נפשי. </w:t>
      </w:r>
      <w:r>
        <w:rPr>
          <w:rFonts w:ascii="David" w:hAnsi="David" w:hint="cs"/>
          <w:rtl/>
        </w:rPr>
        <w:t xml:space="preserve">יתרה </w:t>
      </w:r>
      <w:r w:rsidRPr="007970E4">
        <w:rPr>
          <w:rFonts w:ascii="David" w:hAnsi="David" w:hint="cs"/>
          <w:rtl/>
        </w:rPr>
        <w:t xml:space="preserve">מזו, </w:t>
      </w:r>
      <w:r w:rsidRPr="007970E4">
        <w:rPr>
          <w:rFonts w:ascii="Arial" w:hAnsi="Arial"/>
          <w:rtl/>
        </w:rPr>
        <w:t xml:space="preserve">אין להמעיט מהפגיעה אשר לבטח נגרמה לתחושת הביטחון של </w:t>
      </w:r>
      <w:r w:rsidRPr="007970E4">
        <w:rPr>
          <w:rFonts w:ascii="Arial" w:hAnsi="Arial" w:hint="cs"/>
          <w:rtl/>
        </w:rPr>
        <w:t>המתלוננת</w:t>
      </w:r>
      <w:r w:rsidRPr="007970E4">
        <w:rPr>
          <w:rFonts w:ascii="Arial" w:hAnsi="Arial"/>
          <w:rtl/>
        </w:rPr>
        <w:t>. בעניין זה כבר נפסק:</w:t>
      </w:r>
    </w:p>
    <w:p w14:paraId="3CE2D5E5" w14:textId="77777777" w:rsidR="00B657ED" w:rsidRDefault="00B657ED" w:rsidP="00B657ED">
      <w:pPr>
        <w:spacing w:line="360" w:lineRule="atLeast"/>
        <w:ind w:left="850" w:right="851"/>
        <w:jc w:val="both"/>
        <w:rPr>
          <w:rFonts w:cs="Times New Roman"/>
          <w:i/>
          <w:iCs/>
          <w:color w:val="000000"/>
          <w:rtl/>
        </w:rPr>
      </w:pPr>
      <w:r w:rsidRPr="008351C7">
        <w:rPr>
          <w:rFonts w:ascii="David" w:hAnsi="David"/>
          <w:b/>
          <w:bCs/>
          <w:i/>
          <w:iCs/>
          <w:color w:val="000000"/>
          <w:rtl/>
        </w:rPr>
        <w:t>"...באופן כללי יותר, עבירות של שוד על דרך תקיפה ברחוב פוגעות לא רק בקורבן, אלא בתחושת הביטחון האזרחית הכללית. אחת הציפיות הראשונות של אנשים היוצאים מביתם לרחובות העיר היא היכולת להתנהל בביטחון וללא אימה, ולא כל שכן בסביבה היומיומית והמוכרת. על כן, אין מקום לראות את העבירה שבה נכשל המערער כעבירה קלה, גם אם קיימים מעשי שוד הנעברים בנסיבות מחמירות יותר (עובדה שמתבטאת כמובן במדיניות הענישה ביחס אליהם</w:t>
      </w:r>
      <w:r w:rsidRPr="008351C7">
        <w:rPr>
          <w:rFonts w:ascii="Arial" w:hAnsi="Arial"/>
          <w:rtl/>
        </w:rPr>
        <w:t>)"</w:t>
      </w:r>
      <w:r w:rsidRPr="008351C7">
        <w:rPr>
          <w:rFonts w:ascii="Arial" w:hAnsi="Arial"/>
        </w:rPr>
        <w:t xml:space="preserve"> </w:t>
      </w:r>
      <w:r>
        <w:rPr>
          <w:rFonts w:ascii="Arial" w:hAnsi="Arial" w:hint="cs"/>
          <w:rtl/>
        </w:rPr>
        <w:t xml:space="preserve">עניין </w:t>
      </w:r>
      <w:r w:rsidRPr="008351C7">
        <w:rPr>
          <w:rFonts w:ascii="Arial" w:hAnsi="Arial"/>
          <w:b/>
          <w:bCs/>
          <w:rtl/>
        </w:rPr>
        <w:t>אזולאי</w:t>
      </w:r>
      <w:r w:rsidRPr="008351C7">
        <w:rPr>
          <w:rFonts w:ascii="Arial" w:hAnsi="Arial"/>
          <w:rtl/>
        </w:rPr>
        <w:t xml:space="preserve"> </w:t>
      </w:r>
      <w:r>
        <w:rPr>
          <w:rFonts w:ascii="Arial" w:hAnsi="Arial" w:hint="cs"/>
          <w:rtl/>
        </w:rPr>
        <w:t>הנ"ל</w:t>
      </w:r>
      <w:r>
        <w:rPr>
          <w:rFonts w:ascii="David" w:hAnsi="David" w:hint="cs"/>
          <w:color w:val="000000"/>
          <w:rtl/>
        </w:rPr>
        <w:t>.</w:t>
      </w:r>
    </w:p>
    <w:p w14:paraId="65348F07" w14:textId="77777777" w:rsidR="00B657ED" w:rsidRDefault="00B657ED" w:rsidP="00B657ED">
      <w:pPr>
        <w:spacing w:line="360" w:lineRule="atLeast"/>
        <w:ind w:right="851"/>
        <w:jc w:val="both"/>
        <w:rPr>
          <w:rFonts w:ascii="David" w:hAnsi="David"/>
          <w:color w:val="000000"/>
          <w:rtl/>
        </w:rPr>
      </w:pPr>
    </w:p>
    <w:p w14:paraId="2C5FDB68" w14:textId="77777777" w:rsidR="00B657ED" w:rsidRPr="000C2448" w:rsidRDefault="00B657ED" w:rsidP="00B657ED">
      <w:pPr>
        <w:spacing w:line="360" w:lineRule="atLeast"/>
        <w:ind w:right="142"/>
        <w:jc w:val="both"/>
        <w:rPr>
          <w:rFonts w:cs="Times New Roman"/>
          <w:color w:val="000000"/>
          <w:rtl/>
        </w:rPr>
      </w:pPr>
      <w:r>
        <w:rPr>
          <w:rFonts w:ascii="David" w:hAnsi="David" w:hint="cs"/>
          <w:color w:val="000000"/>
          <w:rtl/>
        </w:rPr>
        <w:t>ואם לא די בכך הרי שגם במישור הכספי נגרם נזק למתלוננת, גם אם לא נמסרה בעניין זה הערכת נזק ברורה.</w:t>
      </w:r>
    </w:p>
    <w:p w14:paraId="7470F2C7" w14:textId="77777777" w:rsidR="00B657ED" w:rsidRDefault="00B657ED" w:rsidP="00B657ED">
      <w:pPr>
        <w:spacing w:line="360" w:lineRule="auto"/>
        <w:jc w:val="both"/>
        <w:rPr>
          <w:rFonts w:ascii="David" w:hAnsi="David"/>
          <w:highlight w:val="yellow"/>
          <w:rtl/>
        </w:rPr>
      </w:pPr>
    </w:p>
    <w:p w14:paraId="2C1EBFDE" w14:textId="77777777" w:rsidR="00B657ED" w:rsidRDefault="00B657ED" w:rsidP="00B657ED">
      <w:pPr>
        <w:spacing w:line="360" w:lineRule="auto"/>
        <w:jc w:val="both"/>
        <w:rPr>
          <w:rFonts w:ascii="David" w:hAnsi="David"/>
          <w:rtl/>
        </w:rPr>
      </w:pPr>
      <w:r w:rsidRPr="00AA10EC">
        <w:rPr>
          <w:rFonts w:ascii="David" w:hAnsi="David" w:hint="cs"/>
          <w:rtl/>
        </w:rPr>
        <w:t>הנה כי כן, מעשיו של הנאשם מתאפיינים בנחישות ובמסוכנות לא מבוטלים</w:t>
      </w:r>
      <w:r>
        <w:rPr>
          <w:rFonts w:ascii="David" w:hAnsi="David" w:hint="cs"/>
          <w:rtl/>
        </w:rPr>
        <w:t>, ולצידם פגיעה במספר מישורים במתלוננת</w:t>
      </w:r>
      <w:r w:rsidRPr="00AA10EC">
        <w:rPr>
          <w:rFonts w:ascii="David" w:hAnsi="David" w:hint="cs"/>
          <w:rtl/>
        </w:rPr>
        <w:t>.</w:t>
      </w:r>
    </w:p>
    <w:p w14:paraId="32B37FFD" w14:textId="77777777" w:rsidR="00B657ED" w:rsidRDefault="00B657ED" w:rsidP="00B657ED">
      <w:pPr>
        <w:spacing w:line="360" w:lineRule="auto"/>
        <w:jc w:val="both"/>
        <w:rPr>
          <w:rFonts w:ascii="David" w:hAnsi="David"/>
          <w:rtl/>
        </w:rPr>
      </w:pPr>
    </w:p>
    <w:p w14:paraId="2B41ECAC" w14:textId="77777777" w:rsidR="00B657ED" w:rsidRPr="000F0315" w:rsidRDefault="00B657ED" w:rsidP="00B657ED">
      <w:pPr>
        <w:spacing w:line="360" w:lineRule="auto"/>
        <w:jc w:val="both"/>
        <w:rPr>
          <w:rFonts w:ascii="Arial" w:hAnsi="Arial"/>
          <w:rtl/>
        </w:rPr>
      </w:pPr>
      <w:r w:rsidRPr="000F0315">
        <w:rPr>
          <w:rFonts w:ascii="Arial" w:hAnsi="Arial"/>
          <w:rtl/>
        </w:rPr>
        <w:t xml:space="preserve">קלות ביצוע העבירה ונפוצותה אף הם מהווים נסיבה לחומרה. ויפים בעניין זה דבריו של בית המשפט העליון בעניין </w:t>
      </w:r>
      <w:r w:rsidRPr="000F0315">
        <w:rPr>
          <w:rFonts w:ascii="Arial" w:hAnsi="Arial"/>
          <w:b/>
          <w:bCs/>
          <w:rtl/>
        </w:rPr>
        <w:t>פלוני</w:t>
      </w:r>
      <w:r w:rsidRPr="000F0315">
        <w:rPr>
          <w:rFonts w:ascii="Arial" w:hAnsi="Arial"/>
          <w:rtl/>
        </w:rPr>
        <w:t>:</w:t>
      </w:r>
    </w:p>
    <w:p w14:paraId="1B213B35" w14:textId="77777777" w:rsidR="00B657ED" w:rsidRPr="000F0315" w:rsidRDefault="00B657ED" w:rsidP="00B657ED">
      <w:pPr>
        <w:spacing w:line="360" w:lineRule="auto"/>
        <w:jc w:val="both"/>
        <w:rPr>
          <w:rFonts w:ascii="Arial" w:hAnsi="Arial"/>
          <w:rtl/>
        </w:rPr>
      </w:pPr>
    </w:p>
    <w:p w14:paraId="64E926FC" w14:textId="77777777" w:rsidR="00B657ED" w:rsidRDefault="00B657ED" w:rsidP="00B657ED">
      <w:pPr>
        <w:spacing w:line="360" w:lineRule="auto"/>
        <w:ind w:left="850" w:right="851"/>
        <w:jc w:val="both"/>
        <w:rPr>
          <w:rFonts w:ascii="Arial" w:hAnsi="Arial"/>
          <w:highlight w:val="green"/>
          <w:rtl/>
        </w:rPr>
      </w:pPr>
      <w:r w:rsidRPr="000F0315">
        <w:rPr>
          <w:b/>
          <w:bCs/>
          <w:i/>
          <w:iCs/>
          <w:color w:val="000000"/>
          <w:rtl/>
        </w:rPr>
        <w:t xml:space="preserve">"למרבה הצער, הפכו, בתקופה האחרונה, מעשי השוד </w:t>
      </w:r>
      <w:r>
        <w:rPr>
          <w:rFonts w:hint="cs"/>
          <w:b/>
          <w:bCs/>
          <w:i/>
          <w:iCs/>
          <w:color w:val="000000"/>
          <w:rtl/>
        </w:rPr>
        <w:t xml:space="preserve">... </w:t>
      </w:r>
      <w:r w:rsidRPr="000F0315">
        <w:rPr>
          <w:b/>
          <w:bCs/>
          <w:i/>
          <w:iCs/>
          <w:color w:val="000000"/>
          <w:rtl/>
        </w:rPr>
        <w:t xml:space="preserve">לתופעה שניתן להגדירהּ כ'מכת מדינה', כאשר חדשות לבקרים מדווחים אנו על תקיפה של קורבנות חסרי הגנה, על-ידי שודדים אלימים וחסרי מעצורים, המבקשים לשדוד את רכושם ולזכות ברווח כספי קל וזמין ... מעבר להיבט הכספי והכלכלי של התופעה, יש ליתן את הדעת לפגיעות הפיזיות, ולא פחות חמור מכך, לפגיעות הנפשיות הנגרמות לקורבנות העבירה, בצד הפגיעה בשלומו ובביטחונו של הציבור בכללותו' </w:t>
      </w:r>
      <w:r w:rsidRPr="000F0315">
        <w:rPr>
          <w:color w:val="000000"/>
          <w:rtl/>
        </w:rPr>
        <w:t>(</w:t>
      </w:r>
      <w:hyperlink r:id="rId16" w:history="1">
        <w:r w:rsidR="00CF39F5" w:rsidRPr="00CF39F5">
          <w:rPr>
            <w:rStyle w:val="Hyperlink"/>
            <w:rtl/>
          </w:rPr>
          <w:t>ע"פ 588/13</w:t>
        </w:r>
      </w:hyperlink>
      <w:r w:rsidRPr="000F0315">
        <w:rPr>
          <w:color w:val="000000"/>
          <w:rtl/>
        </w:rPr>
        <w:t xml:space="preserve"> </w:t>
      </w:r>
      <w:r w:rsidRPr="000F0315">
        <w:rPr>
          <w:b/>
          <w:bCs/>
          <w:color w:val="000000"/>
          <w:rtl/>
        </w:rPr>
        <w:t>פלוני</w:t>
      </w:r>
      <w:r w:rsidRPr="000F0315">
        <w:rPr>
          <w:color w:val="000000"/>
          <w:rtl/>
        </w:rPr>
        <w:t xml:space="preserve"> נ' </w:t>
      </w:r>
      <w:r w:rsidRPr="000F0315">
        <w:rPr>
          <w:b/>
          <w:bCs/>
          <w:color w:val="000000"/>
          <w:rtl/>
        </w:rPr>
        <w:t>מדינת ישראל</w:t>
      </w:r>
      <w:r w:rsidRPr="000F0315">
        <w:rPr>
          <w:color w:val="000000"/>
          <w:rtl/>
        </w:rPr>
        <w:t xml:space="preserve"> </w:t>
      </w:r>
      <w:r w:rsidRPr="000F0315">
        <w:rPr>
          <w:rFonts w:ascii="Arial" w:hAnsi="Arial"/>
          <w:rtl/>
        </w:rPr>
        <w:t xml:space="preserve">(פורסם בנבו, </w:t>
      </w:r>
      <w:r w:rsidRPr="000F0315">
        <w:rPr>
          <w:rFonts w:ascii="David" w:hAnsi="David"/>
        </w:rPr>
        <w:t>27.8.2013</w:t>
      </w:r>
      <w:r w:rsidRPr="000F0315">
        <w:rPr>
          <w:rFonts w:ascii="Arial" w:hAnsi="Arial"/>
          <w:rtl/>
        </w:rPr>
        <w:t>) וכן</w:t>
      </w:r>
      <w:r w:rsidRPr="000F0315">
        <w:rPr>
          <w:color w:val="000000"/>
          <w:rtl/>
        </w:rPr>
        <w:t xml:space="preserve"> </w:t>
      </w:r>
      <w:hyperlink r:id="rId17" w:history="1">
        <w:r w:rsidR="00921F90" w:rsidRPr="00921F90">
          <w:rPr>
            <w:color w:val="0000FF"/>
            <w:u w:val="single"/>
            <w:rtl/>
          </w:rPr>
          <w:t>ע"פ 2031/23</w:t>
        </w:r>
      </w:hyperlink>
      <w:r w:rsidRPr="000F0315">
        <w:rPr>
          <w:color w:val="000000"/>
          <w:rtl/>
        </w:rPr>
        <w:t xml:space="preserve"> </w:t>
      </w:r>
      <w:r w:rsidRPr="000F0315">
        <w:rPr>
          <w:b/>
          <w:bCs/>
          <w:color w:val="000000"/>
          <w:rtl/>
        </w:rPr>
        <w:t xml:space="preserve">טארק בסטי </w:t>
      </w:r>
      <w:r w:rsidRPr="000F0315">
        <w:rPr>
          <w:color w:val="000000"/>
          <w:rtl/>
        </w:rPr>
        <w:t xml:space="preserve">נ' </w:t>
      </w:r>
      <w:r w:rsidRPr="000F0315">
        <w:rPr>
          <w:b/>
          <w:bCs/>
          <w:color w:val="000000"/>
          <w:rtl/>
        </w:rPr>
        <w:t>מדינת ישראל</w:t>
      </w:r>
      <w:r w:rsidRPr="000F0315">
        <w:rPr>
          <w:color w:val="000000"/>
          <w:rtl/>
        </w:rPr>
        <w:t xml:space="preserve"> (פורסם בנבו,</w:t>
      </w:r>
      <w:r w:rsidRPr="000F0315">
        <w:rPr>
          <w:rFonts w:ascii="Arial" w:hAnsi="Arial"/>
          <w:rtl/>
        </w:rPr>
        <w:t xml:space="preserve"> 28.4.24)</w:t>
      </w:r>
      <w:r w:rsidRPr="000F0315">
        <w:rPr>
          <w:rFonts w:ascii="Arial" w:hAnsi="Arial" w:hint="cs"/>
          <w:rtl/>
        </w:rPr>
        <w:t>)</w:t>
      </w:r>
      <w:r w:rsidRPr="000F0315">
        <w:rPr>
          <w:rFonts w:ascii="Arial" w:hAnsi="Arial"/>
          <w:rtl/>
        </w:rPr>
        <w:t>.</w:t>
      </w:r>
      <w:r w:rsidRPr="000F0315">
        <w:rPr>
          <w:rFonts w:ascii="Arial" w:hAnsi="Arial"/>
          <w:highlight w:val="green"/>
          <w:rtl/>
        </w:rPr>
        <w:t xml:space="preserve">  </w:t>
      </w:r>
    </w:p>
    <w:p w14:paraId="5F897D5E" w14:textId="77777777" w:rsidR="00B657ED" w:rsidRDefault="00B657ED" w:rsidP="00B657ED">
      <w:pPr>
        <w:spacing w:line="360" w:lineRule="auto"/>
        <w:ind w:left="850" w:right="851"/>
        <w:jc w:val="both"/>
        <w:rPr>
          <w:rFonts w:ascii="Arial" w:hAnsi="Arial"/>
          <w:highlight w:val="green"/>
          <w:rtl/>
        </w:rPr>
      </w:pPr>
    </w:p>
    <w:p w14:paraId="389B6799" w14:textId="77777777" w:rsidR="00B657ED" w:rsidRDefault="00B657ED" w:rsidP="00B657ED">
      <w:pPr>
        <w:spacing w:line="360" w:lineRule="auto"/>
        <w:jc w:val="both"/>
        <w:rPr>
          <w:rFonts w:ascii="David" w:hAnsi="David"/>
          <w:rtl/>
        </w:rPr>
      </w:pPr>
      <w:r>
        <w:rPr>
          <w:rFonts w:ascii="Arial" w:hAnsi="Arial" w:hint="cs"/>
          <w:rtl/>
        </w:rPr>
        <w:t>לצד האמור, נראה כי לא קדם לביצוע העבירה תכנון של ממש. זאת ועוד, מבלי להמעיט מהפגיעה למתלוננת ומהסיכון שנשקף לה, למרבה המזל לא נגרמה פגיעה פיזית משמעותית.</w:t>
      </w:r>
    </w:p>
    <w:p w14:paraId="3CE23A5D" w14:textId="77777777" w:rsidR="00B657ED" w:rsidRPr="0017628F" w:rsidRDefault="00B657ED" w:rsidP="00B657ED">
      <w:pPr>
        <w:spacing w:line="360" w:lineRule="auto"/>
        <w:jc w:val="both"/>
        <w:rPr>
          <w:rFonts w:ascii="Arial" w:hAnsi="Arial"/>
          <w:sz w:val="26"/>
          <w:szCs w:val="26"/>
          <w:highlight w:val="green"/>
          <w:rtl/>
        </w:rPr>
      </w:pPr>
    </w:p>
    <w:p w14:paraId="4DE5DD32" w14:textId="77777777" w:rsidR="00B657ED" w:rsidRPr="00093194" w:rsidRDefault="00B657ED" w:rsidP="00B657ED">
      <w:pPr>
        <w:spacing w:line="360" w:lineRule="auto"/>
        <w:jc w:val="both"/>
        <w:rPr>
          <w:rFonts w:ascii="Arial" w:hAnsi="Arial"/>
          <w:b/>
          <w:bCs/>
          <w:rtl/>
        </w:rPr>
      </w:pPr>
      <w:r w:rsidRPr="00093194">
        <w:rPr>
          <w:rFonts w:ascii="Arial" w:hAnsi="Arial"/>
          <w:b/>
          <w:bCs/>
          <w:rtl/>
        </w:rPr>
        <w:t>הענישה הנוהגת וקביעת מתחמי הענישה</w:t>
      </w:r>
    </w:p>
    <w:p w14:paraId="0663B816" w14:textId="77777777" w:rsidR="00B657ED" w:rsidRPr="00093194" w:rsidRDefault="00B657ED" w:rsidP="00B657ED">
      <w:pPr>
        <w:spacing w:line="360" w:lineRule="auto"/>
        <w:jc w:val="both"/>
        <w:rPr>
          <w:rFonts w:ascii="Arial" w:hAnsi="Arial"/>
          <w:rtl/>
        </w:rPr>
      </w:pPr>
    </w:p>
    <w:p w14:paraId="3A99CD34" w14:textId="77777777" w:rsidR="00B657ED" w:rsidRPr="00093194" w:rsidRDefault="00B657ED" w:rsidP="00B657ED">
      <w:pPr>
        <w:spacing w:line="360" w:lineRule="auto"/>
        <w:jc w:val="both"/>
        <w:rPr>
          <w:rFonts w:ascii="Arial" w:hAnsi="Arial"/>
          <w:rtl/>
        </w:rPr>
      </w:pPr>
      <w:r w:rsidRPr="00093194">
        <w:rPr>
          <w:rFonts w:ascii="Arial" w:hAnsi="Arial" w:hint="cs"/>
          <w:rtl/>
        </w:rPr>
        <w:t>מעיון בפסיקה אליה הפנו הצדדים וכן בפסיקה נוספת</w:t>
      </w:r>
      <w:r>
        <w:rPr>
          <w:rFonts w:ascii="Arial" w:hAnsi="Arial" w:hint="cs"/>
          <w:rtl/>
        </w:rPr>
        <w:t>,</w:t>
      </w:r>
      <w:r w:rsidRPr="00093194">
        <w:rPr>
          <w:rFonts w:ascii="Arial" w:hAnsi="Arial" w:hint="cs"/>
          <w:rtl/>
        </w:rPr>
        <w:t xml:space="preserve"> עולה כי</w:t>
      </w:r>
      <w:r w:rsidRPr="00093194">
        <w:rPr>
          <w:rFonts w:ascii="Arial" w:hAnsi="Arial"/>
          <w:rtl/>
        </w:rPr>
        <w:t xml:space="preserve"> עבירת השוד טומנת בחובה </w:t>
      </w:r>
      <w:r>
        <w:rPr>
          <w:rFonts w:ascii="Arial" w:hAnsi="Arial" w:hint="cs"/>
          <w:rtl/>
        </w:rPr>
        <w:t>קשת רחבה</w:t>
      </w:r>
      <w:r w:rsidRPr="00093194">
        <w:rPr>
          <w:rFonts w:ascii="Arial" w:hAnsi="Arial"/>
          <w:rtl/>
        </w:rPr>
        <w:t xml:space="preserve"> של מעשים, ובהתאם לכך אף טווח עונשי רחב. לאור זאת נקבע זה מכבר כי </w:t>
      </w:r>
      <w:r w:rsidRPr="00093194">
        <w:rPr>
          <w:rFonts w:ascii="Arial" w:hAnsi="Arial"/>
          <w:b/>
          <w:bCs/>
          <w:i/>
          <w:iCs/>
          <w:rtl/>
        </w:rPr>
        <w:t>"ככל שעסקינן בעבירות דוגמת עבירת השוד, בה ניתן להצביע על מדרג של חומרה, עלינו לזהות את מתחם הענישה הראוי ל</w:t>
      </w:r>
      <w:r>
        <w:rPr>
          <w:rFonts w:ascii="Arial" w:hAnsi="Arial"/>
          <w:b/>
          <w:bCs/>
          <w:i/>
          <w:iCs/>
          <w:rtl/>
        </w:rPr>
        <w:t>קבוצות מעשים הדומים בנסיבותיהם"</w:t>
      </w:r>
      <w:r>
        <w:rPr>
          <w:rFonts w:ascii="Arial" w:hAnsi="Arial" w:hint="cs"/>
          <w:b/>
          <w:bCs/>
          <w:i/>
          <w:iCs/>
          <w:rtl/>
        </w:rPr>
        <w:t xml:space="preserve"> </w:t>
      </w:r>
      <w:r w:rsidRPr="00093194">
        <w:rPr>
          <w:rFonts w:ascii="Arial" w:hAnsi="Arial"/>
          <w:rtl/>
        </w:rPr>
        <w:t>(</w:t>
      </w:r>
      <w:hyperlink r:id="rId18" w:history="1">
        <w:r w:rsidR="00921F90" w:rsidRPr="00921F90">
          <w:rPr>
            <w:rFonts w:ascii="Arial" w:hAnsi="Arial"/>
            <w:color w:val="0000FF"/>
            <w:u w:val="single"/>
            <w:rtl/>
          </w:rPr>
          <w:t>ע"פ 7655/12</w:t>
        </w:r>
      </w:hyperlink>
      <w:r>
        <w:rPr>
          <w:rFonts w:ascii="Arial" w:hAnsi="Arial" w:hint="cs"/>
          <w:rtl/>
        </w:rPr>
        <w:t xml:space="preserve"> </w:t>
      </w:r>
      <w:r w:rsidRPr="00093194">
        <w:rPr>
          <w:rFonts w:ascii="Arial" w:hAnsi="Arial"/>
          <w:b/>
          <w:bCs/>
          <w:rtl/>
        </w:rPr>
        <w:t xml:space="preserve">פייסל </w:t>
      </w:r>
      <w:r w:rsidRPr="001D5286">
        <w:rPr>
          <w:rFonts w:ascii="Arial" w:hAnsi="Arial"/>
          <w:rtl/>
        </w:rPr>
        <w:t>נ'</w:t>
      </w:r>
      <w:r w:rsidRPr="00093194">
        <w:rPr>
          <w:rFonts w:ascii="Arial" w:hAnsi="Arial"/>
          <w:b/>
          <w:bCs/>
          <w:rtl/>
        </w:rPr>
        <w:t xml:space="preserve"> מדינת ישראל </w:t>
      </w:r>
      <w:r w:rsidRPr="00093194">
        <w:rPr>
          <w:rFonts w:ascii="Arial" w:hAnsi="Arial"/>
          <w:rtl/>
        </w:rPr>
        <w:t xml:space="preserve">(פורסם בנבו, 4.4.13)). </w:t>
      </w:r>
    </w:p>
    <w:p w14:paraId="396219FC" w14:textId="77777777" w:rsidR="00B657ED" w:rsidRPr="0017628F" w:rsidRDefault="00B657ED" w:rsidP="00B657ED">
      <w:pPr>
        <w:spacing w:line="360" w:lineRule="auto"/>
        <w:jc w:val="both"/>
        <w:rPr>
          <w:rFonts w:ascii="Arial" w:hAnsi="Arial"/>
          <w:sz w:val="26"/>
          <w:szCs w:val="26"/>
          <w:highlight w:val="green"/>
          <w:rtl/>
        </w:rPr>
      </w:pPr>
    </w:p>
    <w:p w14:paraId="038BA713" w14:textId="77777777" w:rsidR="00B657ED" w:rsidRPr="00ED1FB3" w:rsidRDefault="00B657ED" w:rsidP="00B657ED">
      <w:pPr>
        <w:spacing w:line="360" w:lineRule="auto"/>
        <w:jc w:val="both"/>
        <w:rPr>
          <w:rFonts w:ascii="Arial" w:hAnsi="Arial"/>
          <w:rtl/>
        </w:rPr>
      </w:pPr>
      <w:r w:rsidRPr="00ED1FB3">
        <w:rPr>
          <w:rFonts w:ascii="Arial" w:hAnsi="Arial"/>
          <w:rtl/>
        </w:rPr>
        <w:t>בהתאם לכך, באותו עניין נפסק כי:</w:t>
      </w:r>
    </w:p>
    <w:p w14:paraId="1F95452B" w14:textId="77777777" w:rsidR="00B657ED" w:rsidRPr="00ED1FB3" w:rsidRDefault="00B657ED" w:rsidP="00B657ED">
      <w:pPr>
        <w:spacing w:line="360" w:lineRule="auto"/>
        <w:ind w:left="720" w:right="709"/>
        <w:jc w:val="both"/>
        <w:rPr>
          <w:rFonts w:ascii="Arial" w:hAnsi="Arial"/>
          <w:b/>
          <w:bCs/>
          <w:i/>
          <w:iCs/>
          <w:rtl/>
        </w:rPr>
      </w:pPr>
      <w:r w:rsidRPr="00ED1FB3">
        <w:rPr>
          <w:rFonts w:ascii="Arial" w:hAnsi="Arial"/>
          <w:b/>
          <w:bCs/>
          <w:i/>
          <w:iCs/>
          <w:rtl/>
        </w:rPr>
        <w:t xml:space="preserve">"...מתחם הענישה הראוי לעבירות שוד שבוצעו בנסיבות דומות, קרי, בוצעו באופן "ספונטאני", ללא תכנון מוקדם וללא שימוש בנשק, תוך שלנפגע העבירה נגרמו נזקים שאינם חמורים, עומד על תקופה של 6 חודשי מאסר לבין 2 שנות מאסר." </w:t>
      </w:r>
    </w:p>
    <w:p w14:paraId="3C8B3E1D" w14:textId="77777777" w:rsidR="00B657ED" w:rsidRDefault="00B657ED" w:rsidP="00B657ED">
      <w:pPr>
        <w:spacing w:line="360" w:lineRule="auto"/>
        <w:jc w:val="both"/>
        <w:rPr>
          <w:rFonts w:ascii="Arial" w:hAnsi="Arial"/>
          <w:sz w:val="26"/>
          <w:szCs w:val="26"/>
          <w:highlight w:val="green"/>
          <w:rtl/>
        </w:rPr>
      </w:pPr>
    </w:p>
    <w:p w14:paraId="44DAC0EB" w14:textId="77777777" w:rsidR="00B657ED" w:rsidRPr="000C2448" w:rsidRDefault="00B657ED" w:rsidP="00B657ED">
      <w:pPr>
        <w:spacing w:line="360" w:lineRule="auto"/>
        <w:jc w:val="both"/>
        <w:rPr>
          <w:rFonts w:ascii="Arial" w:hAnsi="Arial"/>
          <w:rtl/>
        </w:rPr>
      </w:pPr>
      <w:r w:rsidRPr="000C2448">
        <w:rPr>
          <w:rFonts w:ascii="Arial" w:hAnsi="Arial" w:hint="cs"/>
          <w:rtl/>
        </w:rPr>
        <w:t xml:space="preserve">עם זאת, לצד האמירה האמורה, ניתן למצוא מקרים רבים בהם בית המשפט קבע מתחם עונשי </w:t>
      </w:r>
      <w:r>
        <w:rPr>
          <w:rFonts w:ascii="Arial" w:hAnsi="Arial" w:hint="cs"/>
          <w:rtl/>
        </w:rPr>
        <w:t xml:space="preserve">וכן עונשי מאסר </w:t>
      </w:r>
      <w:r w:rsidRPr="000C2448">
        <w:rPr>
          <w:rFonts w:ascii="Arial" w:hAnsi="Arial" w:hint="cs"/>
          <w:rtl/>
        </w:rPr>
        <w:t>חמור</w:t>
      </w:r>
      <w:r>
        <w:rPr>
          <w:rFonts w:ascii="Arial" w:hAnsi="Arial" w:hint="cs"/>
          <w:rtl/>
        </w:rPr>
        <w:t>ים</w:t>
      </w:r>
      <w:r w:rsidRPr="000C2448">
        <w:rPr>
          <w:rFonts w:ascii="Arial" w:hAnsi="Arial" w:hint="cs"/>
          <w:rtl/>
        </w:rPr>
        <w:t xml:space="preserve"> יותר.</w:t>
      </w:r>
    </w:p>
    <w:p w14:paraId="1727BDCE" w14:textId="77777777" w:rsidR="00B657ED" w:rsidRDefault="00B657ED" w:rsidP="00B657ED">
      <w:pPr>
        <w:spacing w:line="360" w:lineRule="auto"/>
        <w:jc w:val="both"/>
        <w:rPr>
          <w:rFonts w:ascii="Arial" w:hAnsi="Arial"/>
          <w:highlight w:val="cyan"/>
          <w:rtl/>
        </w:rPr>
      </w:pPr>
    </w:p>
    <w:p w14:paraId="6AA957C8" w14:textId="77777777" w:rsidR="00B657ED" w:rsidRPr="00C64367" w:rsidRDefault="00B657ED" w:rsidP="00B657ED">
      <w:pPr>
        <w:spacing w:line="360" w:lineRule="auto"/>
        <w:jc w:val="both"/>
        <w:rPr>
          <w:rFonts w:ascii="Arial" w:hAnsi="Arial"/>
          <w:rtl/>
        </w:rPr>
      </w:pPr>
      <w:r w:rsidRPr="00C64367">
        <w:rPr>
          <w:rFonts w:ascii="Arial" w:hAnsi="Arial" w:hint="cs"/>
          <w:rtl/>
        </w:rPr>
        <w:t>ב</w:t>
      </w:r>
      <w:hyperlink r:id="rId19" w:history="1">
        <w:r w:rsidR="00921F90" w:rsidRPr="00921F90">
          <w:rPr>
            <w:rFonts w:ascii="Arial" w:hAnsi="Arial"/>
            <w:color w:val="0000FF"/>
            <w:u w:val="single"/>
            <w:rtl/>
          </w:rPr>
          <w:t>ע"פ 2774/12</w:t>
        </w:r>
      </w:hyperlink>
      <w:r w:rsidRPr="00C64367">
        <w:rPr>
          <w:rFonts w:ascii="Arial" w:hAnsi="Arial" w:hint="cs"/>
          <w:rtl/>
        </w:rPr>
        <w:t xml:space="preserve"> </w:t>
      </w:r>
      <w:r w:rsidRPr="00C64367">
        <w:rPr>
          <w:rFonts w:ascii="Arial" w:hAnsi="Arial" w:hint="cs"/>
          <w:b/>
          <w:bCs/>
          <w:rtl/>
        </w:rPr>
        <w:t>אלברט אבשלומוב</w:t>
      </w:r>
      <w:r w:rsidRPr="00C64367">
        <w:rPr>
          <w:rFonts w:ascii="Arial" w:hAnsi="Arial" w:hint="cs"/>
          <w:rtl/>
        </w:rPr>
        <w:t xml:space="preserve"> נ' </w:t>
      </w:r>
      <w:r w:rsidRPr="00C64367">
        <w:rPr>
          <w:rFonts w:ascii="Arial" w:hAnsi="Arial" w:hint="cs"/>
          <w:b/>
          <w:bCs/>
          <w:rtl/>
        </w:rPr>
        <w:t>מדינת ישראל</w:t>
      </w:r>
      <w:r w:rsidRPr="00C64367">
        <w:rPr>
          <w:rFonts w:ascii="Arial" w:hAnsi="Arial" w:hint="cs"/>
          <w:rtl/>
        </w:rPr>
        <w:t xml:space="preserve"> (פורסם בנבו, 19.13.2013) נדחה ערעורו של נאשם, בעל עבר פלילי בתחום, אשר ניגש לאישה, ילידת 1936, שהלכה ברחוב והחזיקה בתיקה האישי, תפס אותו ומשכו בחוזקה חרף התנגדותה של המתלוננת. כתוצאה ממעשיו נגרמו לה כאבים חזקים באצבעות יד שמאל. </w:t>
      </w:r>
      <w:r w:rsidRPr="00C64367">
        <w:rPr>
          <w:rFonts w:ascii="Arial" w:hAnsi="Arial"/>
          <w:rtl/>
        </w:rPr>
        <w:t>כ-10 דקות לאחר מעשיו המתוארים לעיל</w:t>
      </w:r>
      <w:r w:rsidRPr="00C64367">
        <w:rPr>
          <w:rFonts w:ascii="Arial" w:hAnsi="Arial" w:hint="cs"/>
          <w:rtl/>
        </w:rPr>
        <w:t>,</w:t>
      </w:r>
      <w:r w:rsidRPr="00C64367">
        <w:rPr>
          <w:rFonts w:ascii="Arial" w:hAnsi="Arial"/>
          <w:rtl/>
        </w:rPr>
        <w:t xml:space="preserve"> ניגש </w:t>
      </w:r>
      <w:r w:rsidRPr="00C64367">
        <w:rPr>
          <w:rFonts w:ascii="Arial" w:hAnsi="Arial" w:hint="cs"/>
          <w:rtl/>
        </w:rPr>
        <w:t xml:space="preserve">הנאשם </w:t>
      </w:r>
      <w:r w:rsidRPr="00C64367">
        <w:rPr>
          <w:rFonts w:ascii="Arial" w:hAnsi="Arial"/>
          <w:rtl/>
        </w:rPr>
        <w:t xml:space="preserve">למתלוננת </w:t>
      </w:r>
      <w:r w:rsidRPr="00C64367">
        <w:rPr>
          <w:rFonts w:ascii="Arial" w:hAnsi="Arial" w:hint="cs"/>
          <w:rtl/>
        </w:rPr>
        <w:t>השנייה</w:t>
      </w:r>
      <w:r w:rsidRPr="00C64367">
        <w:rPr>
          <w:rFonts w:ascii="Arial" w:hAnsi="Arial"/>
          <w:rtl/>
        </w:rPr>
        <w:t>, ילידת 1927, ובעודה צועדת ברחוב ואוחזת בידיה שקיות מצרכים, נטל ממנה את ארנקה שהיה מוחזק מתחת לבית שחיה השמאלי.</w:t>
      </w:r>
      <w:r w:rsidRPr="00C64367">
        <w:rPr>
          <w:rFonts w:ascii="Arial" w:hAnsi="Arial" w:hint="cs"/>
          <w:rtl/>
        </w:rPr>
        <w:t xml:space="preserve"> בגין מעשים אלו </w:t>
      </w:r>
      <w:r w:rsidRPr="00C64367">
        <w:rPr>
          <w:rFonts w:ascii="Arial" w:hAnsi="Arial"/>
          <w:rtl/>
        </w:rPr>
        <w:t xml:space="preserve">הורשע </w:t>
      </w:r>
      <w:r w:rsidRPr="00C64367">
        <w:rPr>
          <w:rFonts w:ascii="Arial" w:hAnsi="Arial" w:hint="cs"/>
          <w:rtl/>
        </w:rPr>
        <w:t>הנאשם</w:t>
      </w:r>
      <w:r w:rsidRPr="00C64367">
        <w:rPr>
          <w:rFonts w:ascii="Arial" w:hAnsi="Arial"/>
          <w:rtl/>
        </w:rPr>
        <w:t xml:space="preserve"> בעבירות של שוד וגניבה</w:t>
      </w:r>
      <w:r w:rsidRPr="00C64367">
        <w:rPr>
          <w:rFonts w:ascii="Arial" w:hAnsi="Arial" w:hint="cs"/>
          <w:rtl/>
        </w:rPr>
        <w:t xml:space="preserve"> ונגזר עליו עונש של 4.5 שנים מאסר בפועל (כשחצי שנה הופעלה במצטבר מתיק אחר). </w:t>
      </w:r>
    </w:p>
    <w:p w14:paraId="7D998C96" w14:textId="77777777" w:rsidR="00B657ED" w:rsidRDefault="00B657ED" w:rsidP="00B657ED">
      <w:pPr>
        <w:spacing w:line="360" w:lineRule="auto"/>
        <w:jc w:val="both"/>
        <w:rPr>
          <w:rFonts w:ascii="Arial" w:hAnsi="Arial"/>
          <w:highlight w:val="cyan"/>
          <w:rtl/>
        </w:rPr>
      </w:pPr>
    </w:p>
    <w:p w14:paraId="06B35D24" w14:textId="77777777" w:rsidR="00B657ED" w:rsidRDefault="00B657ED" w:rsidP="00B657ED">
      <w:pPr>
        <w:tabs>
          <w:tab w:val="left" w:pos="567"/>
          <w:tab w:val="left" w:pos="1134"/>
          <w:tab w:val="left" w:pos="1701"/>
        </w:tabs>
        <w:spacing w:line="360" w:lineRule="auto"/>
        <w:jc w:val="both"/>
        <w:rPr>
          <w:rFonts w:ascii="David" w:eastAsia="Calibri" w:hAnsi="David"/>
          <w:i/>
        </w:rPr>
      </w:pPr>
      <w:r w:rsidRPr="00C64367">
        <w:rPr>
          <w:rFonts w:ascii="David" w:eastAsia="Calibri" w:hAnsi="David"/>
          <w:i/>
          <w:rtl/>
        </w:rPr>
        <w:t>ב</w:t>
      </w:r>
      <w:hyperlink r:id="rId20" w:history="1">
        <w:r w:rsidR="00921F90" w:rsidRPr="00921F90">
          <w:rPr>
            <w:rFonts w:ascii="David" w:eastAsia="Calibri" w:hAnsi="David"/>
            <w:i/>
            <w:color w:val="0000FF"/>
            <w:u w:val="single"/>
            <w:rtl/>
          </w:rPr>
          <w:t>ע"פ 7238/22</w:t>
        </w:r>
      </w:hyperlink>
      <w:r w:rsidRPr="00C64367">
        <w:rPr>
          <w:rFonts w:ascii="David" w:eastAsia="Calibri" w:hAnsi="David"/>
          <w:i/>
          <w:rtl/>
        </w:rPr>
        <w:t xml:space="preserve"> </w:t>
      </w:r>
      <w:r w:rsidRPr="00C64367">
        <w:rPr>
          <w:rFonts w:ascii="David" w:eastAsia="Calibri" w:hAnsi="David"/>
          <w:b/>
          <w:bCs/>
          <w:i/>
          <w:rtl/>
        </w:rPr>
        <w:t xml:space="preserve">עמאש </w:t>
      </w:r>
      <w:r w:rsidRPr="00C64367">
        <w:rPr>
          <w:rFonts w:ascii="David" w:eastAsia="Calibri" w:hAnsi="David"/>
          <w:i/>
          <w:rtl/>
        </w:rPr>
        <w:t>נ'</w:t>
      </w:r>
      <w:r w:rsidRPr="00C64367">
        <w:rPr>
          <w:rFonts w:ascii="David" w:eastAsia="Calibri" w:hAnsi="David"/>
          <w:b/>
          <w:bCs/>
          <w:i/>
          <w:rtl/>
        </w:rPr>
        <w:t xml:space="preserve"> מדינת ישראל </w:t>
      </w:r>
      <w:r w:rsidRPr="00C64367">
        <w:rPr>
          <w:rFonts w:ascii="David" w:eastAsia="Calibri" w:hAnsi="David"/>
          <w:i/>
          <w:rtl/>
        </w:rPr>
        <w:t>(</w:t>
      </w:r>
      <w:r w:rsidRPr="00C64367">
        <w:rPr>
          <w:rFonts w:ascii="David" w:eastAsia="Calibri" w:hAnsi="David" w:hint="cs"/>
          <w:i/>
          <w:rtl/>
        </w:rPr>
        <w:t xml:space="preserve">פורסם בנבו, </w:t>
      </w:r>
      <w:r w:rsidRPr="00C64367">
        <w:rPr>
          <w:rFonts w:ascii="David" w:eastAsia="Calibri" w:hAnsi="David"/>
          <w:i/>
          <w:rtl/>
        </w:rPr>
        <w:t xml:space="preserve">14.12.2022) </w:t>
      </w:r>
      <w:r w:rsidRPr="00C64367">
        <w:rPr>
          <w:rFonts w:ascii="David" w:eastAsia="Calibri" w:hAnsi="David" w:hint="cs"/>
          <w:i/>
          <w:rtl/>
        </w:rPr>
        <w:t xml:space="preserve">הנאשם </w:t>
      </w:r>
      <w:r w:rsidRPr="00C64367">
        <w:rPr>
          <w:rFonts w:ascii="David" w:eastAsia="Calibri" w:hAnsi="David"/>
          <w:i/>
          <w:rtl/>
        </w:rPr>
        <w:t>הורשע ב</w:t>
      </w:r>
      <w:r w:rsidRPr="00C64367">
        <w:rPr>
          <w:rFonts w:ascii="David" w:eastAsia="Calibri" w:hAnsi="David" w:hint="cs"/>
          <w:i/>
          <w:rtl/>
        </w:rPr>
        <w:t>עבירת שוד</w:t>
      </w:r>
      <w:r w:rsidRPr="00C64367">
        <w:rPr>
          <w:rFonts w:ascii="David" w:eastAsia="Calibri" w:hAnsi="David"/>
          <w:i/>
          <w:rtl/>
        </w:rPr>
        <w:t xml:space="preserve">. באותו מקרה </w:t>
      </w:r>
      <w:r w:rsidRPr="00C64367">
        <w:rPr>
          <w:rFonts w:ascii="David" w:eastAsia="Calibri" w:hAnsi="David" w:hint="cs"/>
          <w:i/>
          <w:rtl/>
        </w:rPr>
        <w:t xml:space="preserve">הנאשם ביצע מעשה שוד בצוותא, </w:t>
      </w:r>
      <w:r w:rsidRPr="00C64367">
        <w:rPr>
          <w:rFonts w:ascii="Century" w:hAnsi="Century" w:hint="cs"/>
          <w:rtl/>
        </w:rPr>
        <w:t>על אף של</w:t>
      </w:r>
      <w:r w:rsidRPr="00C64367">
        <w:rPr>
          <w:rFonts w:ascii="Century" w:hAnsi="Century"/>
          <w:rtl/>
        </w:rPr>
        <w:t>א השתתף באופן אקטיבי בביצוע השוד</w:t>
      </w:r>
      <w:r w:rsidRPr="00C64367">
        <w:rPr>
          <w:rFonts w:ascii="David" w:eastAsia="Calibri" w:hAnsi="David" w:hint="cs"/>
          <w:i/>
          <w:rtl/>
        </w:rPr>
        <w:t>, שותפו לקח מ</w:t>
      </w:r>
      <w:r w:rsidRPr="00C64367">
        <w:rPr>
          <w:rFonts w:ascii="David" w:eastAsia="Calibri" w:hAnsi="David"/>
          <w:i/>
          <w:rtl/>
        </w:rPr>
        <w:t xml:space="preserve">המתלוננת את תיקה </w:t>
      </w:r>
      <w:r w:rsidRPr="00C64367">
        <w:rPr>
          <w:rFonts w:ascii="David" w:eastAsia="Calibri" w:hAnsi="David" w:hint="cs"/>
          <w:i/>
          <w:rtl/>
        </w:rPr>
        <w:t xml:space="preserve">ותכולתו הכולל </w:t>
      </w:r>
      <w:r w:rsidRPr="00C64367">
        <w:rPr>
          <w:rFonts w:ascii="David" w:eastAsia="Calibri" w:hAnsi="David"/>
          <w:i/>
          <w:rtl/>
        </w:rPr>
        <w:t xml:space="preserve">טלפון </w:t>
      </w:r>
      <w:r w:rsidRPr="00C64367">
        <w:rPr>
          <w:rFonts w:ascii="David" w:eastAsia="Calibri" w:hAnsi="David" w:hint="cs"/>
          <w:i/>
          <w:rtl/>
        </w:rPr>
        <w:t xml:space="preserve">נייד </w:t>
      </w:r>
      <w:r w:rsidRPr="00C64367">
        <w:rPr>
          <w:rFonts w:ascii="David" w:eastAsia="Calibri" w:hAnsi="David"/>
          <w:i/>
          <w:rtl/>
        </w:rPr>
        <w:t xml:space="preserve">וסכום כסף זעום. בית המשפט המחוזי קבע מתחם עונש שנע בין 18 עד 48 חודשי מאסר והשית על </w:t>
      </w:r>
      <w:r w:rsidRPr="00C64367">
        <w:rPr>
          <w:rFonts w:ascii="David" w:eastAsia="Calibri" w:hAnsi="David" w:hint="cs"/>
          <w:i/>
          <w:rtl/>
        </w:rPr>
        <w:t xml:space="preserve">הנאשם </w:t>
      </w:r>
      <w:r w:rsidRPr="00C64367">
        <w:rPr>
          <w:rFonts w:ascii="David" w:eastAsia="Calibri" w:hAnsi="David"/>
          <w:i/>
          <w:rtl/>
        </w:rPr>
        <w:t>18 חודשי מאסר לריצוי בפועל. ערעור על חומרת העונש נדחה על ידי בית המשפט העליון.</w:t>
      </w:r>
      <w:r>
        <w:rPr>
          <w:rFonts w:ascii="David" w:eastAsia="Calibri" w:hAnsi="David"/>
          <w:i/>
          <w:rtl/>
        </w:rPr>
        <w:t xml:space="preserve"> </w:t>
      </w:r>
      <w:r>
        <w:rPr>
          <w:rFonts w:ascii="David" w:eastAsia="Calibri" w:hAnsi="David" w:hint="cs"/>
          <w:i/>
          <w:rtl/>
        </w:rPr>
        <w:t xml:space="preserve"> </w:t>
      </w:r>
    </w:p>
    <w:p w14:paraId="2A08F14A" w14:textId="77777777" w:rsidR="00B657ED" w:rsidRDefault="00B657ED" w:rsidP="00B657ED">
      <w:pPr>
        <w:tabs>
          <w:tab w:val="left" w:pos="567"/>
          <w:tab w:val="left" w:pos="1134"/>
          <w:tab w:val="left" w:pos="1701"/>
        </w:tabs>
        <w:spacing w:line="360" w:lineRule="auto"/>
        <w:ind w:left="567" w:hanging="567"/>
        <w:jc w:val="both"/>
        <w:rPr>
          <w:rFonts w:ascii="David" w:eastAsia="Calibri" w:hAnsi="David"/>
          <w:i/>
          <w:rtl/>
        </w:rPr>
      </w:pPr>
    </w:p>
    <w:p w14:paraId="341D7B1A" w14:textId="77777777" w:rsidR="00B657ED" w:rsidRDefault="00921F90" w:rsidP="00B657ED">
      <w:pPr>
        <w:tabs>
          <w:tab w:val="left" w:pos="567"/>
          <w:tab w:val="left" w:pos="1134"/>
          <w:tab w:val="left" w:pos="1701"/>
        </w:tabs>
        <w:spacing w:line="360" w:lineRule="auto"/>
        <w:jc w:val="both"/>
        <w:rPr>
          <w:rFonts w:ascii="David" w:eastAsia="Calibri" w:hAnsi="David"/>
          <w:i/>
          <w:rtl/>
        </w:rPr>
      </w:pPr>
      <w:hyperlink r:id="rId21" w:history="1">
        <w:r w:rsidRPr="00921F90">
          <w:rPr>
            <w:rFonts w:ascii="David" w:eastAsia="Calibri" w:hAnsi="David"/>
            <w:i/>
            <w:color w:val="0000FF"/>
            <w:u w:val="single"/>
            <w:rtl/>
          </w:rPr>
          <w:t>ע"פ 6056/18</w:t>
        </w:r>
      </w:hyperlink>
      <w:r w:rsidR="00B657ED" w:rsidRPr="00ED1FB3">
        <w:rPr>
          <w:rFonts w:ascii="David" w:eastAsia="Calibri" w:hAnsi="David" w:hint="cs"/>
          <w:i/>
          <w:rtl/>
        </w:rPr>
        <w:t xml:space="preserve"> </w:t>
      </w:r>
      <w:r w:rsidR="00B657ED" w:rsidRPr="00ED1FB3">
        <w:rPr>
          <w:rFonts w:ascii="David" w:eastAsia="Calibri" w:hAnsi="David"/>
          <w:i/>
          <w:rtl/>
        </w:rPr>
        <w:t xml:space="preserve"> </w:t>
      </w:r>
      <w:r w:rsidR="00B657ED" w:rsidRPr="00ED1FB3">
        <w:rPr>
          <w:rFonts w:ascii="David" w:eastAsia="Calibri" w:hAnsi="David"/>
          <w:b/>
          <w:bCs/>
          <w:i/>
          <w:rtl/>
        </w:rPr>
        <w:t xml:space="preserve">אדרי </w:t>
      </w:r>
      <w:r w:rsidR="00B657ED" w:rsidRPr="00ED1FB3">
        <w:rPr>
          <w:rFonts w:ascii="David" w:eastAsia="Calibri" w:hAnsi="David"/>
          <w:i/>
          <w:rtl/>
        </w:rPr>
        <w:t>נ'</w:t>
      </w:r>
      <w:r w:rsidR="00B657ED" w:rsidRPr="00ED1FB3">
        <w:rPr>
          <w:rFonts w:ascii="David" w:eastAsia="Calibri" w:hAnsi="David"/>
          <w:b/>
          <w:bCs/>
          <w:i/>
          <w:rtl/>
        </w:rPr>
        <w:t xml:space="preserve"> מדינת ישראל </w:t>
      </w:r>
      <w:r w:rsidR="00B657ED" w:rsidRPr="00ED1FB3">
        <w:rPr>
          <w:rFonts w:ascii="David" w:eastAsia="Calibri" w:hAnsi="David"/>
          <w:i/>
          <w:rtl/>
        </w:rPr>
        <w:t>(</w:t>
      </w:r>
      <w:r w:rsidR="00B657ED" w:rsidRPr="00ED1FB3">
        <w:rPr>
          <w:rFonts w:ascii="David" w:eastAsia="Calibri" w:hAnsi="David" w:hint="cs"/>
          <w:i/>
          <w:rtl/>
        </w:rPr>
        <w:t xml:space="preserve">פורסם בנבו, </w:t>
      </w:r>
      <w:r w:rsidR="00B657ED" w:rsidRPr="00ED1FB3">
        <w:rPr>
          <w:rFonts w:ascii="David" w:eastAsia="Calibri" w:hAnsi="David"/>
          <w:i/>
          <w:rtl/>
        </w:rPr>
        <w:t>16.</w:t>
      </w:r>
      <w:r w:rsidR="00B657ED" w:rsidRPr="00ED1FB3">
        <w:rPr>
          <w:rFonts w:ascii="David" w:eastAsia="Calibri" w:hAnsi="David" w:hint="cs"/>
          <w:i/>
          <w:rtl/>
        </w:rPr>
        <w:t>0</w:t>
      </w:r>
      <w:r w:rsidR="00B657ED" w:rsidRPr="00ED1FB3">
        <w:rPr>
          <w:rFonts w:ascii="David" w:eastAsia="Calibri" w:hAnsi="David"/>
          <w:i/>
          <w:rtl/>
        </w:rPr>
        <w:t>5.2019)</w:t>
      </w:r>
      <w:r w:rsidR="00B657ED" w:rsidRPr="00ED1FB3">
        <w:rPr>
          <w:rFonts w:ascii="David" w:eastAsia="Calibri" w:hAnsi="David" w:hint="cs"/>
          <w:i/>
          <w:rtl/>
        </w:rPr>
        <w:t xml:space="preserve">, נדחה ערעור של הנאשם על חומרת העונש, 38 חודשים. הנאשם </w:t>
      </w:r>
      <w:r w:rsidR="00B657ED" w:rsidRPr="00ED1FB3">
        <w:rPr>
          <w:rFonts w:ascii="David" w:eastAsia="Calibri" w:hAnsi="David"/>
          <w:i/>
          <w:rtl/>
        </w:rPr>
        <w:t xml:space="preserve">הורשע </w:t>
      </w:r>
      <w:r w:rsidR="00B657ED" w:rsidRPr="00ED1FB3">
        <w:rPr>
          <w:rFonts w:ascii="David" w:eastAsia="Calibri" w:hAnsi="David" w:hint="cs"/>
          <w:i/>
          <w:rtl/>
        </w:rPr>
        <w:t xml:space="preserve">בעבירת </w:t>
      </w:r>
      <w:r w:rsidR="00B657ED" w:rsidRPr="00ED1FB3">
        <w:rPr>
          <w:rFonts w:ascii="David" w:eastAsia="Calibri" w:hAnsi="David"/>
          <w:i/>
          <w:rtl/>
        </w:rPr>
        <w:t>שוד</w:t>
      </w:r>
      <w:r w:rsidR="00B657ED" w:rsidRPr="00ED1FB3">
        <w:rPr>
          <w:rFonts w:ascii="David" w:eastAsia="Calibri" w:hAnsi="David" w:hint="cs"/>
          <w:i/>
          <w:rtl/>
        </w:rPr>
        <w:t xml:space="preserve">, </w:t>
      </w:r>
      <w:r w:rsidR="00B657ED" w:rsidRPr="00ED1FB3">
        <w:rPr>
          <w:rFonts w:ascii="David" w:eastAsia="Calibri" w:hAnsi="David"/>
          <w:i/>
          <w:rtl/>
        </w:rPr>
        <w:t xml:space="preserve">לאחר שגנב </w:t>
      </w:r>
      <w:r w:rsidR="00B657ED" w:rsidRPr="00ED1FB3">
        <w:rPr>
          <w:rFonts w:ascii="David" w:eastAsia="Calibri" w:hAnsi="David" w:hint="cs"/>
          <w:i/>
          <w:rtl/>
        </w:rPr>
        <w:t xml:space="preserve">מידיה של </w:t>
      </w:r>
      <w:r w:rsidR="00B657ED" w:rsidRPr="00ED1FB3">
        <w:rPr>
          <w:rFonts w:ascii="David" w:eastAsia="Calibri" w:hAnsi="David"/>
          <w:i/>
          <w:rtl/>
        </w:rPr>
        <w:t>קשישה בת 90 את השקית בה אחזה</w:t>
      </w:r>
      <w:r w:rsidR="00B657ED" w:rsidRPr="00ED1FB3">
        <w:rPr>
          <w:rFonts w:ascii="David" w:eastAsia="Calibri" w:hAnsi="David" w:hint="cs"/>
          <w:i/>
          <w:rtl/>
        </w:rPr>
        <w:t>,</w:t>
      </w:r>
      <w:r w:rsidR="00B657ED" w:rsidRPr="00ED1FB3">
        <w:rPr>
          <w:rFonts w:ascii="David" w:eastAsia="Calibri" w:hAnsi="David"/>
          <w:i/>
          <w:rtl/>
        </w:rPr>
        <w:t xml:space="preserve"> בתוכה היו מצרכים שרכשה וכן </w:t>
      </w:r>
      <w:r w:rsidR="00B657ED" w:rsidRPr="00ED1FB3">
        <w:rPr>
          <w:rFonts w:ascii="David" w:eastAsia="Calibri" w:hAnsi="David" w:hint="cs"/>
          <w:i/>
          <w:rtl/>
        </w:rPr>
        <w:t xml:space="preserve">את ארנקה </w:t>
      </w:r>
      <w:r w:rsidR="00B657ED" w:rsidRPr="00ED1FB3">
        <w:rPr>
          <w:rFonts w:ascii="David" w:eastAsia="Calibri" w:hAnsi="David"/>
          <w:i/>
          <w:rtl/>
        </w:rPr>
        <w:t>שהכיל 200 ₪. כתוצאה ממעש</w:t>
      </w:r>
      <w:r w:rsidR="00B657ED" w:rsidRPr="00ED1FB3">
        <w:rPr>
          <w:rFonts w:ascii="David" w:eastAsia="Calibri" w:hAnsi="David" w:hint="cs"/>
          <w:i/>
          <w:rtl/>
        </w:rPr>
        <w:t xml:space="preserve">יו, </w:t>
      </w:r>
      <w:r w:rsidR="00B657ED" w:rsidRPr="00ED1FB3">
        <w:rPr>
          <w:rFonts w:ascii="David" w:eastAsia="Calibri" w:hAnsi="David"/>
          <w:i/>
          <w:rtl/>
        </w:rPr>
        <w:t xml:space="preserve">נפלה הקשישה ארצה, נחבלה בראשה ונזקקה לטיפול רפואי. </w:t>
      </w:r>
    </w:p>
    <w:p w14:paraId="6A085867" w14:textId="77777777" w:rsidR="00B657ED" w:rsidRDefault="00B657ED" w:rsidP="00B657ED">
      <w:pPr>
        <w:tabs>
          <w:tab w:val="left" w:pos="567"/>
          <w:tab w:val="left" w:pos="1134"/>
          <w:tab w:val="left" w:pos="1701"/>
        </w:tabs>
        <w:spacing w:line="360" w:lineRule="auto"/>
        <w:ind w:left="567" w:hanging="567"/>
        <w:jc w:val="both"/>
        <w:rPr>
          <w:rFonts w:ascii="David" w:eastAsia="Calibri" w:hAnsi="David"/>
          <w:i/>
          <w:rtl/>
        </w:rPr>
      </w:pPr>
    </w:p>
    <w:p w14:paraId="5D345DF4" w14:textId="77777777" w:rsidR="00B657ED" w:rsidRDefault="00B657ED" w:rsidP="00B657ED">
      <w:pPr>
        <w:tabs>
          <w:tab w:val="left" w:pos="567"/>
          <w:tab w:val="left" w:pos="1134"/>
          <w:tab w:val="left" w:pos="1701"/>
        </w:tabs>
        <w:spacing w:line="360" w:lineRule="auto"/>
        <w:jc w:val="both"/>
        <w:rPr>
          <w:rFonts w:ascii="David" w:eastAsia="Calibri" w:hAnsi="David"/>
          <w:i/>
          <w:rtl/>
        </w:rPr>
      </w:pPr>
      <w:r w:rsidRPr="00ED1FB3">
        <w:rPr>
          <w:rFonts w:ascii="David" w:eastAsia="Calibri" w:hAnsi="David"/>
          <w:i/>
          <w:rtl/>
        </w:rPr>
        <w:t>ב</w:t>
      </w:r>
      <w:hyperlink r:id="rId22" w:history="1">
        <w:r w:rsidR="00921F90" w:rsidRPr="00921F90">
          <w:rPr>
            <w:rFonts w:eastAsia="Calibri"/>
            <w:i/>
            <w:color w:val="0000FF"/>
            <w:u w:val="single"/>
            <w:rtl/>
          </w:rPr>
          <w:t>ע"פ 4720/14</w:t>
        </w:r>
      </w:hyperlink>
      <w:r w:rsidRPr="00ED1FB3">
        <w:rPr>
          <w:rFonts w:ascii="David" w:eastAsia="Calibri" w:hAnsi="David"/>
          <w:i/>
          <w:rtl/>
        </w:rPr>
        <w:t xml:space="preserve"> </w:t>
      </w:r>
      <w:r w:rsidRPr="00ED1FB3">
        <w:rPr>
          <w:rFonts w:ascii="David" w:eastAsia="Calibri" w:hAnsi="David"/>
          <w:b/>
          <w:bCs/>
          <w:i/>
          <w:rtl/>
        </w:rPr>
        <w:t>אברהם</w:t>
      </w:r>
      <w:r w:rsidRPr="00ED1FB3">
        <w:rPr>
          <w:rFonts w:ascii="David" w:eastAsia="Calibri" w:hAnsi="David"/>
          <w:i/>
          <w:rtl/>
        </w:rPr>
        <w:t xml:space="preserve"> נ' </w:t>
      </w:r>
      <w:r w:rsidRPr="00ED1FB3">
        <w:rPr>
          <w:rFonts w:ascii="David" w:eastAsia="Calibri" w:hAnsi="David"/>
          <w:b/>
          <w:bCs/>
          <w:i/>
          <w:rtl/>
        </w:rPr>
        <w:t>מדינת ישראל</w:t>
      </w:r>
      <w:r w:rsidRPr="00ED1FB3">
        <w:rPr>
          <w:rFonts w:ascii="David" w:eastAsia="Calibri" w:hAnsi="David"/>
          <w:i/>
          <w:rtl/>
        </w:rPr>
        <w:t xml:space="preserve"> (</w:t>
      </w:r>
      <w:r w:rsidRPr="00ED1FB3">
        <w:rPr>
          <w:rFonts w:ascii="David" w:eastAsia="Calibri" w:hAnsi="David" w:hint="cs"/>
          <w:i/>
          <w:rtl/>
        </w:rPr>
        <w:t xml:space="preserve"> פורסם בנבו, 0</w:t>
      </w:r>
      <w:r w:rsidRPr="00ED1FB3">
        <w:rPr>
          <w:rFonts w:ascii="David" w:eastAsia="Calibri" w:hAnsi="David"/>
          <w:i/>
          <w:rtl/>
        </w:rPr>
        <w:t>2.</w:t>
      </w:r>
      <w:r w:rsidRPr="00ED1FB3">
        <w:rPr>
          <w:rFonts w:ascii="David" w:eastAsia="Calibri" w:hAnsi="David" w:hint="cs"/>
          <w:i/>
          <w:rtl/>
        </w:rPr>
        <w:t>0</w:t>
      </w:r>
      <w:r w:rsidRPr="00ED1FB3">
        <w:rPr>
          <w:rFonts w:ascii="David" w:eastAsia="Calibri" w:hAnsi="David"/>
          <w:i/>
          <w:rtl/>
        </w:rPr>
        <w:t>2.</w:t>
      </w:r>
      <w:r w:rsidRPr="00ED1FB3">
        <w:rPr>
          <w:rFonts w:ascii="David" w:eastAsia="Calibri" w:hAnsi="David" w:hint="cs"/>
          <w:i/>
          <w:rtl/>
        </w:rPr>
        <w:t>20</w:t>
      </w:r>
      <w:r w:rsidRPr="00ED1FB3">
        <w:rPr>
          <w:rFonts w:ascii="David" w:eastAsia="Calibri" w:hAnsi="David"/>
          <w:i/>
          <w:rtl/>
        </w:rPr>
        <w:t xml:space="preserve">15) נדחה ערעור על עונש של 36 חודשי מאסר בפועל שהושת על </w:t>
      </w:r>
      <w:r w:rsidRPr="00ED1FB3">
        <w:rPr>
          <w:rFonts w:ascii="David" w:eastAsia="Calibri" w:hAnsi="David" w:hint="cs"/>
          <w:i/>
          <w:rtl/>
        </w:rPr>
        <w:t>נאשם, בן 19, ללא עבר פלילי,</w:t>
      </w:r>
      <w:r w:rsidRPr="00ED1FB3">
        <w:rPr>
          <w:rFonts w:ascii="David" w:eastAsia="Calibri" w:hAnsi="David"/>
          <w:i/>
          <w:rtl/>
        </w:rPr>
        <w:t xml:space="preserve"> אשר הורשע בשוד, לאחר שהבחין בקשישה שהלכה ברחוב ובידה תיק, הגיע מאחוריה, אחז את תיקה בחוזקה משך אותו וחילץ אותו מידה ונמלט בריצה. כתוצאה ממשיכת התיק נפלה המתלוננת על הארץ ונחבלה </w:t>
      </w:r>
      <w:r w:rsidRPr="00ED1FB3">
        <w:rPr>
          <w:rFonts w:ascii="David" w:eastAsia="Calibri" w:hAnsi="David" w:hint="cs"/>
          <w:i/>
          <w:rtl/>
        </w:rPr>
        <w:t xml:space="preserve">חבלה </w:t>
      </w:r>
      <w:r w:rsidRPr="00ED1FB3">
        <w:rPr>
          <w:rFonts w:ascii="David" w:eastAsia="Calibri" w:hAnsi="David"/>
          <w:i/>
          <w:rtl/>
        </w:rPr>
        <w:t xml:space="preserve">של ממש. </w:t>
      </w:r>
    </w:p>
    <w:p w14:paraId="3D05411E" w14:textId="77777777" w:rsidR="00B657ED" w:rsidRDefault="00B657ED" w:rsidP="00B657ED">
      <w:pPr>
        <w:tabs>
          <w:tab w:val="left" w:pos="567"/>
          <w:tab w:val="left" w:pos="1134"/>
          <w:tab w:val="left" w:pos="1701"/>
        </w:tabs>
        <w:spacing w:line="360" w:lineRule="auto"/>
        <w:jc w:val="both"/>
        <w:rPr>
          <w:rFonts w:ascii="David" w:eastAsia="Calibri" w:hAnsi="David"/>
          <w:i/>
          <w:rtl/>
        </w:rPr>
      </w:pPr>
    </w:p>
    <w:p w14:paraId="0D9FEFD2" w14:textId="77777777" w:rsidR="00B657ED" w:rsidRDefault="00B657ED" w:rsidP="00B657ED">
      <w:pPr>
        <w:tabs>
          <w:tab w:val="left" w:pos="567"/>
          <w:tab w:val="left" w:pos="1134"/>
          <w:tab w:val="left" w:pos="1701"/>
        </w:tabs>
        <w:spacing w:line="360" w:lineRule="auto"/>
        <w:jc w:val="both"/>
        <w:rPr>
          <w:rFonts w:ascii="David" w:eastAsia="Calibri" w:hAnsi="David"/>
          <w:i/>
          <w:rtl/>
        </w:rPr>
      </w:pPr>
      <w:r>
        <w:rPr>
          <w:rFonts w:ascii="David" w:eastAsia="Calibri" w:hAnsi="David" w:hint="cs"/>
          <w:i/>
          <w:rtl/>
        </w:rPr>
        <w:t xml:space="preserve">בעניין </w:t>
      </w:r>
      <w:r w:rsidRPr="00ED1FB3">
        <w:rPr>
          <w:rFonts w:ascii="David" w:eastAsia="Calibri" w:hAnsi="David" w:hint="cs"/>
          <w:b/>
          <w:bCs/>
          <w:i/>
          <w:rtl/>
        </w:rPr>
        <w:t>טשייב</w:t>
      </w:r>
      <w:r>
        <w:rPr>
          <w:rFonts w:ascii="David" w:eastAsia="Calibri" w:hAnsi="David" w:hint="cs"/>
          <w:i/>
          <w:rtl/>
        </w:rPr>
        <w:t xml:space="preserve"> הנ"ל, נגזרו על נאשם בן 37, בעל עבר נקי, הסובל מחלת נפש, ששדד טלפון נייד, אך נתפס בסמוך לכך, והטלפון הוחזר לבעליו, 12 חודשי מאסר לריצוי בפועל. </w:t>
      </w:r>
    </w:p>
    <w:p w14:paraId="4BC00F8C" w14:textId="77777777" w:rsidR="00B657ED" w:rsidRDefault="00B657ED" w:rsidP="00B657ED">
      <w:pPr>
        <w:tabs>
          <w:tab w:val="left" w:pos="567"/>
          <w:tab w:val="left" w:pos="1134"/>
          <w:tab w:val="left" w:pos="1701"/>
        </w:tabs>
        <w:spacing w:line="360" w:lineRule="auto"/>
        <w:jc w:val="both"/>
        <w:rPr>
          <w:rFonts w:ascii="David" w:eastAsia="Calibri" w:hAnsi="David"/>
          <w:i/>
          <w:rtl/>
        </w:rPr>
      </w:pPr>
    </w:p>
    <w:p w14:paraId="222159E8" w14:textId="77777777" w:rsidR="00B657ED" w:rsidRPr="007A10BB" w:rsidRDefault="00B657ED" w:rsidP="00B657ED">
      <w:pPr>
        <w:spacing w:line="360" w:lineRule="auto"/>
        <w:jc w:val="both"/>
        <w:rPr>
          <w:rFonts w:ascii="Arial" w:hAnsi="Arial"/>
          <w:rtl/>
        </w:rPr>
      </w:pPr>
      <w:r w:rsidRPr="007A10BB">
        <w:rPr>
          <w:rFonts w:ascii="Arial" w:hAnsi="Arial"/>
          <w:rtl/>
        </w:rPr>
        <w:t xml:space="preserve">בענייננו, כאמור הורשע הנאשם בעבירת שוד בחלופה המקלה יותר (ללא נסיבות מחמירות), כאשר לא קדם לביצוע העבירה תכנון של ממש, העבירה נעדרת תחכום, ולמרבה המזל היא לא גרמה לתוצאות קשות, לא בנפש ולא ברכוש. </w:t>
      </w:r>
      <w:r>
        <w:rPr>
          <w:rFonts w:ascii="Arial" w:hAnsi="Arial" w:hint="cs"/>
          <w:rtl/>
        </w:rPr>
        <w:t xml:space="preserve">בנוסף, כתב האישום תוקן כך שהושמטה עבירת תקיפת זקן, נסיבה אשר יש להביא אותה בחשבון, גם אם העובדה כי המתלוננת הייתה אישה מבוגרת נותרה בעינה.  </w:t>
      </w:r>
    </w:p>
    <w:p w14:paraId="7482F045" w14:textId="77777777" w:rsidR="00B657ED" w:rsidRPr="007A10BB" w:rsidRDefault="00B657ED" w:rsidP="00B657ED">
      <w:pPr>
        <w:spacing w:line="360" w:lineRule="auto"/>
        <w:jc w:val="both"/>
        <w:rPr>
          <w:rFonts w:ascii="Arial" w:hAnsi="Arial"/>
          <w:rtl/>
        </w:rPr>
      </w:pPr>
    </w:p>
    <w:p w14:paraId="5E4882D9" w14:textId="77777777" w:rsidR="00B657ED" w:rsidRPr="007A10BB" w:rsidRDefault="00B657ED" w:rsidP="00B657ED">
      <w:pPr>
        <w:spacing w:line="360" w:lineRule="auto"/>
        <w:jc w:val="both"/>
        <w:rPr>
          <w:rFonts w:ascii="Arial" w:hAnsi="Arial"/>
          <w:rtl/>
        </w:rPr>
      </w:pPr>
      <w:r w:rsidRPr="007A10BB">
        <w:rPr>
          <w:rFonts w:ascii="Arial" w:hAnsi="Arial"/>
          <w:rtl/>
        </w:rPr>
        <w:t xml:space="preserve">לאור האמור, בגין </w:t>
      </w:r>
      <w:r>
        <w:rPr>
          <w:rFonts w:ascii="Arial" w:hAnsi="Arial" w:hint="cs"/>
          <w:rtl/>
        </w:rPr>
        <w:t>ה</w:t>
      </w:r>
      <w:r w:rsidRPr="007A10BB">
        <w:rPr>
          <w:rFonts w:ascii="Arial" w:hAnsi="Arial"/>
          <w:rtl/>
        </w:rPr>
        <w:t xml:space="preserve">עבירה </w:t>
      </w:r>
      <w:r>
        <w:rPr>
          <w:rFonts w:ascii="Arial" w:hAnsi="Arial" w:hint="cs"/>
          <w:rtl/>
        </w:rPr>
        <w:t>בה הורשע הנאשם,</w:t>
      </w:r>
      <w:r w:rsidRPr="007A10BB">
        <w:rPr>
          <w:rFonts w:ascii="Arial" w:hAnsi="Arial"/>
          <w:rtl/>
        </w:rPr>
        <w:t xml:space="preserve"> יש לקבוע מתחם עונשי הנע בין </w:t>
      </w:r>
      <w:r w:rsidRPr="007A10BB">
        <w:rPr>
          <w:rFonts w:ascii="Arial" w:hAnsi="Arial" w:hint="cs"/>
          <w:rtl/>
        </w:rPr>
        <w:t>1</w:t>
      </w:r>
      <w:r>
        <w:rPr>
          <w:rFonts w:ascii="Arial" w:hAnsi="Arial" w:hint="cs"/>
          <w:rtl/>
        </w:rPr>
        <w:t>4</w:t>
      </w:r>
      <w:r w:rsidRPr="007A10BB">
        <w:rPr>
          <w:rFonts w:ascii="Arial" w:hAnsi="Arial" w:hint="cs"/>
          <w:rtl/>
        </w:rPr>
        <w:t xml:space="preserve">- 36 </w:t>
      </w:r>
      <w:r w:rsidRPr="007A10BB">
        <w:rPr>
          <w:rFonts w:ascii="Arial" w:hAnsi="Arial"/>
          <w:rtl/>
        </w:rPr>
        <w:t>חודשי מאסר לריצוי בפועל, לצד מאסר מותנה, וכן, במקרים המתאימים, קנס ופיצוי לנפגע העבירה.</w:t>
      </w:r>
    </w:p>
    <w:p w14:paraId="1ED09B5F" w14:textId="77777777" w:rsidR="00B657ED" w:rsidRPr="006C7104" w:rsidRDefault="00B657ED" w:rsidP="00B657ED">
      <w:pPr>
        <w:shd w:val="clear" w:color="auto" w:fill="FFFFFF"/>
        <w:jc w:val="both"/>
        <w:rPr>
          <w:rFonts w:ascii="David" w:hAnsi="David"/>
          <w:color w:val="000000"/>
          <w:highlight w:val="green"/>
          <w:rtl/>
        </w:rPr>
      </w:pPr>
    </w:p>
    <w:p w14:paraId="43E54B80" w14:textId="77777777" w:rsidR="00B657ED" w:rsidRDefault="00B657ED" w:rsidP="00B657ED">
      <w:pPr>
        <w:spacing w:line="360" w:lineRule="auto"/>
        <w:jc w:val="both"/>
        <w:rPr>
          <w:rFonts w:ascii="David" w:hAnsi="David"/>
          <w:b/>
          <w:bCs/>
          <w:rtl/>
        </w:rPr>
      </w:pPr>
      <w:r w:rsidRPr="001C70AD">
        <w:rPr>
          <w:rFonts w:ascii="David" w:hAnsi="David"/>
          <w:b/>
          <w:bCs/>
          <w:rtl/>
        </w:rPr>
        <w:t xml:space="preserve">נסיבותיו האישיות של הנאשם </w:t>
      </w:r>
    </w:p>
    <w:p w14:paraId="4E8E4BFC" w14:textId="77777777" w:rsidR="00B657ED" w:rsidRPr="001C70AD" w:rsidRDefault="00B657ED" w:rsidP="00B657ED">
      <w:pPr>
        <w:spacing w:line="360" w:lineRule="auto"/>
        <w:jc w:val="both"/>
        <w:rPr>
          <w:rFonts w:ascii="David" w:hAnsi="David"/>
          <w:b/>
          <w:bCs/>
        </w:rPr>
      </w:pPr>
    </w:p>
    <w:p w14:paraId="4405DE42" w14:textId="77777777" w:rsidR="00B657ED" w:rsidRPr="001C70AD" w:rsidRDefault="00B657ED" w:rsidP="00B657ED">
      <w:pPr>
        <w:spacing w:line="360" w:lineRule="auto"/>
        <w:jc w:val="both"/>
        <w:rPr>
          <w:rFonts w:ascii="David" w:hAnsi="David"/>
        </w:rPr>
      </w:pPr>
      <w:r w:rsidRPr="001C70AD">
        <w:rPr>
          <w:rFonts w:ascii="David" w:hAnsi="David"/>
          <w:rtl/>
        </w:rPr>
        <w:t>בבוא</w:t>
      </w:r>
      <w:r>
        <w:rPr>
          <w:rFonts w:ascii="David" w:hAnsi="David" w:hint="cs"/>
          <w:rtl/>
        </w:rPr>
        <w:t xml:space="preserve">י </w:t>
      </w:r>
      <w:r w:rsidRPr="001C70AD">
        <w:rPr>
          <w:rFonts w:ascii="David" w:hAnsi="David"/>
          <w:rtl/>
        </w:rPr>
        <w:t xml:space="preserve">לקבוע את </w:t>
      </w:r>
      <w:r>
        <w:rPr>
          <w:rFonts w:ascii="David" w:hAnsi="David" w:hint="cs"/>
          <w:rtl/>
        </w:rPr>
        <w:t>מיקום העונש הראוי לנאשם שבפניי ב</w:t>
      </w:r>
      <w:r w:rsidRPr="001C70AD">
        <w:rPr>
          <w:rFonts w:ascii="David" w:hAnsi="David"/>
          <w:rtl/>
        </w:rPr>
        <w:t xml:space="preserve">מתחם העונש </w:t>
      </w:r>
      <w:r>
        <w:rPr>
          <w:rFonts w:ascii="David" w:hAnsi="David" w:hint="cs"/>
          <w:rtl/>
        </w:rPr>
        <w:t>שנקבע, מן הראוי לשוב ולפרט בנוגע לנסיבותיו</w:t>
      </w:r>
      <w:r w:rsidRPr="001C70AD">
        <w:rPr>
          <w:rFonts w:ascii="David" w:hAnsi="David"/>
          <w:rtl/>
        </w:rPr>
        <w:t>.</w:t>
      </w:r>
    </w:p>
    <w:p w14:paraId="302C7068" w14:textId="77777777" w:rsidR="00B657ED" w:rsidRPr="001D5286" w:rsidRDefault="00B657ED" w:rsidP="00B657ED">
      <w:pPr>
        <w:rPr>
          <w:rFonts w:ascii="David" w:hAnsi="David"/>
          <w:b/>
          <w:bCs/>
          <w:rtl/>
        </w:rPr>
      </w:pPr>
    </w:p>
    <w:p w14:paraId="33E104DF" w14:textId="77777777" w:rsidR="00B657ED" w:rsidRDefault="00B657ED" w:rsidP="00B657ED">
      <w:pPr>
        <w:spacing w:line="360" w:lineRule="auto"/>
        <w:jc w:val="both"/>
        <w:rPr>
          <w:rFonts w:ascii="David" w:hAnsi="David"/>
          <w:rtl/>
        </w:rPr>
      </w:pPr>
      <w:r>
        <w:rPr>
          <w:rFonts w:ascii="David" w:hAnsi="David" w:hint="cs"/>
          <w:rtl/>
        </w:rPr>
        <w:t xml:space="preserve">כפי שעלה מתסקיר שירות המבחן ומחוות הדעת הפסיכיאטרית הנאשם סובל זה מכבר ממצב נפשי מורכב, עד כדי כך שבמקרה אחד נקבע כי אינו כשיר לעמוד לדין וניתן בעניינו צו מרפאתי. על פי חוות הדעת הפסיכיאטרית שהוגשה, הנאשם אובחן כסובל מתחלואה כפולה, עם </w:t>
      </w:r>
      <w:r w:rsidRPr="001C70AD">
        <w:rPr>
          <w:rFonts w:ascii="David" w:hAnsi="David"/>
          <w:rtl/>
        </w:rPr>
        <w:t xml:space="preserve">הפרעה </w:t>
      </w:r>
      <w:r w:rsidRPr="00E94FA5">
        <w:rPr>
          <w:rFonts w:ascii="David" w:hAnsi="David"/>
          <w:rtl/>
        </w:rPr>
        <w:t>סכיזואפקטיבית</w:t>
      </w:r>
      <w:r>
        <w:rPr>
          <w:rFonts w:ascii="David" w:hAnsi="David" w:hint="cs"/>
          <w:rtl/>
        </w:rPr>
        <w:t>,</w:t>
      </w:r>
      <w:r w:rsidRPr="00E94FA5">
        <w:rPr>
          <w:rFonts w:ascii="David" w:hAnsi="David"/>
          <w:rtl/>
        </w:rPr>
        <w:t xml:space="preserve"> </w:t>
      </w:r>
      <w:r>
        <w:rPr>
          <w:rFonts w:ascii="David" w:hAnsi="David" w:hint="cs"/>
          <w:rtl/>
        </w:rPr>
        <w:t xml:space="preserve">המחייבת טיפול תרופתי. </w:t>
      </w:r>
    </w:p>
    <w:p w14:paraId="5A84B69A" w14:textId="77777777" w:rsidR="00B657ED" w:rsidRDefault="00B657ED" w:rsidP="00B657ED">
      <w:pPr>
        <w:spacing w:line="360" w:lineRule="auto"/>
        <w:jc w:val="both"/>
        <w:rPr>
          <w:rFonts w:ascii="David" w:hAnsi="David"/>
          <w:rtl/>
        </w:rPr>
      </w:pPr>
    </w:p>
    <w:p w14:paraId="305E18C0" w14:textId="77777777" w:rsidR="00B657ED" w:rsidRDefault="00B657ED" w:rsidP="00B657ED">
      <w:pPr>
        <w:spacing w:line="360" w:lineRule="auto"/>
        <w:jc w:val="both"/>
        <w:rPr>
          <w:rFonts w:ascii="David" w:hAnsi="David"/>
          <w:rtl/>
        </w:rPr>
      </w:pPr>
      <w:r>
        <w:rPr>
          <w:rFonts w:ascii="David" w:hAnsi="David" w:hint="cs"/>
          <w:rtl/>
        </w:rPr>
        <w:t xml:space="preserve">עוד יש להתחשב בנסיבות חייו הלא פשוטות של הנאשם, אשר בטרם ביצוע העבירה היה דר רחוב, לאחר שעזב הוסטל טיפולי. סנגורו טען כי ביצע את העבירה לאחר שהגיע לפת לחם, כאשר הוא ללא כל מערכת משפחתית תומכת והוא מצוי במצב סוציאלי קשה מתמשך. אומנם אין להצדיק בשום פנים ואופן פגיעה באחר על מנת להטיב מצב כלכלי, אך נראה כי הנאשם פעל מתוך מצוקה של ממש, נסיבה רלוונטית מאוד לענישה. </w:t>
      </w:r>
    </w:p>
    <w:p w14:paraId="24E83952" w14:textId="77777777" w:rsidR="00B657ED" w:rsidRDefault="00B657ED" w:rsidP="00B657ED">
      <w:pPr>
        <w:spacing w:line="360" w:lineRule="auto"/>
        <w:jc w:val="both"/>
        <w:rPr>
          <w:rFonts w:ascii="David" w:hAnsi="David"/>
          <w:rtl/>
        </w:rPr>
      </w:pPr>
    </w:p>
    <w:p w14:paraId="7BEBC1C6" w14:textId="77777777" w:rsidR="00B657ED" w:rsidRPr="001C70AD" w:rsidRDefault="00B657ED" w:rsidP="00B657ED">
      <w:pPr>
        <w:spacing w:line="360" w:lineRule="auto"/>
        <w:jc w:val="both"/>
        <w:rPr>
          <w:rFonts w:ascii="David" w:hAnsi="David"/>
          <w:rtl/>
        </w:rPr>
      </w:pPr>
      <w:r>
        <w:rPr>
          <w:rFonts w:ascii="David" w:hAnsi="David" w:hint="cs"/>
          <w:rtl/>
        </w:rPr>
        <w:t xml:space="preserve">עוד יש להביא בחשבון את הודאתו של הנאשם בעבירה, אשר יש בה משום קבלת אחריות ואף חיסכון בזמן שיפוטי. </w:t>
      </w:r>
      <w:r w:rsidRPr="001C70AD">
        <w:rPr>
          <w:rFonts w:ascii="David" w:hAnsi="David"/>
          <w:rtl/>
        </w:rPr>
        <w:t xml:space="preserve"> </w:t>
      </w:r>
    </w:p>
    <w:p w14:paraId="1E75B19B" w14:textId="77777777" w:rsidR="00B657ED" w:rsidRPr="001C70AD" w:rsidRDefault="00B657ED" w:rsidP="00B657ED">
      <w:pPr>
        <w:spacing w:line="360" w:lineRule="auto"/>
        <w:jc w:val="both"/>
        <w:rPr>
          <w:rFonts w:ascii="David" w:hAnsi="David"/>
          <w:rtl/>
        </w:rPr>
      </w:pPr>
    </w:p>
    <w:p w14:paraId="242B57B5" w14:textId="77777777" w:rsidR="00B657ED" w:rsidRDefault="00B657ED" w:rsidP="00B657ED">
      <w:pPr>
        <w:spacing w:line="360" w:lineRule="auto"/>
        <w:jc w:val="both"/>
        <w:rPr>
          <w:rFonts w:ascii="David" w:hAnsi="David"/>
          <w:rtl/>
        </w:rPr>
      </w:pPr>
      <w:r>
        <w:rPr>
          <w:rFonts w:ascii="David" w:hAnsi="David" w:hint="cs"/>
          <w:rtl/>
        </w:rPr>
        <w:t xml:space="preserve">מאידך גיסא, אין זו מעידתו הראשונה של הנאשם, כאשר לחובתו הרשעה ישנה יחסית (משנת 2014), אך גם צו מרפאתי עקב אישום בחבלה חמורה (משנת 2023). </w:t>
      </w:r>
    </w:p>
    <w:p w14:paraId="2DD090C6" w14:textId="77777777" w:rsidR="00B657ED" w:rsidRDefault="00B657ED" w:rsidP="00B657ED">
      <w:pPr>
        <w:spacing w:line="360" w:lineRule="auto"/>
        <w:jc w:val="both"/>
        <w:rPr>
          <w:rFonts w:ascii="David" w:hAnsi="David"/>
          <w:rtl/>
        </w:rPr>
      </w:pPr>
    </w:p>
    <w:p w14:paraId="354EC37D" w14:textId="77777777" w:rsidR="00B657ED" w:rsidRDefault="00B657ED" w:rsidP="00B657ED">
      <w:pPr>
        <w:spacing w:line="360" w:lineRule="auto"/>
        <w:jc w:val="both"/>
        <w:rPr>
          <w:rFonts w:ascii="David" w:hAnsi="David"/>
          <w:rtl/>
        </w:rPr>
      </w:pPr>
      <w:r>
        <w:rPr>
          <w:rFonts w:ascii="David" w:hAnsi="David" w:hint="cs"/>
          <w:rtl/>
        </w:rPr>
        <w:t xml:space="preserve">בדומה, העובדה כי הנאשם לא השלים תהליך גמילה, גם אם התמיד בו במשך פרק זמן מסוים, הערכת שירות המבחן כי הוא יתקשה לגייס את הכוחות הנדרשים לתהליך טיפולי מעמיק בתחום ההתמכרויות, וכן ההערכה כי קיים סיכון להישנות פורצת גבולות, בפרט בעבירות אלימות, מציבות את הנאשם כמי שעלול לשוב ולבצע עבירות בעלות מסוכנות לציבור.  </w:t>
      </w:r>
    </w:p>
    <w:p w14:paraId="29AE57CC" w14:textId="77777777" w:rsidR="00B657ED" w:rsidRDefault="00B657ED" w:rsidP="00B657ED">
      <w:pPr>
        <w:spacing w:line="360" w:lineRule="auto"/>
        <w:jc w:val="both"/>
        <w:rPr>
          <w:rFonts w:ascii="David" w:hAnsi="David"/>
          <w:rtl/>
        </w:rPr>
      </w:pPr>
    </w:p>
    <w:p w14:paraId="206AE83B" w14:textId="77777777" w:rsidR="00B657ED" w:rsidRDefault="00B657ED" w:rsidP="00B657ED">
      <w:pPr>
        <w:spacing w:line="360" w:lineRule="auto"/>
        <w:jc w:val="both"/>
        <w:rPr>
          <w:rFonts w:ascii="David" w:hAnsi="David"/>
          <w:rtl/>
        </w:rPr>
      </w:pPr>
      <w:r>
        <w:rPr>
          <w:rFonts w:ascii="David" w:hAnsi="David" w:hint="cs"/>
          <w:rtl/>
        </w:rPr>
        <w:t>על רקע כלל  האמור, ומבלי להתעלם מחומרת העבירה ומהסיכון להישנות התנהגות עבריינית כאמור, מצאתי לתת משקל נכבד לנסיבות האישיות והנפשיות של הנאשם. לאור זאת, אני סבור כי יש להציב את עונשו של הנאשם בחלק התחתון של מתחם הענישה, גם אם לא ברף הנמוך ביותר. לצד האמור, יש מקום להטיל עליו ענישה צופה פני עתיד משמעותית אשר אני תקווה שתשמש לו תמרור אזהרה.</w:t>
      </w:r>
    </w:p>
    <w:p w14:paraId="405BDEF9" w14:textId="77777777" w:rsidR="00B657ED" w:rsidRPr="001C70AD" w:rsidRDefault="00B657ED" w:rsidP="00B657ED">
      <w:pPr>
        <w:spacing w:line="360" w:lineRule="auto"/>
        <w:jc w:val="both"/>
        <w:rPr>
          <w:rFonts w:ascii="David" w:hAnsi="David"/>
          <w:rtl/>
        </w:rPr>
      </w:pPr>
    </w:p>
    <w:p w14:paraId="1F85D17F" w14:textId="77777777" w:rsidR="00B657ED" w:rsidRPr="00B76E57" w:rsidRDefault="00B657ED" w:rsidP="00B657ED">
      <w:pPr>
        <w:spacing w:line="360" w:lineRule="auto"/>
        <w:jc w:val="both"/>
        <w:rPr>
          <w:rFonts w:ascii="David" w:hAnsi="David"/>
          <w:b/>
          <w:bCs/>
          <w:rtl/>
        </w:rPr>
      </w:pPr>
      <w:r w:rsidRPr="00B76E57">
        <w:rPr>
          <w:rFonts w:ascii="David" w:hAnsi="David"/>
          <w:b/>
          <w:bCs/>
          <w:rtl/>
        </w:rPr>
        <w:t xml:space="preserve">סוף דבר </w:t>
      </w:r>
    </w:p>
    <w:p w14:paraId="6BC2C336" w14:textId="77777777" w:rsidR="00B657ED" w:rsidRPr="00B76E57" w:rsidRDefault="00B657ED" w:rsidP="00B657ED">
      <w:pPr>
        <w:spacing w:line="360" w:lineRule="auto"/>
        <w:jc w:val="both"/>
        <w:rPr>
          <w:rFonts w:ascii="David" w:hAnsi="David"/>
          <w:rtl/>
        </w:rPr>
      </w:pPr>
      <w:r w:rsidRPr="00B76E57">
        <w:rPr>
          <w:rFonts w:ascii="David" w:hAnsi="David"/>
          <w:rtl/>
        </w:rPr>
        <w:t xml:space="preserve">הנאשם הורשע כאמור </w:t>
      </w:r>
      <w:r>
        <w:rPr>
          <w:rFonts w:ascii="David" w:hAnsi="David"/>
          <w:rtl/>
        </w:rPr>
        <w:t>בעביר</w:t>
      </w:r>
      <w:r>
        <w:rPr>
          <w:rFonts w:ascii="David" w:hAnsi="David" w:hint="cs"/>
          <w:rtl/>
        </w:rPr>
        <w:t>ת</w:t>
      </w:r>
      <w:r w:rsidRPr="00B76E57">
        <w:rPr>
          <w:rFonts w:ascii="David" w:hAnsi="David"/>
          <w:rtl/>
        </w:rPr>
        <w:t xml:space="preserve"> שוד אשר פגיעתה בשלום הפרט והציבור </w:t>
      </w:r>
      <w:r>
        <w:rPr>
          <w:rFonts w:ascii="David" w:hAnsi="David" w:hint="cs"/>
          <w:rtl/>
        </w:rPr>
        <w:t>מובהקת</w:t>
      </w:r>
      <w:r w:rsidRPr="00B76E57">
        <w:rPr>
          <w:rFonts w:ascii="David" w:hAnsi="David"/>
          <w:rtl/>
        </w:rPr>
        <w:t>. עבירת השוד בה הורשע, אינה נעדרת חומרה, הן בשל האלימות שהופעלה והן לאור פוטנציאל הנזק האינהרנטי לעבירה</w:t>
      </w:r>
      <w:r>
        <w:rPr>
          <w:rFonts w:ascii="David" w:hAnsi="David" w:hint="cs"/>
          <w:rtl/>
        </w:rPr>
        <w:t>, במיוחד כאשר היא בוצעה כלפי קורבן מבוגר בגילו</w:t>
      </w:r>
      <w:r w:rsidRPr="00B76E57">
        <w:rPr>
          <w:rFonts w:ascii="David" w:hAnsi="David"/>
          <w:rtl/>
        </w:rPr>
        <w:t xml:space="preserve">. </w:t>
      </w:r>
      <w:r>
        <w:rPr>
          <w:rFonts w:ascii="David" w:hAnsi="David" w:hint="cs"/>
          <w:rtl/>
        </w:rPr>
        <w:t>עוד יש להתחשב בעובדה כי אין זו הסתבכותו הראשונה של הנאשם עם החוק.</w:t>
      </w:r>
    </w:p>
    <w:p w14:paraId="29C7D2CC" w14:textId="77777777" w:rsidR="00B657ED" w:rsidRPr="00B76E57" w:rsidRDefault="00B657ED" w:rsidP="00B657ED">
      <w:pPr>
        <w:spacing w:line="360" w:lineRule="auto"/>
        <w:jc w:val="both"/>
        <w:rPr>
          <w:rFonts w:ascii="David" w:hAnsi="David"/>
          <w:rtl/>
        </w:rPr>
      </w:pPr>
    </w:p>
    <w:p w14:paraId="71EEB067" w14:textId="77777777" w:rsidR="00B657ED" w:rsidRDefault="00B657ED" w:rsidP="00B657ED">
      <w:pPr>
        <w:spacing w:line="360" w:lineRule="auto"/>
        <w:jc w:val="both"/>
        <w:rPr>
          <w:rFonts w:ascii="David" w:hAnsi="David"/>
          <w:rtl/>
        </w:rPr>
      </w:pPr>
      <w:r w:rsidRPr="00B76E57">
        <w:rPr>
          <w:rFonts w:ascii="David" w:hAnsi="David"/>
          <w:rtl/>
        </w:rPr>
        <w:t xml:space="preserve">מאידך גיסא, קיימות במקרה זה נסיבות מקלות </w:t>
      </w:r>
      <w:r>
        <w:rPr>
          <w:rFonts w:ascii="David" w:hAnsi="David" w:hint="cs"/>
          <w:rtl/>
        </w:rPr>
        <w:t>כפי שפורטו</w:t>
      </w:r>
      <w:r w:rsidRPr="00B76E57">
        <w:rPr>
          <w:rFonts w:ascii="David" w:hAnsi="David"/>
          <w:rtl/>
        </w:rPr>
        <w:t xml:space="preserve">, </w:t>
      </w:r>
      <w:r>
        <w:rPr>
          <w:rFonts w:ascii="David" w:hAnsi="David" w:hint="cs"/>
          <w:rtl/>
        </w:rPr>
        <w:t>בראשן היעדר תכנון, הנזק הפיזי המוגבל שנגרם וכן נסיבותיו האישיות והרפואיות של הנאשם.</w:t>
      </w:r>
      <w:r w:rsidRPr="00B76E57">
        <w:rPr>
          <w:rFonts w:ascii="David" w:hAnsi="David"/>
          <w:rtl/>
        </w:rPr>
        <w:t xml:space="preserve"> </w:t>
      </w:r>
    </w:p>
    <w:p w14:paraId="6CF24684" w14:textId="77777777" w:rsidR="00B657ED" w:rsidRDefault="00B657ED" w:rsidP="00B657ED">
      <w:pPr>
        <w:spacing w:line="360" w:lineRule="auto"/>
        <w:jc w:val="both"/>
        <w:rPr>
          <w:rFonts w:ascii="David" w:hAnsi="David"/>
          <w:rtl/>
        </w:rPr>
      </w:pPr>
    </w:p>
    <w:p w14:paraId="258833C2" w14:textId="77777777" w:rsidR="00B657ED" w:rsidRPr="00B76E57" w:rsidRDefault="00B657ED" w:rsidP="00B657ED">
      <w:pPr>
        <w:spacing w:line="360" w:lineRule="auto"/>
        <w:jc w:val="both"/>
        <w:rPr>
          <w:rFonts w:ascii="David" w:hAnsi="David"/>
          <w:rtl/>
        </w:rPr>
      </w:pPr>
      <w:r>
        <w:rPr>
          <w:rFonts w:ascii="David" w:hAnsi="David" w:hint="cs"/>
          <w:rtl/>
        </w:rPr>
        <w:t>עוד מצאתי לאזן את החלטתי להימנע מהטלת עונשים כספיים, ובכלל זה פיצוי למתלוננת, לאור נסיבותיו האישיות של הנאשם, בהחמרה מסוימת ברכיבי המאסר.</w:t>
      </w:r>
    </w:p>
    <w:p w14:paraId="7536726A" w14:textId="77777777" w:rsidR="00B657ED" w:rsidRPr="00B76E57" w:rsidRDefault="00B657ED" w:rsidP="00B657ED">
      <w:pPr>
        <w:jc w:val="both"/>
        <w:rPr>
          <w:rFonts w:ascii="David" w:hAnsi="David"/>
          <w:rtl/>
        </w:rPr>
      </w:pPr>
    </w:p>
    <w:p w14:paraId="44D03DA6" w14:textId="77777777" w:rsidR="00B657ED" w:rsidRPr="00DA0861" w:rsidRDefault="00B657ED" w:rsidP="00B657ED">
      <w:pPr>
        <w:spacing w:line="360" w:lineRule="auto"/>
        <w:jc w:val="both"/>
        <w:rPr>
          <w:rFonts w:ascii="David" w:hAnsi="David"/>
          <w:rtl/>
        </w:rPr>
      </w:pPr>
      <w:r w:rsidRPr="00DA0861">
        <w:rPr>
          <w:rFonts w:ascii="David" w:hAnsi="David"/>
          <w:rtl/>
        </w:rPr>
        <w:t xml:space="preserve">על רקע כלל האמור, </w:t>
      </w:r>
      <w:r w:rsidRPr="00DA0861">
        <w:rPr>
          <w:rFonts w:ascii="David" w:hAnsi="David" w:hint="cs"/>
          <w:rtl/>
        </w:rPr>
        <w:t>ובשים לב</w:t>
      </w:r>
      <w:r w:rsidRPr="00DA0861">
        <w:rPr>
          <w:rFonts w:ascii="David" w:hAnsi="David"/>
          <w:rtl/>
        </w:rPr>
        <w:t xml:space="preserve"> </w:t>
      </w:r>
      <w:r w:rsidRPr="00DA0861">
        <w:rPr>
          <w:rFonts w:ascii="David" w:hAnsi="David" w:hint="cs"/>
          <w:rtl/>
        </w:rPr>
        <w:t>ל</w:t>
      </w:r>
      <w:r w:rsidRPr="00DA0861">
        <w:rPr>
          <w:rFonts w:ascii="David" w:hAnsi="David"/>
          <w:rtl/>
        </w:rPr>
        <w:t>הודאת</w:t>
      </w:r>
      <w:r w:rsidRPr="00DA0861">
        <w:rPr>
          <w:rFonts w:ascii="David" w:hAnsi="David" w:hint="cs"/>
          <w:rtl/>
        </w:rPr>
        <w:t xml:space="preserve"> הנאשם </w:t>
      </w:r>
      <w:r w:rsidRPr="00DA0861">
        <w:rPr>
          <w:rFonts w:ascii="David" w:hAnsi="David"/>
          <w:rtl/>
        </w:rPr>
        <w:t>באשמה</w:t>
      </w:r>
      <w:r w:rsidRPr="00DA0861">
        <w:rPr>
          <w:rFonts w:ascii="David" w:hAnsi="David" w:hint="cs"/>
          <w:rtl/>
        </w:rPr>
        <w:t>,</w:t>
      </w:r>
      <w:r w:rsidRPr="00DA0861">
        <w:rPr>
          <w:rFonts w:ascii="David" w:hAnsi="David"/>
          <w:rtl/>
        </w:rPr>
        <w:t xml:space="preserve"> הנני גוזר על</w:t>
      </w:r>
      <w:r w:rsidRPr="00DA0861">
        <w:rPr>
          <w:rFonts w:ascii="David" w:hAnsi="David" w:hint="cs"/>
          <w:rtl/>
        </w:rPr>
        <w:t>יו</w:t>
      </w:r>
      <w:r w:rsidRPr="00DA0861">
        <w:rPr>
          <w:rFonts w:ascii="David" w:hAnsi="David"/>
          <w:rtl/>
        </w:rPr>
        <w:t xml:space="preserve"> את העונשים הבאים:</w:t>
      </w:r>
    </w:p>
    <w:p w14:paraId="03D9EDF0" w14:textId="77777777" w:rsidR="00B657ED" w:rsidRPr="001C70AD" w:rsidRDefault="00B657ED" w:rsidP="00B657ED">
      <w:pPr>
        <w:spacing w:line="360" w:lineRule="auto"/>
        <w:jc w:val="both"/>
        <w:rPr>
          <w:rFonts w:ascii="David" w:hAnsi="David"/>
          <w:b/>
          <w:bCs/>
          <w:rtl/>
        </w:rPr>
      </w:pPr>
    </w:p>
    <w:p w14:paraId="5A89C17D" w14:textId="77777777" w:rsidR="00B657ED" w:rsidRPr="001C70AD" w:rsidRDefault="00B657ED" w:rsidP="00B657ED">
      <w:pPr>
        <w:pStyle w:val="ListParagraph"/>
        <w:numPr>
          <w:ilvl w:val="0"/>
          <w:numId w:val="1"/>
        </w:numPr>
        <w:spacing w:line="360" w:lineRule="auto"/>
        <w:jc w:val="both"/>
        <w:rPr>
          <w:rFonts w:ascii="David" w:hAnsi="David"/>
          <w:b/>
          <w:bCs/>
          <w:rtl/>
        </w:rPr>
      </w:pPr>
      <w:r>
        <w:rPr>
          <w:rFonts w:ascii="David" w:hAnsi="David" w:hint="cs"/>
          <w:b/>
          <w:bCs/>
          <w:rtl/>
        </w:rPr>
        <w:t xml:space="preserve"> 20 </w:t>
      </w:r>
      <w:r w:rsidRPr="001C70AD">
        <w:rPr>
          <w:rFonts w:ascii="David" w:hAnsi="David"/>
          <w:b/>
          <w:bCs/>
          <w:rtl/>
        </w:rPr>
        <w:t>חודשי מאסר לריצוי בפועל, מיום מעצרו בתיק זה</w:t>
      </w:r>
      <w:r>
        <w:rPr>
          <w:rFonts w:ascii="David" w:hAnsi="David" w:hint="cs"/>
          <w:b/>
          <w:bCs/>
          <w:rtl/>
        </w:rPr>
        <w:t xml:space="preserve"> (19.3.24)</w:t>
      </w:r>
      <w:r w:rsidRPr="001C70AD">
        <w:rPr>
          <w:rFonts w:ascii="David" w:hAnsi="David"/>
          <w:b/>
          <w:bCs/>
          <w:rtl/>
        </w:rPr>
        <w:t>.</w:t>
      </w:r>
    </w:p>
    <w:p w14:paraId="71D0C62D" w14:textId="77777777" w:rsidR="00B657ED" w:rsidRPr="001C70AD" w:rsidRDefault="00B657ED" w:rsidP="00B657ED">
      <w:pPr>
        <w:pStyle w:val="ListParagraph"/>
        <w:numPr>
          <w:ilvl w:val="0"/>
          <w:numId w:val="1"/>
        </w:numPr>
        <w:spacing w:line="360" w:lineRule="auto"/>
        <w:jc w:val="both"/>
        <w:rPr>
          <w:rFonts w:ascii="David" w:hAnsi="David"/>
          <w:b/>
          <w:bCs/>
        </w:rPr>
      </w:pPr>
      <w:r w:rsidRPr="001C70AD">
        <w:rPr>
          <w:rFonts w:ascii="David" w:hAnsi="David"/>
          <w:b/>
          <w:bCs/>
          <w:rtl/>
        </w:rPr>
        <w:t xml:space="preserve">12 חודשי מאסר מותנים והתנאי הוא כי במשך 3 שנים מיום שחרורו לא יעבור עבירה לפי </w:t>
      </w:r>
      <w:hyperlink r:id="rId23" w:history="1">
        <w:r w:rsidR="00531D4B" w:rsidRPr="00531D4B">
          <w:rPr>
            <w:rStyle w:val="Hyperlink"/>
            <w:rFonts w:ascii="David" w:hAnsi="David"/>
            <w:b/>
            <w:bCs/>
            <w:rtl/>
          </w:rPr>
          <w:t>סעיף 402</w:t>
        </w:r>
      </w:hyperlink>
      <w:r w:rsidRPr="001C70AD">
        <w:rPr>
          <w:rFonts w:ascii="David" w:hAnsi="David"/>
          <w:b/>
          <w:bCs/>
          <w:rtl/>
        </w:rPr>
        <w:t xml:space="preserve"> ל</w:t>
      </w:r>
      <w:hyperlink r:id="rId24" w:history="1">
        <w:r w:rsidR="00921F90" w:rsidRPr="00921F90">
          <w:rPr>
            <w:rFonts w:ascii="David" w:hAnsi="David"/>
            <w:b/>
            <w:bCs/>
            <w:color w:val="0000FF"/>
            <w:u w:val="single"/>
            <w:rtl/>
          </w:rPr>
          <w:t>חוק העונשין</w:t>
        </w:r>
      </w:hyperlink>
      <w:r w:rsidRPr="001C70AD">
        <w:rPr>
          <w:rFonts w:ascii="David" w:hAnsi="David"/>
          <w:b/>
          <w:bCs/>
          <w:rtl/>
        </w:rPr>
        <w:t>, התשל"ז- 1977 או כל עבירה שיש בה שליחת יד ברכוש הזולת</w:t>
      </w:r>
      <w:r>
        <w:rPr>
          <w:rFonts w:ascii="David" w:hAnsi="David" w:hint="cs"/>
          <w:b/>
          <w:bCs/>
          <w:rtl/>
        </w:rPr>
        <w:t xml:space="preserve"> המלווה באלימות</w:t>
      </w:r>
      <w:r w:rsidRPr="001C70AD">
        <w:rPr>
          <w:rFonts w:ascii="David" w:hAnsi="David"/>
          <w:b/>
          <w:bCs/>
          <w:rtl/>
        </w:rPr>
        <w:t>.</w:t>
      </w:r>
    </w:p>
    <w:p w14:paraId="714FB085" w14:textId="77777777" w:rsidR="00B657ED" w:rsidRDefault="00B657ED" w:rsidP="00B657ED">
      <w:pPr>
        <w:spacing w:line="360" w:lineRule="auto"/>
        <w:jc w:val="both"/>
        <w:rPr>
          <w:rFonts w:ascii="David" w:hAnsi="David"/>
          <w:highlight w:val="green"/>
          <w:rtl/>
        </w:rPr>
      </w:pPr>
    </w:p>
    <w:p w14:paraId="1933C80B" w14:textId="77777777" w:rsidR="00B657ED" w:rsidRPr="00475217" w:rsidRDefault="00B657ED" w:rsidP="00B657ED">
      <w:pPr>
        <w:spacing w:line="360" w:lineRule="auto"/>
        <w:jc w:val="both"/>
        <w:rPr>
          <w:rFonts w:ascii="David" w:hAnsi="David"/>
          <w:rtl/>
        </w:rPr>
      </w:pPr>
      <w:r w:rsidRPr="00475217">
        <w:rPr>
          <w:rFonts w:ascii="David" w:hAnsi="David"/>
          <w:rtl/>
        </w:rPr>
        <w:t xml:space="preserve">לנוכח נסיבותיו האישיות של הנאשם, מצאתי להימנע מהטלת עונשים כספיים ובכלל זה פיצוי </w:t>
      </w:r>
      <w:r>
        <w:rPr>
          <w:rFonts w:ascii="David" w:hAnsi="David" w:hint="cs"/>
          <w:rtl/>
        </w:rPr>
        <w:t>למתלוננת</w:t>
      </w:r>
      <w:r w:rsidRPr="00475217">
        <w:rPr>
          <w:rFonts w:ascii="David" w:hAnsi="David"/>
          <w:rtl/>
        </w:rPr>
        <w:t xml:space="preserve">. </w:t>
      </w:r>
    </w:p>
    <w:p w14:paraId="728E0CDC" w14:textId="77777777" w:rsidR="00B657ED" w:rsidRPr="00921F90" w:rsidRDefault="00921F90" w:rsidP="00B657ED">
      <w:pPr>
        <w:spacing w:line="360" w:lineRule="auto"/>
        <w:jc w:val="both"/>
        <w:rPr>
          <w:rFonts w:ascii="David" w:hAnsi="David"/>
          <w:color w:val="FFFFFF"/>
          <w:sz w:val="2"/>
          <w:szCs w:val="2"/>
          <w:rtl/>
        </w:rPr>
      </w:pPr>
      <w:r w:rsidRPr="00921F90">
        <w:rPr>
          <w:rFonts w:ascii="David" w:hAnsi="David"/>
          <w:color w:val="FFFFFF"/>
          <w:sz w:val="2"/>
          <w:szCs w:val="2"/>
          <w:rtl/>
        </w:rPr>
        <w:t>5129371</w:t>
      </w:r>
    </w:p>
    <w:p w14:paraId="4E903CF9" w14:textId="77777777" w:rsidR="00B657ED" w:rsidRPr="00475217" w:rsidRDefault="00921F90" w:rsidP="00B657ED">
      <w:pPr>
        <w:spacing w:line="360" w:lineRule="auto"/>
        <w:jc w:val="both"/>
        <w:rPr>
          <w:rFonts w:ascii="David" w:hAnsi="David"/>
          <w:b/>
          <w:bCs/>
          <w:rtl/>
        </w:rPr>
      </w:pPr>
      <w:r w:rsidRPr="00921F90">
        <w:rPr>
          <w:rFonts w:ascii="David" w:hAnsi="David"/>
          <w:b/>
          <w:bCs/>
          <w:color w:val="FFFFFF"/>
          <w:sz w:val="2"/>
          <w:szCs w:val="2"/>
          <w:rtl/>
        </w:rPr>
        <w:t>54678313</w:t>
      </w:r>
      <w:r w:rsidR="00B657ED" w:rsidRPr="00475217">
        <w:rPr>
          <w:rFonts w:ascii="David" w:hAnsi="David"/>
          <w:b/>
          <w:bCs/>
          <w:rtl/>
        </w:rPr>
        <w:t>זכות ערעור לבית המשפט העליון תוך 45 ימים מהיום.</w:t>
      </w:r>
    </w:p>
    <w:p w14:paraId="0E7FE969" w14:textId="77777777" w:rsidR="00B657ED" w:rsidRDefault="00B657ED" w:rsidP="00B657ED">
      <w:pPr>
        <w:spacing w:line="360" w:lineRule="auto"/>
        <w:jc w:val="both"/>
        <w:rPr>
          <w:rFonts w:ascii="David" w:hAnsi="David"/>
          <w:b/>
          <w:bCs/>
          <w:rtl/>
        </w:rPr>
      </w:pPr>
    </w:p>
    <w:p w14:paraId="5C2A2986" w14:textId="77777777" w:rsidR="00B657ED" w:rsidRPr="001C70AD" w:rsidRDefault="00921F90" w:rsidP="00B657ED">
      <w:pPr>
        <w:spacing w:line="360" w:lineRule="auto"/>
        <w:jc w:val="both"/>
        <w:rPr>
          <w:rFonts w:ascii="David" w:hAnsi="David"/>
          <w:b/>
          <w:bCs/>
          <w:rtl/>
        </w:rPr>
      </w:pPr>
      <w:bookmarkStart w:id="8" w:name="Nitan"/>
      <w:r>
        <w:rPr>
          <w:rFonts w:ascii="David" w:hAnsi="David"/>
          <w:b/>
          <w:bCs/>
          <w:rtl/>
        </w:rPr>
        <w:t xml:space="preserve">ניתן היום,  ב' חשוון תשפ"ה, 03 נובמבר 2024, בהעדר הצדדים. </w:t>
      </w:r>
      <w:bookmarkEnd w:id="8"/>
      <w:r w:rsidR="00B657ED" w:rsidRPr="001C70AD">
        <w:rPr>
          <w:rFonts w:ascii="David" w:hAnsi="David"/>
          <w:b/>
          <w:bCs/>
          <w:rtl/>
        </w:rPr>
        <w:tab/>
      </w:r>
      <w:r w:rsidR="00B657ED" w:rsidRPr="001C70AD">
        <w:rPr>
          <w:rFonts w:ascii="David" w:hAnsi="David"/>
          <w:b/>
          <w:bCs/>
          <w:rtl/>
        </w:rPr>
        <w:tab/>
      </w:r>
      <w:r w:rsidR="00B657ED" w:rsidRPr="001C70AD">
        <w:rPr>
          <w:rFonts w:ascii="David" w:hAnsi="David"/>
          <w:b/>
          <w:bCs/>
          <w:rtl/>
        </w:rPr>
        <w:tab/>
      </w:r>
      <w:r w:rsidR="00B657ED" w:rsidRPr="001C70AD">
        <w:rPr>
          <w:rFonts w:ascii="David" w:hAnsi="David"/>
          <w:b/>
          <w:bCs/>
          <w:rtl/>
        </w:rPr>
        <w:tab/>
      </w:r>
      <w:r w:rsidR="00B657ED" w:rsidRPr="001C70AD">
        <w:rPr>
          <w:rFonts w:ascii="David" w:hAnsi="David"/>
          <w:b/>
          <w:bCs/>
          <w:rtl/>
        </w:rPr>
        <w:tab/>
      </w:r>
      <w:r w:rsidR="00B657ED" w:rsidRPr="001C70AD">
        <w:rPr>
          <w:rFonts w:ascii="David" w:hAnsi="David"/>
          <w:b/>
          <w:bCs/>
          <w:rtl/>
        </w:rPr>
        <w:tab/>
      </w:r>
      <w:r w:rsidR="00B657ED" w:rsidRPr="001C70AD">
        <w:rPr>
          <w:rFonts w:ascii="David" w:hAnsi="David"/>
          <w:b/>
          <w:bCs/>
          <w:rtl/>
        </w:rPr>
        <w:tab/>
        <w:t xml:space="preserve">         </w:t>
      </w:r>
    </w:p>
    <w:p w14:paraId="5887E55A" w14:textId="77777777" w:rsidR="00B657ED" w:rsidRPr="001C70AD" w:rsidRDefault="00B657ED" w:rsidP="00921F90">
      <w:pPr>
        <w:jc w:val="center"/>
      </w:pPr>
      <w:r w:rsidRPr="001C70AD">
        <w:rPr>
          <w:rFonts w:ascii="David" w:hAnsi="David"/>
          <w:b/>
          <w:bCs/>
          <w:rtl/>
        </w:rPr>
        <w:t xml:space="preserve">   </w:t>
      </w:r>
      <w:r w:rsidRPr="001C70AD">
        <w:rPr>
          <w:rFonts w:ascii="David" w:hAnsi="David"/>
          <w:b/>
          <w:bCs/>
          <w:rtl/>
        </w:rPr>
        <w:tab/>
      </w:r>
      <w:r w:rsidRPr="001C70AD">
        <w:rPr>
          <w:rFonts w:ascii="David" w:hAnsi="David"/>
          <w:b/>
          <w:bCs/>
          <w:rtl/>
        </w:rPr>
        <w:tab/>
      </w:r>
      <w:r w:rsidRPr="001C70AD">
        <w:rPr>
          <w:rFonts w:ascii="David" w:hAnsi="David"/>
          <w:b/>
          <w:bCs/>
          <w:rtl/>
        </w:rPr>
        <w:tab/>
      </w:r>
      <w:r w:rsidRPr="001C70AD">
        <w:rPr>
          <w:rFonts w:ascii="David" w:hAnsi="David"/>
          <w:b/>
          <w:bCs/>
          <w:rtl/>
        </w:rPr>
        <w:tab/>
      </w:r>
      <w:r w:rsidRPr="001C70AD">
        <w:rPr>
          <w:rFonts w:ascii="David" w:hAnsi="David"/>
          <w:b/>
          <w:bCs/>
          <w:rtl/>
        </w:rPr>
        <w:tab/>
      </w:r>
    </w:p>
    <w:p w14:paraId="70768835" w14:textId="77777777" w:rsidR="00B657ED" w:rsidRPr="001C70AD" w:rsidRDefault="00B657ED" w:rsidP="00B657ED">
      <w:pPr>
        <w:jc w:val="center"/>
        <w:rPr>
          <w:rFonts w:ascii="David" w:hAnsi="David"/>
          <w:b/>
          <w:bCs/>
          <w:rtl/>
        </w:rPr>
      </w:pPr>
    </w:p>
    <w:p w14:paraId="0E544348" w14:textId="77777777" w:rsidR="001964F1" w:rsidRPr="00921F90" w:rsidRDefault="001964F1" w:rsidP="00921F90">
      <w:pPr>
        <w:keepNext/>
        <w:rPr>
          <w:rFonts w:ascii="David" w:hAnsi="David"/>
          <w:color w:val="000000"/>
          <w:sz w:val="22"/>
          <w:szCs w:val="22"/>
          <w:rtl/>
        </w:rPr>
      </w:pPr>
    </w:p>
    <w:p w14:paraId="51A5D588" w14:textId="77777777" w:rsidR="00921F90" w:rsidRPr="00921F90" w:rsidRDefault="00921F90" w:rsidP="00921F90">
      <w:pPr>
        <w:keepNext/>
        <w:rPr>
          <w:rFonts w:ascii="David" w:hAnsi="David"/>
          <w:color w:val="000000"/>
          <w:sz w:val="22"/>
          <w:szCs w:val="22"/>
          <w:rtl/>
        </w:rPr>
      </w:pPr>
      <w:r w:rsidRPr="00921F90">
        <w:rPr>
          <w:rFonts w:ascii="David" w:hAnsi="David"/>
          <w:color w:val="000000"/>
          <w:sz w:val="22"/>
          <w:szCs w:val="22"/>
          <w:rtl/>
        </w:rPr>
        <w:t>נתנאל בנישו 54678313</w:t>
      </w:r>
    </w:p>
    <w:p w14:paraId="61FD9AF8" w14:textId="77777777" w:rsidR="00921F90" w:rsidRDefault="00921F90" w:rsidP="00921F90">
      <w:r w:rsidRPr="00921F90">
        <w:rPr>
          <w:color w:val="000000"/>
          <w:rtl/>
        </w:rPr>
        <w:t>נוסח מסמך זה כפוף לשינויי ניסוח ועריכה</w:t>
      </w:r>
    </w:p>
    <w:p w14:paraId="592F10C2" w14:textId="77777777" w:rsidR="00921F90" w:rsidRDefault="00921F90" w:rsidP="00921F90">
      <w:pPr>
        <w:rPr>
          <w:rtl/>
        </w:rPr>
      </w:pPr>
    </w:p>
    <w:p w14:paraId="7DA2B532" w14:textId="77777777" w:rsidR="00921F90" w:rsidRDefault="00921F90" w:rsidP="00921F90">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660E2D62" w14:textId="77777777" w:rsidR="00921F90" w:rsidRPr="00921F90" w:rsidRDefault="00921F90" w:rsidP="00921F90">
      <w:pPr>
        <w:jc w:val="center"/>
        <w:rPr>
          <w:color w:val="0000FF"/>
          <w:u w:val="single"/>
        </w:rPr>
      </w:pPr>
    </w:p>
    <w:sectPr w:rsidR="00921F90" w:rsidRPr="00921F90" w:rsidSect="00921F90">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7BB642" w14:textId="77777777" w:rsidR="00563A4C" w:rsidRDefault="00563A4C" w:rsidP="00631F26">
      <w:r>
        <w:separator/>
      </w:r>
    </w:p>
  </w:endnote>
  <w:endnote w:type="continuationSeparator" w:id="0">
    <w:p w14:paraId="001E2C11" w14:textId="77777777" w:rsidR="00563A4C" w:rsidRDefault="00563A4C" w:rsidP="0063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A6E4D" w14:textId="77777777" w:rsidR="00921F90" w:rsidRDefault="00921F90" w:rsidP="00921F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B164030" w14:textId="77777777" w:rsidR="00B531DB" w:rsidRPr="00921F90" w:rsidRDefault="00921F90" w:rsidP="00921F9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CE2A94" w14:textId="77777777" w:rsidR="00921F90" w:rsidRDefault="00921F90" w:rsidP="00921F9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4A91">
      <w:rPr>
        <w:rFonts w:ascii="FrankRuehl" w:hAnsi="FrankRuehl" w:cs="FrankRuehl"/>
        <w:noProof/>
        <w:rtl/>
      </w:rPr>
      <w:t>1</w:t>
    </w:r>
    <w:r>
      <w:rPr>
        <w:rFonts w:ascii="FrankRuehl" w:hAnsi="FrankRuehl" w:cs="FrankRuehl"/>
        <w:rtl/>
      </w:rPr>
      <w:fldChar w:fldCharType="end"/>
    </w:r>
  </w:p>
  <w:p w14:paraId="52445751" w14:textId="77777777" w:rsidR="00B531DB" w:rsidRPr="00921F90" w:rsidRDefault="00921F90" w:rsidP="00921F90">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1DEEC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E4DCA" w14:textId="77777777" w:rsidR="00563A4C" w:rsidRDefault="00563A4C" w:rsidP="00631F26">
      <w:r>
        <w:separator/>
      </w:r>
    </w:p>
  </w:footnote>
  <w:footnote w:type="continuationSeparator" w:id="0">
    <w:p w14:paraId="64B74415" w14:textId="77777777" w:rsidR="00563A4C" w:rsidRDefault="00563A4C" w:rsidP="00631F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32727" w14:textId="77777777" w:rsidR="00921F90" w:rsidRPr="00921F90" w:rsidRDefault="00921F90" w:rsidP="00921F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69004-03-24</w:t>
    </w:r>
    <w:r>
      <w:rPr>
        <w:rFonts w:ascii="David" w:hAnsi="David"/>
        <w:color w:val="000000"/>
        <w:sz w:val="22"/>
        <w:szCs w:val="22"/>
        <w:rtl/>
      </w:rPr>
      <w:tab/>
      <w:t xml:space="preserve"> מדינת ישראל נ' אהרון אטנילוב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01B327" w14:textId="77777777" w:rsidR="00921F90" w:rsidRPr="00921F90" w:rsidRDefault="00921F90" w:rsidP="00921F90">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69004-03-24</w:t>
    </w:r>
    <w:r>
      <w:rPr>
        <w:rFonts w:ascii="David" w:hAnsi="David"/>
        <w:color w:val="000000"/>
        <w:sz w:val="22"/>
        <w:szCs w:val="22"/>
        <w:rtl/>
      </w:rPr>
      <w:tab/>
      <w:t xml:space="preserve"> מדינת ישראל נ' אהרון אטנילוב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7C6F20"/>
    <w:multiLevelType w:val="hybridMultilevel"/>
    <w:tmpl w:val="0DCA4F70"/>
    <w:lvl w:ilvl="0" w:tplc="156635DE">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09898650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657ED"/>
    <w:rsid w:val="0012636D"/>
    <w:rsid w:val="001964F1"/>
    <w:rsid w:val="001A19F2"/>
    <w:rsid w:val="00531D4B"/>
    <w:rsid w:val="00563A4C"/>
    <w:rsid w:val="00631F26"/>
    <w:rsid w:val="00684A91"/>
    <w:rsid w:val="00921F90"/>
    <w:rsid w:val="00A20A19"/>
    <w:rsid w:val="00A245DF"/>
    <w:rsid w:val="00B531DB"/>
    <w:rsid w:val="00B657ED"/>
    <w:rsid w:val="00BB57F1"/>
    <w:rsid w:val="00BF69DB"/>
    <w:rsid w:val="00CF39F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57701E"/>
  <w15:chartTrackingRefBased/>
  <w15:docId w15:val="{49818DC8-8083-46C5-8523-47BC03311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657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657ED"/>
    <w:pPr>
      <w:tabs>
        <w:tab w:val="center" w:pos="4153"/>
        <w:tab w:val="right" w:pos="8306"/>
      </w:tabs>
    </w:pPr>
  </w:style>
  <w:style w:type="character" w:customStyle="1" w:styleId="a4">
    <w:name w:val="כותרת עליונה תו"/>
    <w:link w:val="a3"/>
    <w:rsid w:val="00B657ED"/>
    <w:rPr>
      <w:rFonts w:ascii="Times New Roman" w:eastAsia="Times New Roman" w:hAnsi="Times New Roman" w:cs="David"/>
      <w:sz w:val="24"/>
      <w:szCs w:val="24"/>
    </w:rPr>
  </w:style>
  <w:style w:type="paragraph" w:styleId="a5">
    <w:name w:val="footer"/>
    <w:basedOn w:val="a"/>
    <w:link w:val="a6"/>
    <w:rsid w:val="00B657ED"/>
    <w:pPr>
      <w:tabs>
        <w:tab w:val="center" w:pos="4153"/>
        <w:tab w:val="right" w:pos="8306"/>
      </w:tabs>
    </w:pPr>
  </w:style>
  <w:style w:type="character" w:customStyle="1" w:styleId="a6">
    <w:name w:val="כותרת תחתונה תו"/>
    <w:link w:val="a5"/>
    <w:rsid w:val="00B657ED"/>
    <w:rPr>
      <w:rFonts w:ascii="Times New Roman" w:eastAsia="Times New Roman" w:hAnsi="Times New Roman" w:cs="David"/>
      <w:sz w:val="24"/>
      <w:szCs w:val="24"/>
    </w:rPr>
  </w:style>
  <w:style w:type="table" w:styleId="a7">
    <w:name w:val="Table Grid"/>
    <w:basedOn w:val="a1"/>
    <w:rsid w:val="00B657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657ED"/>
  </w:style>
  <w:style w:type="paragraph" w:customStyle="1" w:styleId="ListParagraph">
    <w:name w:val="List Paragraph"/>
    <w:basedOn w:val="a"/>
    <w:qFormat/>
    <w:rsid w:val="00B657ED"/>
    <w:pPr>
      <w:ind w:left="720"/>
      <w:contextualSpacing/>
    </w:pPr>
    <w:rPr>
      <w:noProof/>
    </w:rPr>
  </w:style>
  <w:style w:type="character" w:styleId="Hyperlink">
    <w:name w:val="Hyperlink"/>
    <w:rsid w:val="00921F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402" TargetMode="External"/><Relationship Id="rId13" Type="http://schemas.openxmlformats.org/officeDocument/2006/relationships/hyperlink" Target="http://www.nevo.co.il/law/4216" TargetMode="External"/><Relationship Id="rId18" Type="http://schemas.openxmlformats.org/officeDocument/2006/relationships/hyperlink" Target="http://www.nevo.co.il/case/5603213"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2492914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29478290"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5569378" TargetMode="External"/><Relationship Id="rId20" Type="http://schemas.openxmlformats.org/officeDocument/2006/relationships/hyperlink" Target="http://www.nevo.co.il/case/29095692"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2.a" TargetMode="External"/><Relationship Id="rId24"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30384816" TargetMode="External"/><Relationship Id="rId23" Type="http://schemas.openxmlformats.org/officeDocument/2006/relationships/hyperlink" Target="http://www.nevo.co.il/law/70301/402" TargetMode="External"/><Relationship Id="rId28" Type="http://schemas.openxmlformats.org/officeDocument/2006/relationships/footer" Target="footer1.xml"/><Relationship Id="rId10" Type="http://schemas.openxmlformats.org/officeDocument/2006/relationships/hyperlink" Target="http://www.nevo.co.il/law/4216" TargetMode="External"/><Relationship Id="rId19" Type="http://schemas.openxmlformats.org/officeDocument/2006/relationships/hyperlink" Target="http://www.nevo.co.il/case/5581237"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402.a" TargetMode="External"/><Relationship Id="rId14" Type="http://schemas.openxmlformats.org/officeDocument/2006/relationships/hyperlink" Target="http://www.nevo.co.il/case/5610423" TargetMode="External"/><Relationship Id="rId22" Type="http://schemas.openxmlformats.org/officeDocument/2006/relationships/hyperlink" Target="http://www.nevo.co.il/case/2000795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2918</Words>
  <Characters>14593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17477</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6619233</vt:i4>
      </vt:variant>
      <vt:variant>
        <vt:i4>48</vt:i4>
      </vt:variant>
      <vt:variant>
        <vt:i4>0</vt:i4>
      </vt:variant>
      <vt:variant>
        <vt:i4>5</vt:i4>
      </vt:variant>
      <vt:variant>
        <vt:lpwstr>http://www.nevo.co.il/law/70301/402</vt:lpwstr>
      </vt:variant>
      <vt:variant>
        <vt:lpwstr/>
      </vt:variant>
      <vt:variant>
        <vt:i4>3145853</vt:i4>
      </vt:variant>
      <vt:variant>
        <vt:i4>45</vt:i4>
      </vt:variant>
      <vt:variant>
        <vt:i4>0</vt:i4>
      </vt:variant>
      <vt:variant>
        <vt:i4>5</vt:i4>
      </vt:variant>
      <vt:variant>
        <vt:lpwstr>http://www.nevo.co.il/case/20007956</vt:lpwstr>
      </vt:variant>
      <vt:variant>
        <vt:lpwstr/>
      </vt:variant>
      <vt:variant>
        <vt:i4>3539059</vt:i4>
      </vt:variant>
      <vt:variant>
        <vt:i4>42</vt:i4>
      </vt:variant>
      <vt:variant>
        <vt:i4>0</vt:i4>
      </vt:variant>
      <vt:variant>
        <vt:i4>5</vt:i4>
      </vt:variant>
      <vt:variant>
        <vt:lpwstr>http://www.nevo.co.il/case/24929142</vt:lpwstr>
      </vt:variant>
      <vt:variant>
        <vt:lpwstr/>
      </vt:variant>
      <vt:variant>
        <vt:i4>4063346</vt:i4>
      </vt:variant>
      <vt:variant>
        <vt:i4>39</vt:i4>
      </vt:variant>
      <vt:variant>
        <vt:i4>0</vt:i4>
      </vt:variant>
      <vt:variant>
        <vt:i4>5</vt:i4>
      </vt:variant>
      <vt:variant>
        <vt:lpwstr>http://www.nevo.co.il/case/29095692</vt:lpwstr>
      </vt:variant>
      <vt:variant>
        <vt:lpwstr/>
      </vt:variant>
      <vt:variant>
        <vt:i4>3670131</vt:i4>
      </vt:variant>
      <vt:variant>
        <vt:i4>36</vt:i4>
      </vt:variant>
      <vt:variant>
        <vt:i4>0</vt:i4>
      </vt:variant>
      <vt:variant>
        <vt:i4>5</vt:i4>
      </vt:variant>
      <vt:variant>
        <vt:lpwstr>http://www.nevo.co.il/case/5581237</vt:lpwstr>
      </vt:variant>
      <vt:variant>
        <vt:lpwstr/>
      </vt:variant>
      <vt:variant>
        <vt:i4>3407984</vt:i4>
      </vt:variant>
      <vt:variant>
        <vt:i4>33</vt:i4>
      </vt:variant>
      <vt:variant>
        <vt:i4>0</vt:i4>
      </vt:variant>
      <vt:variant>
        <vt:i4>5</vt:i4>
      </vt:variant>
      <vt:variant>
        <vt:lpwstr>http://www.nevo.co.il/case/5603213</vt:lpwstr>
      </vt:variant>
      <vt:variant>
        <vt:lpwstr/>
      </vt:variant>
      <vt:variant>
        <vt:i4>3604600</vt:i4>
      </vt:variant>
      <vt:variant>
        <vt:i4>30</vt:i4>
      </vt:variant>
      <vt:variant>
        <vt:i4>0</vt:i4>
      </vt:variant>
      <vt:variant>
        <vt:i4>5</vt:i4>
      </vt:variant>
      <vt:variant>
        <vt:lpwstr>http://www.nevo.co.il/case/29478290</vt:lpwstr>
      </vt:variant>
      <vt:variant>
        <vt:lpwstr/>
      </vt:variant>
      <vt:variant>
        <vt:i4>3670143</vt:i4>
      </vt:variant>
      <vt:variant>
        <vt:i4>27</vt:i4>
      </vt:variant>
      <vt:variant>
        <vt:i4>0</vt:i4>
      </vt:variant>
      <vt:variant>
        <vt:i4>5</vt:i4>
      </vt:variant>
      <vt:variant>
        <vt:lpwstr>http://www.nevo.co.il/case/5569378</vt:lpwstr>
      </vt:variant>
      <vt:variant>
        <vt:lpwstr/>
      </vt:variant>
      <vt:variant>
        <vt:i4>3473524</vt:i4>
      </vt:variant>
      <vt:variant>
        <vt:i4>24</vt:i4>
      </vt:variant>
      <vt:variant>
        <vt:i4>0</vt:i4>
      </vt:variant>
      <vt:variant>
        <vt:i4>5</vt:i4>
      </vt:variant>
      <vt:variant>
        <vt:lpwstr>http://www.nevo.co.il/case/30384816</vt:lpwstr>
      </vt:variant>
      <vt:variant>
        <vt:lpwstr/>
      </vt:variant>
      <vt:variant>
        <vt:i4>3342448</vt:i4>
      </vt:variant>
      <vt:variant>
        <vt:i4>21</vt:i4>
      </vt:variant>
      <vt:variant>
        <vt:i4>0</vt:i4>
      </vt:variant>
      <vt:variant>
        <vt:i4>5</vt:i4>
      </vt:variant>
      <vt:variant>
        <vt:lpwstr>http://www.nevo.co.il/case/5610423</vt:lpwstr>
      </vt:variant>
      <vt:variant>
        <vt:lpwstr/>
      </vt:variant>
      <vt:variant>
        <vt:i4>8257637</vt:i4>
      </vt:variant>
      <vt:variant>
        <vt:i4>18</vt:i4>
      </vt:variant>
      <vt:variant>
        <vt:i4>0</vt:i4>
      </vt:variant>
      <vt:variant>
        <vt:i4>5</vt:i4>
      </vt:variant>
      <vt:variant>
        <vt:lpwstr>http://www.nevo.co.il/law/4216</vt:lpwstr>
      </vt:variant>
      <vt:variant>
        <vt:lpwstr/>
      </vt:variant>
      <vt:variant>
        <vt:i4>7995492</vt:i4>
      </vt:variant>
      <vt:variant>
        <vt:i4>15</vt:i4>
      </vt:variant>
      <vt:variant>
        <vt:i4>0</vt:i4>
      </vt:variant>
      <vt:variant>
        <vt:i4>5</vt:i4>
      </vt:variant>
      <vt:variant>
        <vt:lpwstr>http://www.nevo.co.il/law/70301</vt:lpwstr>
      </vt:variant>
      <vt:variant>
        <vt:lpwstr/>
      </vt:variant>
      <vt:variant>
        <vt:i4>4915283</vt:i4>
      </vt:variant>
      <vt:variant>
        <vt:i4>12</vt:i4>
      </vt:variant>
      <vt:variant>
        <vt:i4>0</vt:i4>
      </vt:variant>
      <vt:variant>
        <vt:i4>5</vt:i4>
      </vt:variant>
      <vt:variant>
        <vt:lpwstr>http://www.nevo.co.il/law/70301/402.a</vt:lpwstr>
      </vt:variant>
      <vt:variant>
        <vt:lpwstr/>
      </vt:variant>
      <vt:variant>
        <vt:i4>8257637</vt:i4>
      </vt:variant>
      <vt:variant>
        <vt:i4>9</vt:i4>
      </vt:variant>
      <vt:variant>
        <vt:i4>0</vt:i4>
      </vt:variant>
      <vt:variant>
        <vt:i4>5</vt:i4>
      </vt:variant>
      <vt:variant>
        <vt:lpwstr>http://www.nevo.co.il/law/4216</vt:lpwstr>
      </vt:variant>
      <vt:variant>
        <vt:lpwstr/>
      </vt:variant>
      <vt:variant>
        <vt:i4>4915283</vt:i4>
      </vt:variant>
      <vt:variant>
        <vt:i4>6</vt:i4>
      </vt:variant>
      <vt:variant>
        <vt:i4>0</vt:i4>
      </vt:variant>
      <vt:variant>
        <vt:i4>5</vt:i4>
      </vt:variant>
      <vt:variant>
        <vt:lpwstr>http://www.nevo.co.il/law/70301/402.a</vt:lpwstr>
      </vt:variant>
      <vt:variant>
        <vt:lpwstr/>
      </vt:variant>
      <vt:variant>
        <vt:i4>6619233</vt:i4>
      </vt:variant>
      <vt:variant>
        <vt:i4>3</vt:i4>
      </vt:variant>
      <vt:variant>
        <vt:i4>0</vt:i4>
      </vt:variant>
      <vt:variant>
        <vt:i4>5</vt:i4>
      </vt:variant>
      <vt:variant>
        <vt:lpwstr>http://www.nevo.co.il/law/70301/402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2025-04-22T21:32:00Z</dcterms:created>
  <dcterms:modified xsi:type="dcterms:W3CDTF">2025-04-22T21:32:00Z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69004</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אהרון אטנילוב</vt:lpwstr>
  </property>
  <property fmtid="{D5CDD505-2E9C-101B-9397-08002B2CF9AE}" pid="10" name="LAWYER">
    <vt:lpwstr>ראיד רחאל;דן גלעד</vt:lpwstr>
  </property>
  <property fmtid="{D5CDD505-2E9C-101B-9397-08002B2CF9AE}" pid="11" name="JUDGE">
    <vt:lpwstr>נתנאל בנישו</vt:lpwstr>
  </property>
  <property fmtid="{D5CDD505-2E9C-101B-9397-08002B2CF9AE}" pid="12" name="CITY">
    <vt:lpwstr>חי'</vt:lpwstr>
  </property>
  <property fmtid="{D5CDD505-2E9C-101B-9397-08002B2CF9AE}" pid="13" name="DATE">
    <vt:lpwstr>20241103</vt:lpwstr>
  </property>
  <property fmtid="{D5CDD505-2E9C-101B-9397-08002B2CF9AE}" pid="14" name="TYPE_N_DATE">
    <vt:lpwstr>39020241103</vt:lpwstr>
  </property>
  <property fmtid="{D5CDD505-2E9C-101B-9397-08002B2CF9AE}" pid="15" name="WORDNUMPAGES">
    <vt:lpwstr>10</vt:lpwstr>
  </property>
  <property fmtid="{D5CDD505-2E9C-101B-9397-08002B2CF9AE}" pid="16" name="TYPE_ABS_DATE">
    <vt:lpwstr>390120241103</vt:lpwstr>
  </property>
  <property fmtid="{D5CDD505-2E9C-101B-9397-08002B2CF9AE}" pid="17" name="ISABSTRACT">
    <vt:lpwstr>Y</vt:lpwstr>
  </property>
  <property fmtid="{D5CDD505-2E9C-101B-9397-08002B2CF9AE}" pid="18" name="CASESLISTTMP1">
    <vt:lpwstr>5610423;30384816;5569378;29478290;5603213;5581237;29095692;24929142;20007956</vt:lpwstr>
  </property>
  <property fmtid="{D5CDD505-2E9C-101B-9397-08002B2CF9AE}" pid="19" name="LAWLISTTMP1">
    <vt:lpwstr>70301/402.a;402</vt:lpwstr>
  </property>
  <property fmtid="{D5CDD505-2E9C-101B-9397-08002B2CF9AE}" pid="20" name="LAWLISTTMP2">
    <vt:lpwstr>4216</vt:lpwstr>
  </property>
  <property fmtid="{D5CDD505-2E9C-101B-9397-08002B2CF9AE}" pid="21" name="NOSE1ID">
    <vt:lpwstr>77</vt:lpwstr>
  </property>
  <property fmtid="{D5CDD505-2E9C-101B-9397-08002B2CF9AE}" pid="22" name="NOSE2ID">
    <vt:lpwstr>1446</vt:lpwstr>
  </property>
  <property fmtid="{D5CDD505-2E9C-101B-9397-08002B2CF9AE}" pid="23" name="NOSE3ID">
    <vt:lpwstr>16213</vt:lpwstr>
  </property>
  <property fmtid="{D5CDD505-2E9C-101B-9397-08002B2CF9AE}" pid="24" name="NOSE11">
    <vt:lpwstr>עונשין</vt:lpwstr>
  </property>
  <property fmtid="{D5CDD505-2E9C-101B-9397-08002B2CF9AE}" pid="25" name="NOSE21">
    <vt:lpwstr>ענישה</vt:lpwstr>
  </property>
  <property fmtid="{D5CDD505-2E9C-101B-9397-08002B2CF9AE}" pid="26" name="NOSE31">
    <vt:lpwstr>מדיניות ענישה: עבירות שוד</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16">
    <vt:lpwstr/>
  </property>
  <property fmtid="{D5CDD505-2E9C-101B-9397-08002B2CF9AE}" pid="40" name="NOSE26">
    <vt:lpwstr/>
  </property>
  <property fmtid="{D5CDD505-2E9C-101B-9397-08002B2CF9AE}" pid="41" name="NOSE36">
    <vt:lpwstr/>
  </property>
  <property fmtid="{D5CDD505-2E9C-101B-9397-08002B2CF9AE}" pid="42" name="NOSE17">
    <vt:lpwstr/>
  </property>
  <property fmtid="{D5CDD505-2E9C-101B-9397-08002B2CF9AE}" pid="43" name="NOSE27">
    <vt:lpwstr/>
  </property>
  <property fmtid="{D5CDD505-2E9C-101B-9397-08002B2CF9AE}" pid="44" name="NOSE37">
    <vt:lpwstr/>
  </property>
  <property fmtid="{D5CDD505-2E9C-101B-9397-08002B2CF9AE}" pid="45" name="NOSE18">
    <vt:lpwstr/>
  </property>
  <property fmtid="{D5CDD505-2E9C-101B-9397-08002B2CF9AE}" pid="46" name="NOSE28">
    <vt:lpwstr/>
  </property>
  <property fmtid="{D5CDD505-2E9C-101B-9397-08002B2CF9AE}" pid="47" name="NOSE38">
    <vt:lpwstr/>
  </property>
  <property fmtid="{D5CDD505-2E9C-101B-9397-08002B2CF9AE}" pid="48" name="NOSE19">
    <vt:lpwstr/>
  </property>
  <property fmtid="{D5CDD505-2E9C-101B-9397-08002B2CF9AE}" pid="49" name="NOSE29">
    <vt:lpwstr/>
  </property>
  <property fmtid="{D5CDD505-2E9C-101B-9397-08002B2CF9AE}" pid="50" name="NOSE39">
    <vt:lpwstr/>
  </property>
  <property fmtid="{D5CDD505-2E9C-101B-9397-08002B2CF9AE}" pid="51" name="NOSE110">
    <vt:lpwstr/>
  </property>
  <property fmtid="{D5CDD505-2E9C-101B-9397-08002B2CF9AE}" pid="52" name="NOSE210">
    <vt:lpwstr/>
  </property>
  <property fmtid="{D5CDD505-2E9C-101B-9397-08002B2CF9AE}" pid="53" name="NOSE310">
    <vt:lpwstr/>
  </property>
  <property fmtid="{D5CDD505-2E9C-101B-9397-08002B2CF9AE}" pid="54" name="PADIMAIL">
    <vt:lpwstr>YES</vt:lpwstr>
  </property>
  <property fmtid="{D5CDD505-2E9C-101B-9397-08002B2CF9AE}" pid="55" name="PADIDATE">
    <vt:lpwstr>20241112</vt:lpwstr>
  </property>
  <property fmtid="{D5CDD505-2E9C-101B-9397-08002B2CF9AE}" pid="56" name="METAKZER">
    <vt:lpwstr>מיכל</vt:lpwstr>
  </property>
</Properties>
</file>