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D5C13" w:rsidRPr="003F0948" w14:paraId="450E5C9C" w14:textId="77777777" w:rsidTr="007409EA">
        <w:trPr>
          <w:trHeight w:hRule="exact" w:val="418"/>
          <w:jc w:val="center"/>
        </w:trPr>
        <w:tc>
          <w:tcPr>
            <w:tcW w:w="8861" w:type="dxa"/>
            <w:gridSpan w:val="2"/>
          </w:tcPr>
          <w:p w14:paraId="77F9CBDA" w14:textId="77777777" w:rsidR="004D5C13" w:rsidRPr="003F0948" w:rsidRDefault="004D5C13" w:rsidP="007409EA">
            <w:pPr>
              <w:pStyle w:val="a3"/>
              <w:jc w:val="center"/>
              <w:rPr>
                <w:rFonts w:ascii="David" w:hAnsi="David"/>
                <w:color w:val="000080"/>
                <w:sz w:val="32"/>
                <w:szCs w:val="32"/>
                <w:rtl/>
              </w:rPr>
            </w:pPr>
            <w:r w:rsidRPr="003F0948">
              <w:rPr>
                <w:rFonts w:ascii="David" w:hAnsi="David"/>
                <w:b/>
                <w:bCs/>
                <w:color w:val="000080"/>
                <w:sz w:val="32"/>
                <w:szCs w:val="32"/>
                <w:rtl/>
              </w:rPr>
              <w:t>בית המשפט המחוזי בתל אביב -יפו</w:t>
            </w:r>
          </w:p>
        </w:tc>
      </w:tr>
      <w:tr w:rsidR="004D5C13" w:rsidRPr="003F0948" w14:paraId="7C13C42C" w14:textId="77777777" w:rsidTr="007409EA">
        <w:trPr>
          <w:trHeight w:val="337"/>
          <w:jc w:val="center"/>
        </w:trPr>
        <w:tc>
          <w:tcPr>
            <w:tcW w:w="5131" w:type="dxa"/>
          </w:tcPr>
          <w:p w14:paraId="5303B499" w14:textId="77777777" w:rsidR="004D5C13" w:rsidRPr="003F0948" w:rsidRDefault="004D5C13" w:rsidP="007409EA">
            <w:pPr>
              <w:rPr>
                <w:rFonts w:ascii="David" w:hAnsi="David"/>
                <w:b/>
                <w:bCs/>
                <w:sz w:val="28"/>
                <w:szCs w:val="28"/>
                <w:rtl/>
              </w:rPr>
            </w:pPr>
            <w:r w:rsidRPr="003F0948">
              <w:rPr>
                <w:rFonts w:ascii="David" w:hAnsi="David"/>
                <w:b/>
                <w:bCs/>
                <w:sz w:val="26"/>
                <w:szCs w:val="26"/>
                <w:rtl/>
              </w:rPr>
              <w:t>ת"פ 51649-06-24 מדינת ישראל נ' געסוס</w:t>
            </w:r>
          </w:p>
        </w:tc>
        <w:tc>
          <w:tcPr>
            <w:tcW w:w="3730" w:type="dxa"/>
          </w:tcPr>
          <w:p w14:paraId="503428F3" w14:textId="77777777" w:rsidR="004D5C13" w:rsidRPr="003F0948" w:rsidRDefault="004D5C13" w:rsidP="007409EA">
            <w:pPr>
              <w:pStyle w:val="a3"/>
              <w:jc w:val="right"/>
              <w:rPr>
                <w:rFonts w:ascii="David" w:hAnsi="David"/>
                <w:b/>
                <w:bCs/>
                <w:sz w:val="28"/>
                <w:szCs w:val="28"/>
                <w:rtl/>
              </w:rPr>
            </w:pPr>
            <w:r w:rsidRPr="003F0948">
              <w:rPr>
                <w:rFonts w:ascii="David" w:hAnsi="David"/>
                <w:b/>
                <w:bCs/>
                <w:sz w:val="28"/>
                <w:szCs w:val="28"/>
                <w:rtl/>
              </w:rPr>
              <w:t>17 נובמבר 2024</w:t>
            </w:r>
          </w:p>
        </w:tc>
      </w:tr>
    </w:tbl>
    <w:p w14:paraId="1D59BA48" w14:textId="77777777" w:rsidR="004D5C13" w:rsidRPr="003F0948" w:rsidRDefault="004D5C13" w:rsidP="004D5C13">
      <w:pPr>
        <w:pStyle w:val="a3"/>
        <w:rPr>
          <w:rFonts w:ascii="David" w:hAnsi="David"/>
          <w:rtl/>
        </w:rPr>
      </w:pPr>
      <w:r w:rsidRPr="003F0948">
        <w:rPr>
          <w:rFonts w:ascii="David" w:hAnsi="David"/>
          <w:rtl/>
        </w:rPr>
        <w:t xml:space="preserve"> </w:t>
      </w:r>
    </w:p>
    <w:p w14:paraId="164C1E05" w14:textId="77777777" w:rsidR="004D5C13" w:rsidRPr="003F0948" w:rsidRDefault="004D5C13" w:rsidP="004D5C13">
      <w:pPr>
        <w:rPr>
          <w:rtl/>
        </w:rPr>
      </w:pPr>
    </w:p>
    <w:p w14:paraId="012872B2" w14:textId="77777777" w:rsidR="004D5C13" w:rsidRPr="003F0948" w:rsidRDefault="004D5C13" w:rsidP="004D5C13">
      <w:pPr>
        <w:rPr>
          <w:rtl/>
        </w:rPr>
      </w:pPr>
    </w:p>
    <w:p w14:paraId="07C4D815" w14:textId="77777777" w:rsidR="00695388" w:rsidRPr="003F0948" w:rsidRDefault="00695388" w:rsidP="004D5C13">
      <w:pPr>
        <w:spacing w:line="360" w:lineRule="auto"/>
        <w:rPr>
          <w:b/>
          <w:bCs/>
          <w:sz w:val="26"/>
          <w:szCs w:val="26"/>
          <w:rtl/>
        </w:rPr>
      </w:pPr>
      <w:bookmarkStart w:id="0" w:name="FirstAppellant"/>
      <w:bookmarkStart w:id="1" w:name="FirstLawyer"/>
      <w:r w:rsidRPr="003F0948">
        <w:rPr>
          <w:rFonts w:hint="cs"/>
          <w:b/>
          <w:bCs/>
          <w:sz w:val="26"/>
          <w:szCs w:val="26"/>
          <w:rtl/>
        </w:rPr>
        <w:t>לפני כבוד השופט שמואל מלמד</w:t>
      </w:r>
      <w:r w:rsidRPr="003F0948">
        <w:rPr>
          <w:rStyle w:val="TimesNewRomanTimesNewRoman"/>
          <w:rtl/>
        </w:rPr>
        <w:t xml:space="preserve"> </w:t>
      </w:r>
    </w:p>
    <w:p w14:paraId="25A240B3" w14:textId="77777777" w:rsidR="00695388" w:rsidRPr="003F0948" w:rsidRDefault="00695388" w:rsidP="004D5C13">
      <w:pPr>
        <w:ind w:left="26"/>
        <w:jc w:val="right"/>
        <w:rPr>
          <w:b/>
          <w:bCs/>
          <w:sz w:val="26"/>
          <w:szCs w:val="26"/>
          <w:rtl/>
        </w:rPr>
      </w:pPr>
    </w:p>
    <w:p w14:paraId="5C98D24E" w14:textId="77777777" w:rsidR="00695388" w:rsidRPr="003F0948" w:rsidRDefault="00695388" w:rsidP="004D5C13">
      <w:pPr>
        <w:jc w:val="right"/>
        <w:rPr>
          <w:b/>
          <w:bCs/>
          <w:sz w:val="26"/>
          <w:szCs w:val="26"/>
          <w:rtl/>
        </w:rPr>
      </w:pPr>
      <w:r w:rsidRPr="003F0948">
        <w:rPr>
          <w:rFonts w:hint="cs"/>
          <w:b/>
          <w:bCs/>
          <w:sz w:val="26"/>
          <w:szCs w:val="26"/>
          <w:rtl/>
        </w:rPr>
        <w:t>המאשימה</w:t>
      </w:r>
      <w:r w:rsidRPr="003F0948">
        <w:rPr>
          <w:b/>
          <w:bCs/>
          <w:sz w:val="26"/>
          <w:szCs w:val="26"/>
          <w:rtl/>
        </w:rPr>
        <w:t>-</w:t>
      </w:r>
    </w:p>
    <w:p w14:paraId="6DC8D02A" w14:textId="77777777" w:rsidR="00695388" w:rsidRPr="003F0948" w:rsidRDefault="00695388" w:rsidP="004D5C13">
      <w:pPr>
        <w:spacing w:line="360" w:lineRule="auto"/>
        <w:rPr>
          <w:b/>
          <w:bCs/>
          <w:sz w:val="26"/>
          <w:szCs w:val="26"/>
          <w:rtl/>
        </w:rPr>
      </w:pPr>
      <w:r w:rsidRPr="003F0948">
        <w:rPr>
          <w:rFonts w:hint="cs"/>
          <w:b/>
          <w:bCs/>
          <w:sz w:val="26"/>
          <w:szCs w:val="26"/>
          <w:rtl/>
        </w:rPr>
        <w:t xml:space="preserve"> מדינת ישראל</w:t>
      </w:r>
    </w:p>
    <w:p w14:paraId="4BE6CAE7" w14:textId="77777777" w:rsidR="00695388" w:rsidRPr="003F0948" w:rsidRDefault="00695388" w:rsidP="004D5C13">
      <w:pPr>
        <w:spacing w:line="360" w:lineRule="auto"/>
        <w:rPr>
          <w:sz w:val="26"/>
          <w:szCs w:val="26"/>
          <w:rtl/>
        </w:rPr>
      </w:pPr>
      <w:r w:rsidRPr="003F0948">
        <w:rPr>
          <w:rFonts w:hint="cs"/>
          <w:sz w:val="26"/>
          <w:szCs w:val="26"/>
          <w:rtl/>
        </w:rPr>
        <w:t>על-ידי ב"כ עו"ד לילך כץ</w:t>
      </w:r>
    </w:p>
    <w:p w14:paraId="7002CC44" w14:textId="77777777" w:rsidR="00695388" w:rsidRPr="003F0948" w:rsidRDefault="00695388" w:rsidP="007409EA">
      <w:pPr>
        <w:rPr>
          <w:b/>
          <w:bCs/>
          <w:sz w:val="26"/>
          <w:szCs w:val="26"/>
          <w:rtl/>
        </w:rPr>
      </w:pPr>
    </w:p>
    <w:bookmarkEnd w:id="0"/>
    <w:p w14:paraId="3663506E" w14:textId="77777777" w:rsidR="00695388" w:rsidRPr="003F0948" w:rsidRDefault="00695388" w:rsidP="004D5C13">
      <w:pPr>
        <w:jc w:val="center"/>
        <w:rPr>
          <w:rFonts w:ascii="Arial" w:hAnsi="Arial"/>
          <w:b/>
          <w:bCs/>
          <w:sz w:val="26"/>
          <w:szCs w:val="26"/>
          <w:rtl/>
        </w:rPr>
      </w:pPr>
      <w:r w:rsidRPr="003F0948">
        <w:rPr>
          <w:rFonts w:ascii="Arial" w:hAnsi="Arial" w:hint="cs"/>
          <w:b/>
          <w:bCs/>
          <w:sz w:val="26"/>
          <w:szCs w:val="26"/>
          <w:rtl/>
        </w:rPr>
        <w:t>נגד</w:t>
      </w:r>
    </w:p>
    <w:p w14:paraId="1B114C07" w14:textId="77777777" w:rsidR="00695388" w:rsidRPr="003F0948" w:rsidRDefault="00695388" w:rsidP="007409EA">
      <w:pPr>
        <w:rPr>
          <w:rFonts w:ascii="Arial" w:hAnsi="Arial"/>
          <w:b/>
          <w:bCs/>
          <w:sz w:val="26"/>
          <w:szCs w:val="26"/>
          <w:rtl/>
        </w:rPr>
      </w:pPr>
    </w:p>
    <w:p w14:paraId="019E67A3" w14:textId="77777777" w:rsidR="00695388" w:rsidRPr="003F0948" w:rsidRDefault="00695388" w:rsidP="004D5C13">
      <w:pPr>
        <w:spacing w:line="360" w:lineRule="auto"/>
        <w:rPr>
          <w:b/>
          <w:bCs/>
          <w:sz w:val="26"/>
          <w:szCs w:val="26"/>
          <w:rtl/>
        </w:rPr>
      </w:pPr>
      <w:r w:rsidRPr="003F0948">
        <w:rPr>
          <w:rFonts w:hint="cs"/>
          <w:b/>
          <w:bCs/>
          <w:sz w:val="26"/>
          <w:szCs w:val="26"/>
          <w:rtl/>
        </w:rPr>
        <w:t>הנאשם</w:t>
      </w:r>
      <w:r w:rsidRPr="003F0948">
        <w:rPr>
          <w:b/>
          <w:bCs/>
          <w:sz w:val="26"/>
          <w:szCs w:val="26"/>
          <w:rtl/>
        </w:rPr>
        <w:t>-</w:t>
      </w:r>
      <w:r w:rsidRPr="003F0948">
        <w:rPr>
          <w:rFonts w:hint="cs"/>
          <w:b/>
          <w:bCs/>
          <w:sz w:val="26"/>
          <w:szCs w:val="26"/>
          <w:rtl/>
        </w:rPr>
        <w:t xml:space="preserve"> סאלח געזוז ת"ז  </w:t>
      </w:r>
      <w:r>
        <w:rPr>
          <w:b/>
          <w:bCs/>
          <w:sz w:val="26"/>
          <w:szCs w:val="26"/>
        </w:rPr>
        <w:t>xxxxxxxxxx</w:t>
      </w:r>
    </w:p>
    <w:p w14:paraId="34FA8972" w14:textId="77777777" w:rsidR="00695388" w:rsidRPr="003F0948" w:rsidRDefault="00695388" w:rsidP="004D5C13">
      <w:pPr>
        <w:spacing w:line="360" w:lineRule="auto"/>
        <w:rPr>
          <w:sz w:val="26"/>
          <w:szCs w:val="26"/>
          <w:rtl/>
        </w:rPr>
      </w:pPr>
      <w:r w:rsidRPr="003F0948">
        <w:rPr>
          <w:rFonts w:hint="cs"/>
          <w:sz w:val="26"/>
          <w:szCs w:val="26"/>
          <w:rtl/>
        </w:rPr>
        <w:t>על-ידי ב"כ עו"ד שאדי כבהא</w:t>
      </w:r>
    </w:p>
    <w:p w14:paraId="0A779ADB" w14:textId="77777777" w:rsidR="00695388" w:rsidRPr="003F0948" w:rsidRDefault="00695388" w:rsidP="007409EA">
      <w:pPr>
        <w:rPr>
          <w:b/>
          <w:bCs/>
          <w:sz w:val="26"/>
          <w:szCs w:val="26"/>
          <w:rtl/>
        </w:rPr>
      </w:pPr>
    </w:p>
    <w:p w14:paraId="297C8AA1" w14:textId="77777777" w:rsidR="00695388" w:rsidRPr="003F0948" w:rsidRDefault="00695388" w:rsidP="004D5C13">
      <w:pPr>
        <w:jc w:val="center"/>
        <w:rPr>
          <w:rFonts w:ascii="Arial" w:hAnsi="Arial"/>
          <w:b/>
          <w:bCs/>
          <w:sz w:val="28"/>
          <w:szCs w:val="28"/>
          <w:rtl/>
        </w:rPr>
      </w:pPr>
    </w:p>
    <w:p w14:paraId="29DF1420" w14:textId="77777777" w:rsidR="00695388" w:rsidRPr="003F0948" w:rsidRDefault="00695388" w:rsidP="003F0948">
      <w:pPr>
        <w:spacing w:before="120" w:after="120" w:line="240" w:lineRule="exact"/>
        <w:ind w:left="283" w:hanging="283"/>
        <w:jc w:val="both"/>
        <w:rPr>
          <w:rFonts w:ascii="FrankRuehl" w:hAnsi="FrankRuehl" w:cs="FrankRuehl"/>
          <w:rtl/>
        </w:rPr>
      </w:pPr>
    </w:p>
    <w:p w14:paraId="6E13D259" w14:textId="77777777" w:rsidR="00695388" w:rsidRPr="00695388" w:rsidRDefault="00695388" w:rsidP="00695388">
      <w:pPr>
        <w:spacing w:before="120" w:after="120" w:line="240" w:lineRule="exact"/>
        <w:ind w:left="283" w:hanging="283"/>
        <w:jc w:val="both"/>
        <w:rPr>
          <w:rFonts w:ascii="FrankRuehl" w:hAnsi="FrankRuehl" w:cs="FrankRuehl"/>
          <w:rtl/>
        </w:rPr>
      </w:pPr>
      <w:bookmarkStart w:id="2" w:name="LawTable"/>
      <w:bookmarkEnd w:id="2"/>
    </w:p>
    <w:p w14:paraId="097983CE" w14:textId="77777777" w:rsidR="00695388" w:rsidRPr="00695388" w:rsidRDefault="00695388" w:rsidP="00695388">
      <w:pPr>
        <w:spacing w:before="120" w:after="120" w:line="240" w:lineRule="exact"/>
        <w:ind w:left="283" w:hanging="283"/>
        <w:jc w:val="both"/>
        <w:rPr>
          <w:rFonts w:ascii="FrankRuehl" w:hAnsi="FrankRuehl" w:cs="FrankRuehl"/>
          <w:rtl/>
        </w:rPr>
      </w:pPr>
      <w:r w:rsidRPr="00695388">
        <w:rPr>
          <w:rFonts w:ascii="FrankRuehl" w:hAnsi="FrankRuehl" w:cs="FrankRuehl"/>
          <w:rtl/>
        </w:rPr>
        <w:t xml:space="preserve">חקיקה שאוזכרה: </w:t>
      </w:r>
    </w:p>
    <w:p w14:paraId="15C21B14" w14:textId="77777777" w:rsidR="00695388" w:rsidRPr="00695388" w:rsidRDefault="00695388" w:rsidP="00695388">
      <w:pPr>
        <w:spacing w:before="120" w:after="120" w:line="240" w:lineRule="exact"/>
        <w:ind w:left="283" w:hanging="283"/>
        <w:jc w:val="both"/>
        <w:rPr>
          <w:rFonts w:ascii="FrankRuehl" w:hAnsi="FrankRuehl" w:cs="FrankRuehl"/>
          <w:color w:val="0000FF"/>
          <w:rtl/>
        </w:rPr>
      </w:pPr>
      <w:hyperlink r:id="rId7" w:history="1">
        <w:r w:rsidRPr="00695388">
          <w:rPr>
            <w:rStyle w:val="Hyperlink"/>
            <w:rFonts w:ascii="FrankRuehl" w:hAnsi="FrankRuehl" w:cs="FrankRuehl"/>
            <w:u w:val="none"/>
            <w:rtl/>
          </w:rPr>
          <w:t>פקודת הסמים המסוכנים [נוסח חדש], תשל"ג-1973</w:t>
        </w:r>
      </w:hyperlink>
      <w:r w:rsidRPr="00695388">
        <w:rPr>
          <w:rFonts w:ascii="FrankRuehl" w:hAnsi="FrankRuehl" w:cs="FrankRuehl"/>
          <w:color w:val="0000FF"/>
          <w:rtl/>
        </w:rPr>
        <w:t xml:space="preserve">: סע'  </w:t>
      </w:r>
      <w:hyperlink r:id="rId8" w:history="1">
        <w:r w:rsidRPr="00695388">
          <w:rPr>
            <w:rStyle w:val="Hyperlink"/>
            <w:rFonts w:ascii="FrankRuehl" w:hAnsi="FrankRuehl" w:cs="FrankRuehl"/>
            <w:u w:val="none"/>
          </w:rPr>
          <w:t>13</w:t>
        </w:r>
      </w:hyperlink>
    </w:p>
    <w:p w14:paraId="52958C4E" w14:textId="77777777" w:rsidR="00695388" w:rsidRPr="00695388" w:rsidRDefault="00695388" w:rsidP="00695388">
      <w:pPr>
        <w:spacing w:before="120" w:after="120" w:line="240" w:lineRule="exact"/>
        <w:ind w:left="283" w:hanging="283"/>
        <w:jc w:val="both"/>
        <w:rPr>
          <w:rFonts w:ascii="FrankRuehl" w:hAnsi="FrankRuehl" w:cs="FrankRuehl"/>
          <w:color w:val="0000FF"/>
          <w:rtl/>
        </w:rPr>
      </w:pPr>
      <w:hyperlink r:id="rId9" w:history="1">
        <w:r w:rsidRPr="00695388">
          <w:rPr>
            <w:rStyle w:val="Hyperlink"/>
            <w:rFonts w:ascii="FrankRuehl" w:hAnsi="FrankRuehl" w:cs="FrankRuehl"/>
            <w:u w:val="none"/>
            <w:rtl/>
          </w:rPr>
          <w:t>חוק העונשין, תשל"ז-1977</w:t>
        </w:r>
      </w:hyperlink>
      <w:r w:rsidRPr="00695388">
        <w:rPr>
          <w:rFonts w:ascii="FrankRuehl" w:hAnsi="FrankRuehl" w:cs="FrankRuehl"/>
          <w:color w:val="0000FF"/>
          <w:rtl/>
        </w:rPr>
        <w:t xml:space="preserve">: סע'  </w:t>
      </w:r>
      <w:hyperlink r:id="rId10" w:history="1">
        <w:r w:rsidRPr="00695388">
          <w:rPr>
            <w:rStyle w:val="Hyperlink"/>
            <w:rFonts w:ascii="FrankRuehl" w:hAnsi="FrankRuehl" w:cs="FrankRuehl"/>
            <w:u w:val="none"/>
          </w:rPr>
          <w:t xml:space="preserve">40 </w:t>
        </w:r>
        <w:r w:rsidRPr="00695388">
          <w:rPr>
            <w:rStyle w:val="Hyperlink"/>
            <w:rFonts w:ascii="FrankRuehl" w:hAnsi="FrankRuehl" w:cs="FrankRuehl"/>
            <w:u w:val="none"/>
            <w:rtl/>
          </w:rPr>
          <w:t>ג</w:t>
        </w:r>
      </w:hyperlink>
      <w:r w:rsidRPr="00695388">
        <w:rPr>
          <w:rFonts w:ascii="FrankRuehl" w:hAnsi="FrankRuehl" w:cs="FrankRuehl"/>
          <w:color w:val="0000FF"/>
          <w:rtl/>
        </w:rPr>
        <w:t>(א)</w:t>
      </w:r>
    </w:p>
    <w:p w14:paraId="4E347576" w14:textId="77777777" w:rsidR="00695388" w:rsidRPr="00695388" w:rsidRDefault="00695388" w:rsidP="00695388">
      <w:pPr>
        <w:jc w:val="center"/>
        <w:rPr>
          <w:rFonts w:ascii="Arial" w:hAnsi="Arial"/>
          <w:sz w:val="28"/>
          <w:szCs w:val="28"/>
          <w:rtl/>
        </w:rPr>
      </w:pPr>
      <w:bookmarkStart w:id="3" w:name="LawTable_End"/>
      <w:bookmarkEnd w:id="3"/>
    </w:p>
    <w:p w14:paraId="4D8B03A3" w14:textId="77777777" w:rsidR="00695388" w:rsidRPr="003F0948" w:rsidRDefault="00695388" w:rsidP="003F0948">
      <w:pPr>
        <w:jc w:val="center"/>
        <w:rPr>
          <w:rFonts w:ascii="Arial" w:hAnsi="Arial"/>
          <w:b/>
          <w:bCs/>
          <w:sz w:val="28"/>
          <w:szCs w:val="28"/>
          <w:u w:val="single"/>
          <w:rtl/>
        </w:rPr>
      </w:pPr>
      <w:bookmarkStart w:id="4" w:name="PsakDin"/>
      <w:r w:rsidRPr="003F0948">
        <w:rPr>
          <w:rFonts w:ascii="Arial" w:hAnsi="Arial"/>
          <w:b/>
          <w:bCs/>
          <w:sz w:val="28"/>
          <w:szCs w:val="28"/>
          <w:u w:val="single"/>
          <w:rtl/>
        </w:rPr>
        <w:t>גזר דין</w:t>
      </w:r>
    </w:p>
    <w:bookmarkEnd w:id="4"/>
    <w:p w14:paraId="691760E6" w14:textId="77777777" w:rsidR="00695388" w:rsidRPr="004D5C13" w:rsidRDefault="00695388" w:rsidP="004D5C13">
      <w:pPr>
        <w:jc w:val="center"/>
        <w:rPr>
          <w:rFonts w:ascii="Arial" w:hAnsi="Arial"/>
          <w:sz w:val="28"/>
          <w:szCs w:val="28"/>
          <w:u w:val="single"/>
          <w:rtl/>
        </w:rPr>
      </w:pPr>
    </w:p>
    <w:p w14:paraId="40ED4BD8" w14:textId="77777777" w:rsidR="004D5C13" w:rsidRPr="00B05847" w:rsidRDefault="004D5C13" w:rsidP="004D5C13">
      <w:pPr>
        <w:rPr>
          <w:rFonts w:ascii="Arial" w:hAnsi="Arial"/>
          <w:rtl/>
        </w:rPr>
      </w:pPr>
      <w:bookmarkStart w:id="5" w:name="LastJudge"/>
      <w:bookmarkEnd w:id="1"/>
      <w:bookmarkEnd w:id="5"/>
    </w:p>
    <w:p w14:paraId="6A8373B5" w14:textId="77777777" w:rsidR="004D5C13" w:rsidRDefault="004D5C13" w:rsidP="004D5C13">
      <w:pPr>
        <w:pStyle w:val="12"/>
        <w:rPr>
          <w:rFonts w:ascii="Arial" w:hAnsi="Arial"/>
          <w:b w:val="0"/>
          <w:bCs w:val="0"/>
          <w:u w:val="none"/>
          <w:rtl/>
        </w:rPr>
      </w:pPr>
    </w:p>
    <w:p w14:paraId="4FFAE994" w14:textId="77777777" w:rsidR="004D5C13" w:rsidRDefault="004D5C13" w:rsidP="004D5C13">
      <w:pPr>
        <w:pStyle w:val="12"/>
        <w:spacing w:line="360" w:lineRule="auto"/>
        <w:ind w:left="720" w:hanging="720"/>
        <w:jc w:val="both"/>
        <w:rPr>
          <w:b w:val="0"/>
          <w:bCs w:val="0"/>
          <w:u w:val="none"/>
          <w:rtl/>
        </w:rPr>
      </w:pPr>
      <w:r>
        <w:rPr>
          <w:rFonts w:ascii="Arial" w:hAnsi="Arial" w:hint="cs"/>
          <w:b w:val="0"/>
          <w:bCs w:val="0"/>
          <w:u w:val="none"/>
          <w:rtl/>
        </w:rPr>
        <w:t>1.</w:t>
      </w:r>
      <w:r>
        <w:rPr>
          <w:rFonts w:ascii="Arial" w:hAnsi="Arial"/>
          <w:b w:val="0"/>
          <w:bCs w:val="0"/>
          <w:u w:val="none"/>
          <w:rtl/>
        </w:rPr>
        <w:tab/>
      </w:r>
      <w:bookmarkStart w:id="6" w:name="ABSTRACT_START"/>
      <w:bookmarkEnd w:id="6"/>
      <w:r w:rsidRPr="007F0FD8">
        <w:rPr>
          <w:rFonts w:hint="cs"/>
          <w:b w:val="0"/>
          <w:bCs w:val="0"/>
          <w:u w:val="none"/>
          <w:rtl/>
        </w:rPr>
        <w:t xml:space="preserve">ביום 11.11.24 </w:t>
      </w:r>
      <w:r>
        <w:rPr>
          <w:rFonts w:hint="cs"/>
          <w:b w:val="0"/>
          <w:bCs w:val="0"/>
          <w:u w:val="none"/>
          <w:rtl/>
        </w:rPr>
        <w:t>הגיעו ב"כ הצדדים</w:t>
      </w:r>
      <w:r>
        <w:rPr>
          <w:b w:val="0"/>
          <w:bCs w:val="0"/>
          <w:u w:val="none"/>
          <w:rtl/>
        </w:rPr>
        <w:t xml:space="preserve">  להסדר טיעון לפיו כתב האישום תוקן, הנאשם </w:t>
      </w:r>
      <w:r>
        <w:rPr>
          <w:rFonts w:hint="cs"/>
          <w:b w:val="0"/>
          <w:bCs w:val="0"/>
          <w:u w:val="none"/>
          <w:rtl/>
        </w:rPr>
        <w:t>ה</w:t>
      </w:r>
      <w:r>
        <w:rPr>
          <w:b w:val="0"/>
          <w:bCs w:val="0"/>
          <w:u w:val="none"/>
          <w:rtl/>
        </w:rPr>
        <w:t>ודה ו</w:t>
      </w:r>
      <w:r>
        <w:rPr>
          <w:rFonts w:hint="cs"/>
          <w:b w:val="0"/>
          <w:bCs w:val="0"/>
          <w:u w:val="none"/>
          <w:rtl/>
        </w:rPr>
        <w:t>ה</w:t>
      </w:r>
      <w:r>
        <w:rPr>
          <w:b w:val="0"/>
          <w:bCs w:val="0"/>
          <w:u w:val="none"/>
          <w:rtl/>
        </w:rPr>
        <w:t xml:space="preserve">ורשע. </w:t>
      </w:r>
      <w:r>
        <w:rPr>
          <w:rFonts w:hint="cs"/>
          <w:b w:val="0"/>
          <w:bCs w:val="0"/>
          <w:u w:val="none"/>
          <w:rtl/>
        </w:rPr>
        <w:t xml:space="preserve">הוצהר לפני כי </w:t>
      </w:r>
      <w:r>
        <w:rPr>
          <w:b w:val="0"/>
          <w:bCs w:val="0"/>
          <w:u w:val="none"/>
          <w:rtl/>
        </w:rPr>
        <w:t xml:space="preserve">אין הסדר לעניין העונש. </w:t>
      </w:r>
    </w:p>
    <w:p w14:paraId="67DFB226" w14:textId="77777777" w:rsidR="004D5C13" w:rsidRDefault="004D5C13" w:rsidP="004D5C13">
      <w:pPr>
        <w:pStyle w:val="12"/>
        <w:spacing w:line="360" w:lineRule="auto"/>
        <w:ind w:left="720" w:hanging="720"/>
        <w:jc w:val="both"/>
        <w:rPr>
          <w:b w:val="0"/>
          <w:bCs w:val="0"/>
          <w:u w:val="none"/>
          <w:rtl/>
        </w:rPr>
      </w:pPr>
    </w:p>
    <w:p w14:paraId="0BC23E6A" w14:textId="77777777" w:rsidR="004D5C13" w:rsidRPr="00460418" w:rsidRDefault="004D5C13" w:rsidP="004D5C13">
      <w:pPr>
        <w:pStyle w:val="12"/>
        <w:spacing w:line="360" w:lineRule="auto"/>
        <w:ind w:left="720" w:hanging="720"/>
        <w:jc w:val="both"/>
        <w:rPr>
          <w:rFonts w:ascii="David" w:hAnsi="David"/>
          <w:b w:val="0"/>
          <w:bCs w:val="0"/>
          <w:u w:val="none"/>
          <w:rtl/>
        </w:rPr>
      </w:pPr>
      <w:r>
        <w:rPr>
          <w:rFonts w:hint="cs"/>
          <w:b w:val="0"/>
          <w:bCs w:val="0"/>
          <w:u w:val="none"/>
          <w:rtl/>
        </w:rPr>
        <w:t>2.</w:t>
      </w:r>
      <w:r>
        <w:rPr>
          <w:b w:val="0"/>
          <w:bCs w:val="0"/>
          <w:u w:val="none"/>
          <w:rtl/>
        </w:rPr>
        <w:tab/>
      </w:r>
      <w:r w:rsidRPr="00460418">
        <w:rPr>
          <w:rFonts w:hint="cs"/>
          <w:b w:val="0"/>
          <w:bCs w:val="0"/>
          <w:u w:val="none"/>
          <w:rtl/>
        </w:rPr>
        <w:t xml:space="preserve">על יסוד הודאת הנאשם בעובדות כתב האישום המתוקן הורשע הנאשם בעבירות של סחר בסם מסוכן, עבירה לפי </w:t>
      </w:r>
      <w:hyperlink r:id="rId11" w:history="1">
        <w:r w:rsidR="00695388" w:rsidRPr="00695388">
          <w:rPr>
            <w:rStyle w:val="Hyperlink"/>
            <w:rFonts w:hint="eastAsia"/>
            <w:b w:val="0"/>
            <w:bCs w:val="0"/>
            <w:color w:val="0000FF"/>
            <w:rtl/>
          </w:rPr>
          <w:t>סעיף</w:t>
        </w:r>
        <w:r w:rsidR="00695388" w:rsidRPr="00695388">
          <w:rPr>
            <w:rStyle w:val="Hyperlink"/>
            <w:b w:val="0"/>
            <w:bCs w:val="0"/>
            <w:color w:val="0000FF"/>
            <w:rtl/>
          </w:rPr>
          <w:t xml:space="preserve"> 13</w:t>
        </w:r>
      </w:hyperlink>
      <w:r w:rsidRPr="00460418">
        <w:rPr>
          <w:rFonts w:hint="cs"/>
          <w:b w:val="0"/>
          <w:bCs w:val="0"/>
          <w:u w:val="none"/>
          <w:rtl/>
        </w:rPr>
        <w:t xml:space="preserve"> ל</w:t>
      </w:r>
      <w:hyperlink r:id="rId12" w:history="1">
        <w:r w:rsidR="003F0948" w:rsidRPr="003F0948">
          <w:rPr>
            <w:b w:val="0"/>
            <w:bCs w:val="0"/>
            <w:color w:val="0000FF"/>
            <w:rtl/>
          </w:rPr>
          <w:t>פקודת הסמים המסוכנים</w:t>
        </w:r>
      </w:hyperlink>
      <w:r w:rsidRPr="00460418">
        <w:rPr>
          <w:rFonts w:hint="cs"/>
          <w:b w:val="0"/>
          <w:bCs w:val="0"/>
          <w:u w:val="none"/>
          <w:rtl/>
        </w:rPr>
        <w:t>.</w:t>
      </w:r>
    </w:p>
    <w:p w14:paraId="35E11D7C" w14:textId="77777777" w:rsidR="004D5C13" w:rsidRDefault="004D5C13" w:rsidP="004D5C13">
      <w:pPr>
        <w:spacing w:line="360" w:lineRule="auto"/>
        <w:jc w:val="both"/>
        <w:rPr>
          <w:b/>
          <w:bCs/>
          <w:u w:val="single"/>
          <w:rtl/>
        </w:rPr>
      </w:pPr>
    </w:p>
    <w:p w14:paraId="1834E1A3" w14:textId="77777777" w:rsidR="004D5C13" w:rsidRDefault="004D5C13" w:rsidP="004D5C13">
      <w:pPr>
        <w:spacing w:line="360" w:lineRule="auto"/>
        <w:ind w:left="720" w:hanging="720"/>
        <w:jc w:val="both"/>
        <w:rPr>
          <w:rtl/>
        </w:rPr>
      </w:pPr>
      <w:bookmarkStart w:id="7" w:name="ABSTRACT_END"/>
      <w:bookmarkEnd w:id="7"/>
      <w:r>
        <w:rPr>
          <w:rFonts w:hint="cs"/>
          <w:rtl/>
        </w:rPr>
        <w:t>3.</w:t>
      </w:r>
      <w:r>
        <w:rPr>
          <w:rtl/>
        </w:rPr>
        <w:tab/>
      </w:r>
      <w:r>
        <w:rPr>
          <w:rFonts w:hint="cs"/>
          <w:rtl/>
        </w:rPr>
        <w:t xml:space="preserve">על פי עובדות כתב האישום המתוקן, המשטרה הפעילה סוכן סמוי. ביום 16.5.24 בשעה 16:00 או בסמוך לכך, בהוראת מפעיליו, פנה הסוכן לנאשם באמצעות אפליקציית הטלגרם בחשבון </w:t>
      </w:r>
      <w:r>
        <w:rPr>
          <w:rtl/>
        </w:rPr>
        <w:pgNum/>
      </w:r>
      <w:r>
        <w:rPr>
          <w:rFonts w:hint="cs"/>
        </w:rPr>
        <w:t>WIZ KHALIFA</w:t>
      </w:r>
      <w:r>
        <w:rPr>
          <w:rFonts w:hint="cs"/>
          <w:rtl/>
        </w:rPr>
        <w:t xml:space="preserve"> הנאשם סיכם עם הסוכן כי ירכוש ממנו 10 גרם קוקאין ו </w:t>
      </w:r>
      <w:r>
        <w:rPr>
          <w:rtl/>
        </w:rPr>
        <w:t>–</w:t>
      </w:r>
      <w:r>
        <w:rPr>
          <w:rFonts w:hint="cs"/>
          <w:rtl/>
        </w:rPr>
        <w:t xml:space="preserve"> 10 גרם </w:t>
      </w:r>
      <w:r>
        <w:rPr>
          <w:rFonts w:hint="cs"/>
        </w:rPr>
        <w:t>MDMA</w:t>
      </w:r>
      <w:r>
        <w:rPr>
          <w:rFonts w:hint="cs"/>
          <w:rtl/>
        </w:rPr>
        <w:t xml:space="preserve"> תמורת סך של 4,700 ₪ (להלן באישום זה: עסקת סמים). עוד סוכם כי העסקה תתבצע בדרך של משלוח הסם לרחוב בלינסון 4 בת"א בשעה 18:00 (להלן בכתב אישום זה: נקודת המפגש).</w:t>
      </w:r>
    </w:p>
    <w:p w14:paraId="3FC0D78C" w14:textId="77777777" w:rsidR="004D5C13" w:rsidRDefault="004D5C13" w:rsidP="004D5C13">
      <w:pPr>
        <w:spacing w:line="360" w:lineRule="auto"/>
        <w:ind w:left="720"/>
        <w:jc w:val="both"/>
        <w:rPr>
          <w:rtl/>
        </w:rPr>
      </w:pPr>
      <w:r>
        <w:rPr>
          <w:rFonts w:hint="cs"/>
          <w:rtl/>
        </w:rPr>
        <w:t>בשעה 17:36 או בסמוך לכך, הנאשם עדכן את הסוכן כי הביא עימו 9.5 גרם קוקאין בלבד ולכן ניתן להפחית 200 ₪ מסכום המוסכם, כך שהסוכן ישלם 4,500 ₪ במסגרת עסקת הסמים.</w:t>
      </w:r>
    </w:p>
    <w:p w14:paraId="6419EB93" w14:textId="77777777" w:rsidR="004D5C13" w:rsidRPr="0059129C" w:rsidRDefault="004D5C13" w:rsidP="004D5C13">
      <w:pPr>
        <w:spacing w:line="360" w:lineRule="auto"/>
        <w:ind w:left="720"/>
        <w:jc w:val="both"/>
        <w:rPr>
          <w:rtl/>
        </w:rPr>
      </w:pPr>
      <w:r>
        <w:rPr>
          <w:rFonts w:hint="cs"/>
          <w:rtl/>
        </w:rPr>
        <w:lastRenderedPageBreak/>
        <w:t xml:space="preserve">בשעה 18:05 או בסמוך לכך, הגיע הסוכן לנקודת המפגש. בסמוך לאחר מכן הגיע הנאשם למקום ברכב מסוג סקודה בצבע לבן, ל.ז 38756401. במעמד זה, בתוך הרכב, העביר הנאשם לסוכן חבילה המכילה סם מסוכן מסוג </w:t>
      </w:r>
      <w:r>
        <w:rPr>
          <w:rFonts w:hint="cs"/>
        </w:rPr>
        <w:t>MDMA</w:t>
      </w:r>
      <w:r>
        <w:rPr>
          <w:rFonts w:hint="cs"/>
          <w:rtl/>
        </w:rPr>
        <w:t xml:space="preserve"> במשקל 9.9291 גרם נטו וכן סם מסוכן מסוג קוקאין במשקל 9.2458 גרם נטו. הסוכן שילם לנאשם בעבור כך סך של 4,5000 ₪ ויצא מהרכב.</w:t>
      </w:r>
    </w:p>
    <w:p w14:paraId="516F5ED0" w14:textId="77777777" w:rsidR="004D5C13" w:rsidRDefault="004D5C13" w:rsidP="004D5C13">
      <w:pPr>
        <w:pStyle w:val="a9"/>
        <w:spacing w:line="360" w:lineRule="auto"/>
        <w:jc w:val="both"/>
      </w:pPr>
    </w:p>
    <w:p w14:paraId="3895276E" w14:textId="77777777" w:rsidR="004D5C13" w:rsidRDefault="004D5C13" w:rsidP="004D5C13">
      <w:pPr>
        <w:spacing w:line="360" w:lineRule="auto"/>
        <w:ind w:left="720" w:hanging="720"/>
        <w:jc w:val="both"/>
        <w:rPr>
          <w:rtl/>
        </w:rPr>
      </w:pPr>
      <w:r>
        <w:rPr>
          <w:rFonts w:hint="cs"/>
          <w:rtl/>
        </w:rPr>
        <w:t>4.</w:t>
      </w:r>
      <w:r>
        <w:rPr>
          <w:rtl/>
        </w:rPr>
        <w:tab/>
      </w:r>
      <w:r w:rsidRPr="0079292F">
        <w:rPr>
          <w:rFonts w:hint="cs"/>
          <w:rtl/>
        </w:rPr>
        <w:t xml:space="preserve">בדיון לפניי מיום 11.11.24 טענה ב"כ המאשימה כי </w:t>
      </w:r>
      <w:r>
        <w:rPr>
          <w:rFonts w:hint="cs"/>
          <w:rtl/>
        </w:rPr>
        <w:t xml:space="preserve">זהו התיק הראשון מפרשית סוכן המוכרת לבית המשפט, בעניינו של נאשם זה כתב האישום תוקן משמעותית, אך נותרה עסקה אחת הכוללת כמות משמעותית של סם קשה מסוג קוקאין במשקל של 9.2 גרם וסם מסוג </w:t>
      </w:r>
      <w:r>
        <w:t>MDMA</w:t>
      </w:r>
      <w:r>
        <w:rPr>
          <w:rFonts w:hint="cs"/>
          <w:rtl/>
        </w:rPr>
        <w:t xml:space="preserve"> במשקל של 9.9 גרם.  </w:t>
      </w:r>
    </w:p>
    <w:p w14:paraId="4D1686F2" w14:textId="77777777" w:rsidR="004D5C13" w:rsidRDefault="004D5C13" w:rsidP="004D5C13">
      <w:pPr>
        <w:spacing w:line="360" w:lineRule="auto"/>
        <w:ind w:left="720" w:hanging="720"/>
        <w:jc w:val="both"/>
        <w:rPr>
          <w:rtl/>
        </w:rPr>
      </w:pPr>
    </w:p>
    <w:p w14:paraId="7443BF89" w14:textId="77777777" w:rsidR="004D5C13" w:rsidRDefault="004D5C13" w:rsidP="004D5C13">
      <w:pPr>
        <w:spacing w:line="360" w:lineRule="auto"/>
        <w:ind w:left="720" w:hanging="720"/>
        <w:jc w:val="both"/>
        <w:rPr>
          <w:rtl/>
        </w:rPr>
      </w:pPr>
    </w:p>
    <w:p w14:paraId="6617F1DD" w14:textId="77777777" w:rsidR="004D5C13" w:rsidRDefault="004D5C13" w:rsidP="004D5C13">
      <w:pPr>
        <w:spacing w:line="360" w:lineRule="auto"/>
        <w:ind w:left="720"/>
        <w:jc w:val="both"/>
        <w:rPr>
          <w:rtl/>
        </w:rPr>
      </w:pPr>
      <w:r>
        <w:rPr>
          <w:rFonts w:hint="cs"/>
          <w:rtl/>
        </w:rPr>
        <w:t>ב"כ המאשימה טענה כי קיימים ערכים מוגנים הידועים היטב לבית המשפט, בהקשר של הפגיעה בציבור של הסמים. ציינה כי הנאשם נעדר עבר פלילי וכי הנאשם הוא זה שהביא לסוכן את הסמים. ב"כ המאשימה ביקשה לקבוע מתחם של 15 – 30 חודשי מאסר בהתאם לפסיקה. טענה כי לאור הפסיקה שהציגה בפני בית משפט, המתחם לו עותרת המאשימה יותר מראוי והוגן עם הנאשם, בשל סוגי הסמים ומשקלם.</w:t>
      </w:r>
    </w:p>
    <w:p w14:paraId="3FA6984E" w14:textId="77777777" w:rsidR="004D5C13" w:rsidRDefault="004D5C13" w:rsidP="004D5C13">
      <w:pPr>
        <w:spacing w:line="360" w:lineRule="auto"/>
        <w:ind w:left="720"/>
        <w:jc w:val="both"/>
        <w:rPr>
          <w:rtl/>
        </w:rPr>
      </w:pPr>
      <w:r>
        <w:rPr>
          <w:rFonts w:hint="cs"/>
          <w:rtl/>
        </w:rPr>
        <w:t>ב"כ המאשימה טענה כי הנאשם הודה והורשע, לקח אחריות, נעדר עבר פלילי, ומכאן טענה כי יש למקמו ברף התחתון של המתחם, אך לא ברף התחתון משמעותית וזו בשל חלקו המשמעותי של הנאשם בכתב האישום. לצד זאת, ביקשה להשית מאסר על-תנאי וקנס משמעותי. טענה כי מאחר שהנאשם הגיע לביצוע העסקאות כשהוא נוהג ברכב, ביקשה להשית פסילה בפועל ופסילה מותנית.</w:t>
      </w:r>
    </w:p>
    <w:p w14:paraId="752DCD30" w14:textId="77777777" w:rsidR="004D5C13" w:rsidRDefault="004D5C13" w:rsidP="004D5C13">
      <w:pPr>
        <w:spacing w:line="360" w:lineRule="auto"/>
        <w:jc w:val="both"/>
        <w:rPr>
          <w:rtl/>
        </w:rPr>
      </w:pPr>
    </w:p>
    <w:p w14:paraId="79259701" w14:textId="77777777" w:rsidR="004D5C13" w:rsidRDefault="004D5C13" w:rsidP="004D5C13">
      <w:pPr>
        <w:spacing w:line="360" w:lineRule="auto"/>
        <w:ind w:left="720" w:hanging="720"/>
        <w:jc w:val="both"/>
        <w:rPr>
          <w:rtl/>
        </w:rPr>
      </w:pPr>
      <w:r>
        <w:rPr>
          <w:rFonts w:hint="cs"/>
          <w:rtl/>
        </w:rPr>
        <w:t>5.</w:t>
      </w:r>
      <w:r>
        <w:rPr>
          <w:rtl/>
        </w:rPr>
        <w:tab/>
      </w:r>
      <w:r>
        <w:rPr>
          <w:rFonts w:hint="cs"/>
          <w:rtl/>
        </w:rPr>
        <w:t xml:space="preserve">ב"כ הנאשם טען בדיון לפניי כי ב"כ המאשימה אינה צודקת בטיעוניה משום והמתחם לו עותרת המאשימה אמור להיות תואם לעובדות כתב האישום. ב"כ הנאשם טען כי יש לזקוף לזכותו של הנאשם כי הוא הראשון שמודה בפרשייה. טען כי התיקון בכתב האישום הינו ראייתי וכן לטענתו אלמלא כך, היינו בגדרו של בית משפט השלום, שידועה הפסיקה ומדיניות הענישה בבית משפט שלום. ב"כ הנאשם טען כי הנאשם נעדר עבר פלילי ושוהה חמישה חודשים במעצר וכן לטעמו מדיניות הענישה עליה מדברת ב"כ המאשימה מנותק מעולם הענישה הנהוג. </w:t>
      </w:r>
    </w:p>
    <w:p w14:paraId="321F0936" w14:textId="77777777" w:rsidR="004D5C13" w:rsidRDefault="004D5C13" w:rsidP="004D5C13">
      <w:pPr>
        <w:spacing w:line="360" w:lineRule="auto"/>
        <w:ind w:left="720"/>
        <w:jc w:val="both"/>
        <w:rPr>
          <w:rtl/>
        </w:rPr>
      </w:pPr>
    </w:p>
    <w:p w14:paraId="6BB11C3B" w14:textId="77777777" w:rsidR="004D5C13" w:rsidRDefault="004D5C13" w:rsidP="004D5C13">
      <w:pPr>
        <w:spacing w:line="360" w:lineRule="auto"/>
        <w:ind w:left="720"/>
        <w:jc w:val="both"/>
        <w:rPr>
          <w:rtl/>
        </w:rPr>
      </w:pPr>
      <w:r>
        <w:rPr>
          <w:rFonts w:hint="cs"/>
          <w:rtl/>
        </w:rPr>
        <w:t>ב"כ הנאשם הציג בפני בית משפט פסיקה וטען כי יש להשית מתחם הנע בין 10 – 20 חודשי מאסר. ב"כ הנאשם טען כי אין נפקא מינה לכך שמדובר בשני סוגי סמים וכי הדבר אינו יכול להוות נסיבה לחומרא. ב"כ הנאשם טען כי הנאשם צערי וללא עבר פלילי שעומד בפני מאסר ראשון ועל כן ביקש למקמו בתחתית המתחם, קרי 10 חודשי מאסר. טען כי העסקאות היו בסך של 4,500 ₪ ולכן יש להעמיד את הקנס בהתאם.</w:t>
      </w:r>
    </w:p>
    <w:p w14:paraId="0494E572" w14:textId="77777777" w:rsidR="004D5C13" w:rsidRDefault="004D5C13" w:rsidP="004D5C13">
      <w:pPr>
        <w:jc w:val="both"/>
        <w:rPr>
          <w:rtl/>
        </w:rPr>
      </w:pPr>
    </w:p>
    <w:p w14:paraId="5F32EA01" w14:textId="77777777" w:rsidR="004D5C13" w:rsidRDefault="004D5C13" w:rsidP="004D5C13">
      <w:pPr>
        <w:spacing w:line="360" w:lineRule="auto"/>
        <w:ind w:left="720" w:hanging="720"/>
        <w:jc w:val="both"/>
        <w:rPr>
          <w:rtl/>
        </w:rPr>
      </w:pPr>
      <w:r>
        <w:rPr>
          <w:rFonts w:hint="cs"/>
          <w:rtl/>
        </w:rPr>
        <w:t>6.</w:t>
      </w:r>
      <w:r>
        <w:rPr>
          <w:rtl/>
        </w:rPr>
        <w:tab/>
      </w:r>
      <w:r w:rsidRPr="00B213BA">
        <w:rPr>
          <w:rFonts w:hint="cs"/>
          <w:rtl/>
        </w:rPr>
        <w:t xml:space="preserve">הנאשם בדברו האחרון מסר כי הוא מצטער </w:t>
      </w:r>
      <w:r>
        <w:rPr>
          <w:rFonts w:hint="cs"/>
          <w:rtl/>
        </w:rPr>
        <w:t>וכי לא יעשה את זה י</w:t>
      </w:r>
      <w:r w:rsidRPr="00B213BA">
        <w:rPr>
          <w:rFonts w:hint="cs"/>
          <w:rtl/>
        </w:rPr>
        <w:t xml:space="preserve">ותר. </w:t>
      </w:r>
      <w:r>
        <w:rPr>
          <w:rFonts w:hint="cs"/>
          <w:rtl/>
        </w:rPr>
        <w:t xml:space="preserve">מסר כי זו </w:t>
      </w:r>
      <w:r w:rsidRPr="00B213BA">
        <w:rPr>
          <w:rFonts w:hint="cs"/>
          <w:rtl/>
        </w:rPr>
        <w:t xml:space="preserve"> פעם ראשונה בבית</w:t>
      </w:r>
      <w:r>
        <w:rPr>
          <w:rFonts w:hint="cs"/>
          <w:rtl/>
        </w:rPr>
        <w:t xml:space="preserve"> סוהר וכי זה קשה לו. מסר כי רוצה לסיים את התיק ולא יחזור על זה. </w:t>
      </w:r>
    </w:p>
    <w:p w14:paraId="3F480CEB" w14:textId="77777777" w:rsidR="004D5C13" w:rsidRDefault="004D5C13" w:rsidP="004D5C13">
      <w:pPr>
        <w:ind w:left="720" w:hanging="720"/>
        <w:jc w:val="both"/>
      </w:pPr>
    </w:p>
    <w:p w14:paraId="4A246412" w14:textId="77777777" w:rsidR="004D5C13" w:rsidRDefault="004D5C13" w:rsidP="004D5C13">
      <w:pPr>
        <w:spacing w:line="360" w:lineRule="auto"/>
        <w:ind w:left="720" w:hanging="720"/>
        <w:jc w:val="both"/>
      </w:pPr>
      <w:r>
        <w:rPr>
          <w:rFonts w:hint="cs"/>
          <w:rtl/>
        </w:rPr>
        <w:t>7.</w:t>
      </w:r>
      <w:r>
        <w:rPr>
          <w:rtl/>
        </w:rPr>
        <w:tab/>
      </w:r>
      <w:r>
        <w:rPr>
          <w:rFonts w:hint="cs"/>
          <w:rtl/>
        </w:rPr>
        <w:t>הערך המוגן בעבירות הסחר בסם הן הפגיעה בשלום ובבריאותו של הציבור.</w:t>
      </w:r>
      <w:r>
        <w:rPr>
          <w:rtl/>
        </w:rPr>
        <w:t xml:space="preserve"> </w:t>
      </w:r>
      <w:r>
        <w:rPr>
          <w:rFonts w:hint="cs"/>
          <w:rtl/>
        </w:rPr>
        <w:t xml:space="preserve">כמו כן </w:t>
      </w:r>
      <w:r>
        <w:rPr>
          <w:rtl/>
        </w:rPr>
        <w:t>פגיעה קשה בביטחון הציבור נוכח האפקט האגבי של פעילות עבריינית הנוצרת סביב עבירות הסמים וקיום שוק הסמים.</w:t>
      </w:r>
      <w:r>
        <w:rPr>
          <w:rFonts w:hint="cs"/>
          <w:rtl/>
        </w:rPr>
        <w:t xml:space="preserve"> </w:t>
      </w:r>
      <w:r>
        <w:rPr>
          <w:rFonts w:hint="cs"/>
          <w:rtl/>
        </w:rPr>
        <w:lastRenderedPageBreak/>
        <w:t xml:space="preserve">במקרה הנוכחי מדובר באירוע אחד של סחר בסם בו נמכרו שני סוגי סמים הנחשבים קשים בכמות לא מבוטלת. נוכח העובדה כי מדובר באירוע בודד, אני מוצא לקבוע כי הפגיעה היא ברמה בינונית. </w:t>
      </w:r>
    </w:p>
    <w:p w14:paraId="711FD210" w14:textId="77777777" w:rsidR="004D5C13" w:rsidRDefault="004D5C13" w:rsidP="004D5C13">
      <w:pPr>
        <w:spacing w:line="360" w:lineRule="auto"/>
        <w:jc w:val="both"/>
      </w:pPr>
    </w:p>
    <w:p w14:paraId="6CCAB39C" w14:textId="77777777" w:rsidR="004D5C13" w:rsidRDefault="004D5C13" w:rsidP="004D5C13">
      <w:pPr>
        <w:ind w:left="720" w:hanging="720"/>
        <w:rPr>
          <w:rtl/>
        </w:rPr>
      </w:pPr>
      <w:r>
        <w:rPr>
          <w:rFonts w:hint="cs"/>
          <w:rtl/>
        </w:rPr>
        <w:t>8.</w:t>
      </w:r>
      <w:r>
        <w:rPr>
          <w:rtl/>
        </w:rPr>
        <w:tab/>
      </w:r>
      <w:r>
        <w:rPr>
          <w:rFonts w:hint="cs"/>
          <w:rtl/>
        </w:rPr>
        <w:t>מדיניות הענישה הנוהגת בעבירות אותן ביצע הנאשם:</w:t>
      </w:r>
    </w:p>
    <w:p w14:paraId="375954FE" w14:textId="77777777" w:rsidR="004D5C13" w:rsidRDefault="004D5C13" w:rsidP="004D5C13">
      <w:pPr>
        <w:ind w:left="720" w:hanging="720"/>
      </w:pPr>
    </w:p>
    <w:p w14:paraId="791E6EB5" w14:textId="77777777" w:rsidR="004D5C13" w:rsidRDefault="003F0948" w:rsidP="004D5C13">
      <w:pPr>
        <w:pStyle w:val="a9"/>
        <w:spacing w:line="360" w:lineRule="auto"/>
        <w:jc w:val="both"/>
        <w:rPr>
          <w:rtl/>
        </w:rPr>
      </w:pPr>
      <w:hyperlink r:id="rId13" w:history="1">
        <w:r w:rsidRPr="003F0948">
          <w:rPr>
            <w:color w:val="0000FF"/>
            <w:u w:val="single"/>
            <w:rtl/>
          </w:rPr>
          <w:t>ע"פ 1458/23</w:t>
        </w:r>
      </w:hyperlink>
      <w:r w:rsidR="004D5C13">
        <w:rPr>
          <w:rtl/>
        </w:rPr>
        <w:t xml:space="preserve"> </w:t>
      </w:r>
      <w:r w:rsidR="004D5C13" w:rsidRPr="000A4EE6">
        <w:rPr>
          <w:b/>
          <w:bCs/>
          <w:rtl/>
        </w:rPr>
        <w:t>טסמה נ' מדינת ישראל (5.7.2023)</w:t>
      </w:r>
      <w:r w:rsidR="004D5C13">
        <w:rPr>
          <w:rtl/>
        </w:rPr>
        <w:t xml:space="preserve"> - המערער הורשע על יסוד הודאתו במסגרת הסדר טיעון בחמש עבירות של סחר בסם מסוכן, שתי עבירות של סחר בנשק, שתי עבירות של נשיאת נשק ושתי עבירות של נשיאה והובלת נשק ותחמושת, בנוסף צירף תיק של החזקת סם ושימוש עצמי. כתב האישום המתוקן כלל ארבעה אישומים הנוגעים לעבירות הסמים, במסגרתם מכר המערער לסוכן משטרתי סם מסוכן מסוג קוקאין במשקלים שונים, ובמשקל כולל של כ-30 גרם, וכן העביר המערער באמצעות הסוכן לאדם אחר סם בכמות שאינה ידועה. שני האישומים הנוספים בכתב האישום המתוקן נגעו לעבירות הנשק, במסגרתן סחר הנאשם בשני אקדחי הזנקה שהוסבו לירי. בית המשפט המחוזי קבע שני מתחמים נפרדים - בגין עבירות הסמים נקבע מתחם הנע בין 15 ל-30 חודשי מאסר; בגין עבירות הנשק נקבע מתחם הנע בין 30 ל-60 חודשי מאסר. הוטל עליו עונש של 30 חודשי מאסר, נוכח הליך שיקומי שעבר. המערער חזר בו לאחר דיון ובהמלצת בית המשפט מערעורו לבית המשפט העליון.</w:t>
      </w:r>
    </w:p>
    <w:p w14:paraId="1F8A1F2D" w14:textId="77777777" w:rsidR="004D5C13" w:rsidRDefault="004D5C13" w:rsidP="004D5C13">
      <w:pPr>
        <w:pStyle w:val="a9"/>
        <w:spacing w:line="360" w:lineRule="auto"/>
        <w:jc w:val="both"/>
      </w:pPr>
    </w:p>
    <w:p w14:paraId="10DAB9EC" w14:textId="77777777" w:rsidR="004D5C13" w:rsidRDefault="003F0948" w:rsidP="004D5C13">
      <w:pPr>
        <w:pStyle w:val="a9"/>
        <w:spacing w:line="360" w:lineRule="auto"/>
        <w:jc w:val="both"/>
        <w:rPr>
          <w:rtl/>
        </w:rPr>
      </w:pPr>
      <w:hyperlink r:id="rId14" w:history="1">
        <w:r w:rsidRPr="003F0948">
          <w:rPr>
            <w:color w:val="0000FF"/>
            <w:u w:val="single"/>
            <w:rtl/>
          </w:rPr>
          <w:t>ע"פ 8367/18</w:t>
        </w:r>
      </w:hyperlink>
      <w:r w:rsidR="004D5C13">
        <w:rPr>
          <w:rtl/>
        </w:rPr>
        <w:t xml:space="preserve"> </w:t>
      </w:r>
      <w:r w:rsidR="004D5C13" w:rsidRPr="000A4EE6">
        <w:rPr>
          <w:b/>
          <w:bCs/>
          <w:rtl/>
        </w:rPr>
        <w:t>פלוני נ' מדינת ישראל (12.3.2019)</w:t>
      </w:r>
      <w:r w:rsidR="004D5C13">
        <w:rPr>
          <w:rtl/>
        </w:rPr>
        <w:t xml:space="preserve"> - המערער הורשע על יסוד הודאתו בשתי עבירות של סחר בסם מסוכן מסוג קוקאין לסוכן משטרתי. במקרה זה, שהתברר בפניי בערכאה הראשונה, קבעתי שני מתחמי ענישה: כזה שנע בין 23 ל-50 חודשי מאסר, בגין העסקה הראשונה, בה מכר המערער לסוכן 29.9 גרם קוקאין; וכזה שנע בין 27 ל-54 חודשי מאסר, בגין העסקה השנייה, בה מכר המערער לסוכן 50.4 גרם קוקאין. באשר למתחם ציינתי כי אלמלא עתירת התביעה, היה מקום לקבוע מתחם הנע בין 30 ל-60 חודשי מאסר בנסיבות האישום השני. עונשו של הנאשם שהורשע בעבר בעבירות סמים ואף ריצה תקופות מאסר קודמות, הועמד על ידי על 36 חודשי מאסר. בית המשפט העליון קיבל את ערעור הנאשם והעמיד את תקופת המאסר על 30 חודשים, וזאת מבלי להתערב במתחם הענישה שנקבע.</w:t>
      </w:r>
    </w:p>
    <w:p w14:paraId="321B4B88" w14:textId="77777777" w:rsidR="004D5C13" w:rsidRDefault="004D5C13" w:rsidP="004D5C13">
      <w:pPr>
        <w:pStyle w:val="a9"/>
        <w:spacing w:line="360" w:lineRule="auto"/>
        <w:jc w:val="both"/>
      </w:pPr>
    </w:p>
    <w:p w14:paraId="5C2D6E1B" w14:textId="77777777" w:rsidR="004D5C13" w:rsidRDefault="003F0948" w:rsidP="004D5C13">
      <w:pPr>
        <w:pStyle w:val="a9"/>
        <w:spacing w:line="360" w:lineRule="auto"/>
        <w:jc w:val="both"/>
        <w:rPr>
          <w:rtl/>
        </w:rPr>
      </w:pPr>
      <w:hyperlink r:id="rId15" w:history="1">
        <w:r w:rsidRPr="003F0948">
          <w:rPr>
            <w:color w:val="0000FF"/>
            <w:u w:val="single"/>
            <w:rtl/>
          </w:rPr>
          <w:t>רע"פ 6871/19</w:t>
        </w:r>
      </w:hyperlink>
      <w:r w:rsidR="004D5C13">
        <w:rPr>
          <w:rFonts w:hint="cs"/>
          <w:rtl/>
        </w:rPr>
        <w:t xml:space="preserve"> </w:t>
      </w:r>
      <w:r w:rsidR="004D5C13" w:rsidRPr="000A4EE6">
        <w:rPr>
          <w:b/>
          <w:bCs/>
          <w:rtl/>
        </w:rPr>
        <w:t>סאמר אבו טאיע נ' מדינת ישראל</w:t>
      </w:r>
      <w:r w:rsidR="004D5C13" w:rsidRPr="000A4EE6">
        <w:rPr>
          <w:rFonts w:hint="cs"/>
          <w:b/>
          <w:bCs/>
          <w:rtl/>
        </w:rPr>
        <w:t xml:space="preserve"> (18.11.19)</w:t>
      </w:r>
      <w:r w:rsidR="004D5C13">
        <w:rPr>
          <w:rFonts w:hint="cs"/>
          <w:rtl/>
        </w:rPr>
        <w:t xml:space="preserve"> - על פי </w:t>
      </w:r>
      <w:r w:rsidR="004D5C13">
        <w:rPr>
          <w:rtl/>
        </w:rPr>
        <w:t>עובדות כתב האישום המתוקן יצר הסוכן קשר עם המבקש, עמו הייתה לו היכרות מוקדמת, וביקש לרכוש ממנו סם מסוג קוקאין. לאחר מכן, נפגשו השניים בלוויית "אחר" שהצטרף למבקש (להלן: האחר). המבקש מסר לסוכן 20 גרם של סם מסוג קוקאין, וקיבל מידיו סך של 10,200 ש"ח תמורתם.</w:t>
      </w:r>
      <w:r w:rsidR="004D5C13">
        <w:rPr>
          <w:rFonts w:hint="cs"/>
          <w:rtl/>
        </w:rPr>
        <w:t xml:space="preserve"> </w:t>
      </w:r>
      <w:r w:rsidR="004D5C13">
        <w:rPr>
          <w:rtl/>
        </w:rPr>
        <w:t xml:space="preserve">בהמשך לכך, </w:t>
      </w:r>
      <w:r w:rsidR="004D5C13">
        <w:rPr>
          <w:rFonts w:hint="cs"/>
          <w:rtl/>
        </w:rPr>
        <w:t>י</w:t>
      </w:r>
      <w:r w:rsidR="004D5C13">
        <w:rPr>
          <w:rtl/>
        </w:rPr>
        <w:t>צר הסוכן קשר בשנית עם המבקש במטרה לרכוש ממנו סם מסוג קוקאין. המבקש והסוכן נפגשו שוב, והמבקש מסר 20 גרם של סם מסוג קוקאין לידי הסוכן בתמורה ל-11,500 ש"ח.</w:t>
      </w:r>
      <w:r w:rsidR="004D5C13">
        <w:rPr>
          <w:rFonts w:hint="cs"/>
          <w:rtl/>
        </w:rPr>
        <w:t xml:space="preserve"> </w:t>
      </w:r>
      <w:r w:rsidR="004D5C13">
        <w:rPr>
          <w:rtl/>
        </w:rPr>
        <w:t>קבע בית משפט השלום כי מתחם הענישה ההולם ביחס לכל אירוע בודד של סחר בקוקאין בכמויות שבין 9 גרם ל-40 גרם, עומד על עונש מאסר בפועל של 12 עד 40 חודשי מאסר בפועל</w:t>
      </w:r>
      <w:r w:rsidR="004D5C13">
        <w:rPr>
          <w:rFonts w:hint="cs"/>
          <w:rtl/>
        </w:rPr>
        <w:t>. נגזר ע</w:t>
      </w:r>
      <w:r w:rsidR="004D5C13">
        <w:rPr>
          <w:rtl/>
        </w:rPr>
        <w:t>ונש של 24 חודשי מאסר בפועל</w:t>
      </w:r>
      <w:r w:rsidR="004D5C13">
        <w:rPr>
          <w:rFonts w:hint="cs"/>
          <w:rtl/>
        </w:rPr>
        <w:t xml:space="preserve"> וענישה נלוות. ה</w:t>
      </w:r>
      <w:r w:rsidR="004D5C13">
        <w:rPr>
          <w:rtl/>
        </w:rPr>
        <w:t xml:space="preserve">ערעור </w:t>
      </w:r>
      <w:r w:rsidR="004D5C13">
        <w:rPr>
          <w:rFonts w:hint="cs"/>
          <w:rtl/>
        </w:rPr>
        <w:t xml:space="preserve">בבית המשפט המחוזי והעליון נדחה. </w:t>
      </w:r>
    </w:p>
    <w:p w14:paraId="55E5E982" w14:textId="77777777" w:rsidR="004D5C13" w:rsidRDefault="004D5C13" w:rsidP="004D5C13">
      <w:pPr>
        <w:pStyle w:val="a9"/>
        <w:spacing w:line="360" w:lineRule="auto"/>
        <w:jc w:val="both"/>
      </w:pPr>
    </w:p>
    <w:p w14:paraId="703C090C" w14:textId="77777777" w:rsidR="004D5C13" w:rsidRDefault="003F0948" w:rsidP="004D5C13">
      <w:pPr>
        <w:pStyle w:val="a9"/>
        <w:spacing w:line="360" w:lineRule="auto"/>
        <w:jc w:val="both"/>
      </w:pPr>
      <w:hyperlink r:id="rId16" w:history="1">
        <w:r w:rsidRPr="003F0948">
          <w:rPr>
            <w:rFonts w:ascii="David" w:hAnsi="David"/>
            <w:color w:val="0000FF"/>
            <w:u w:val="single"/>
            <w:rtl/>
          </w:rPr>
          <w:t>ת"פ (מחוזי חי') 22435-01-15</w:t>
        </w:r>
      </w:hyperlink>
      <w:r>
        <w:rPr>
          <w:rFonts w:ascii="David" w:hAnsi="David"/>
          <w:color w:val="000000"/>
          <w:rtl/>
        </w:rPr>
        <w:t xml:space="preserve"> </w:t>
      </w:r>
      <w:r w:rsidR="004D5C13" w:rsidRPr="000A4EE6">
        <w:rPr>
          <w:rFonts w:ascii="David" w:hAnsi="David"/>
          <w:b/>
          <w:bCs/>
          <w:color w:val="000000"/>
          <w:rtl/>
        </w:rPr>
        <w:t>מדינת ישראל נ' וליד שעיב</w:t>
      </w:r>
      <w:r w:rsidR="004D5C13">
        <w:rPr>
          <w:rFonts w:ascii="David" w:hAnsi="David" w:hint="cs"/>
          <w:rtl/>
        </w:rPr>
        <w:t xml:space="preserve"> - על פי עובדות כתב האישום </w:t>
      </w:r>
      <w:r w:rsidR="004D5C13" w:rsidRPr="00334331">
        <w:rPr>
          <w:rFonts w:ascii="David" w:hAnsi="David"/>
          <w:rtl/>
        </w:rPr>
        <w:t>נפגשו הנאשם והסוכן</w:t>
      </w:r>
      <w:r w:rsidR="004D5C13">
        <w:rPr>
          <w:rFonts w:ascii="David" w:hAnsi="David" w:hint="cs"/>
          <w:rtl/>
        </w:rPr>
        <w:t xml:space="preserve">, </w:t>
      </w:r>
      <w:r w:rsidR="004D5C13" w:rsidRPr="00334331">
        <w:rPr>
          <w:rFonts w:ascii="David" w:hAnsi="David"/>
          <w:rtl/>
        </w:rPr>
        <w:t xml:space="preserve">לצורך ביצוע עסקת הסם. </w:t>
      </w:r>
      <w:r w:rsidR="004D5C13">
        <w:rPr>
          <w:rFonts w:ascii="David" w:hAnsi="David" w:hint="cs"/>
          <w:rtl/>
        </w:rPr>
        <w:t xml:space="preserve">בהמשך </w:t>
      </w:r>
      <w:r w:rsidR="004D5C13" w:rsidRPr="00334331">
        <w:rPr>
          <w:rFonts w:ascii="David" w:hAnsi="David"/>
          <w:rtl/>
        </w:rPr>
        <w:t xml:space="preserve">הסיעה הנאשמת את הנאשם ברכבה, </w:t>
      </w:r>
      <w:r w:rsidR="004D5C13">
        <w:rPr>
          <w:rFonts w:ascii="David" w:hAnsi="David" w:hint="cs"/>
          <w:rtl/>
        </w:rPr>
        <w:t>כ</w:t>
      </w:r>
      <w:r w:rsidR="004D5C13" w:rsidRPr="00334331">
        <w:rPr>
          <w:rFonts w:ascii="David" w:hAnsi="David"/>
          <w:rtl/>
        </w:rPr>
        <w:t>די לאפשר ביצוע עסקת הסם</w:t>
      </w:r>
      <w:r w:rsidR="004D5C13">
        <w:rPr>
          <w:rFonts w:ascii="David" w:hAnsi="David" w:hint="cs"/>
          <w:rtl/>
        </w:rPr>
        <w:t xml:space="preserve">. </w:t>
      </w:r>
      <w:r w:rsidR="004D5C13" w:rsidRPr="00334331">
        <w:rPr>
          <w:rFonts w:ascii="David" w:hAnsi="David"/>
          <w:rtl/>
        </w:rPr>
        <w:t xml:space="preserve">במהלך הנסיעה ברכב, מסר הסוכן לנאשם סך של 4,500 ₪ בתמורה לקבלת הסם. הביא הנאשם סם מסוכן מסוג קוקאין בכמות של 8.38 גרם נטו, ומסר אותו לסוכן ברכב. </w:t>
      </w:r>
      <w:r w:rsidR="004D5C13">
        <w:rPr>
          <w:rFonts w:ascii="David" w:hAnsi="David" w:hint="cs"/>
          <w:rtl/>
        </w:rPr>
        <w:t xml:space="preserve">במועד אחר סחר הנאשם בסם </w:t>
      </w:r>
      <w:r w:rsidR="004D5C13" w:rsidRPr="00334331">
        <w:rPr>
          <w:rFonts w:ascii="David" w:hAnsi="David"/>
          <w:rtl/>
        </w:rPr>
        <w:t>מסוכן מסוג קוקאין בכמות של 18.20 גרם נטו,</w:t>
      </w:r>
      <w:r w:rsidR="004D5C13">
        <w:rPr>
          <w:rFonts w:ascii="David" w:hAnsi="David" w:hint="cs"/>
          <w:rtl/>
        </w:rPr>
        <w:t xml:space="preserve"> בתמורה ל- </w:t>
      </w:r>
      <w:r w:rsidR="004D5C13" w:rsidRPr="00334331">
        <w:rPr>
          <w:rFonts w:ascii="David" w:hAnsi="David"/>
          <w:rtl/>
        </w:rPr>
        <w:t>8200 ₪</w:t>
      </w:r>
      <w:r w:rsidR="004D5C13">
        <w:rPr>
          <w:rFonts w:ascii="David" w:hAnsi="David" w:hint="cs"/>
          <w:rtl/>
        </w:rPr>
        <w:t>. במועד אחר סחר הנאשם ב</w:t>
      </w:r>
      <w:r w:rsidR="004D5C13" w:rsidRPr="00334331">
        <w:rPr>
          <w:rFonts w:ascii="David" w:hAnsi="David"/>
          <w:rtl/>
        </w:rPr>
        <w:t>סם מסוג קוקאין בכמות של 49.45 גרם נטו</w:t>
      </w:r>
      <w:r w:rsidR="004D5C13">
        <w:rPr>
          <w:rFonts w:ascii="David" w:hAnsi="David" w:hint="cs"/>
          <w:rtl/>
        </w:rPr>
        <w:t xml:space="preserve">. והחזיק בסם מסוג קוקאין שלא לצריכה עצמית </w:t>
      </w:r>
      <w:r w:rsidR="004D5C13" w:rsidRPr="00334331">
        <w:rPr>
          <w:rFonts w:ascii="David" w:hAnsi="David"/>
          <w:rtl/>
        </w:rPr>
        <w:t xml:space="preserve">בכמות של 3.5 גרם נטו. </w:t>
      </w:r>
      <w:r w:rsidR="004D5C13" w:rsidRPr="002C6CE8">
        <w:rPr>
          <w:rtl/>
        </w:rPr>
        <w:t>מתחם העונש ההולם את האירוע מושא עסקת הסם הראשונה, המתייחסת לכ-8 גרם קוקאין, נע בין עונש של 12 חודשי מאסר בפועל לבין עונש של 24 חודשי מאסר בפועל; מתחם העונש ההולם את האירוע מושא עסקת הסם השנייה, המתייחסת לכ- 18 גרם קוקאין, נע בין</w:t>
      </w:r>
      <w:r>
        <w:rPr>
          <w:rtl/>
        </w:rPr>
        <w:t xml:space="preserve">  </w:t>
      </w:r>
      <w:r w:rsidR="004D5C13" w:rsidRPr="002C6CE8">
        <w:rPr>
          <w:rtl/>
        </w:rPr>
        <w:t>עונש של 18 חודשי מאסר בפועל לבין עונש של 36 חודשי מאסר בפועל ומתחם העונש ההולם את האירוע מושא עסקת הסם השלישית , המתייחסת לכ- 50 גרם קוקאין, נע בין</w:t>
      </w:r>
      <w:r>
        <w:rPr>
          <w:rtl/>
        </w:rPr>
        <w:t xml:space="preserve">  </w:t>
      </w:r>
      <w:r w:rsidR="004D5C13" w:rsidRPr="002C6CE8">
        <w:rPr>
          <w:rtl/>
        </w:rPr>
        <w:t>עונש של 24</w:t>
      </w:r>
      <w:r>
        <w:rPr>
          <w:rtl/>
        </w:rPr>
        <w:t xml:space="preserve"> </w:t>
      </w:r>
      <w:r w:rsidR="004D5C13" w:rsidRPr="002C6CE8">
        <w:rPr>
          <w:rtl/>
        </w:rPr>
        <w:t>חודשי מאסר בפועל לבין עונש של 48 חודשי מאסר בפועל</w:t>
      </w:r>
      <w:r w:rsidR="004D5C13" w:rsidRPr="002C6CE8">
        <w:t>.</w:t>
      </w:r>
    </w:p>
    <w:p w14:paraId="4A3415FB" w14:textId="77777777" w:rsidR="004D5C13" w:rsidRDefault="004D5C13" w:rsidP="004D5C13">
      <w:pPr>
        <w:spacing w:line="360" w:lineRule="auto"/>
        <w:jc w:val="both"/>
      </w:pPr>
    </w:p>
    <w:p w14:paraId="4B3C2B81" w14:textId="77777777" w:rsidR="004D5C13" w:rsidRDefault="004D5C13" w:rsidP="004D5C13">
      <w:pPr>
        <w:spacing w:line="360" w:lineRule="auto"/>
        <w:ind w:left="720" w:hanging="720"/>
        <w:jc w:val="both"/>
        <w:rPr>
          <w:lang w:eastAsia="he-IL"/>
        </w:rPr>
      </w:pPr>
      <w:r>
        <w:rPr>
          <w:rFonts w:hint="cs"/>
          <w:rtl/>
          <w:lang w:eastAsia="he-IL"/>
        </w:rPr>
        <w:t>9.</w:t>
      </w:r>
      <w:r>
        <w:rPr>
          <w:rtl/>
          <w:lang w:eastAsia="he-IL"/>
        </w:rPr>
        <w:tab/>
        <w:t xml:space="preserve">בהתאם לסעיף </w:t>
      </w:r>
      <w:hyperlink r:id="rId17" w:history="1">
        <w:r w:rsidR="00695388" w:rsidRPr="00695388">
          <w:rPr>
            <w:rStyle w:val="Hyperlink"/>
            <w:color w:val="0000FF"/>
            <w:rtl/>
            <w:lang w:eastAsia="he-IL"/>
          </w:rPr>
          <w:t>40 ג(א)</w:t>
        </w:r>
      </w:hyperlink>
      <w:r>
        <w:rPr>
          <w:rtl/>
          <w:lang w:eastAsia="he-IL"/>
        </w:rPr>
        <w:t xml:space="preserve"> ל</w:t>
      </w:r>
      <w:hyperlink r:id="rId18" w:history="1">
        <w:r w:rsidR="003F0948" w:rsidRPr="003F0948">
          <w:rPr>
            <w:color w:val="0000FF"/>
            <w:u w:val="single"/>
            <w:rtl/>
            <w:lang w:eastAsia="he-IL"/>
          </w:rPr>
          <w:t>חוק העונשין</w:t>
        </w:r>
      </w:hyperlink>
      <w:r>
        <w:rPr>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סבורני כי מתחם העונש ההולם בגין האירוע הוא </w:t>
      </w:r>
      <w:r>
        <w:rPr>
          <w:rFonts w:hint="cs"/>
          <w:rtl/>
          <w:lang w:eastAsia="he-IL"/>
        </w:rPr>
        <w:t>12-24 חודשי מאסר בפועל וענישה נלוות.</w:t>
      </w:r>
    </w:p>
    <w:p w14:paraId="5E5DCE3A" w14:textId="77777777" w:rsidR="004D5C13" w:rsidRDefault="004D5C13" w:rsidP="004D5C13">
      <w:pPr>
        <w:snapToGrid w:val="0"/>
        <w:spacing w:line="360" w:lineRule="auto"/>
        <w:jc w:val="both"/>
        <w:rPr>
          <w:lang w:eastAsia="he-IL"/>
        </w:rPr>
      </w:pPr>
    </w:p>
    <w:p w14:paraId="4FBD6328" w14:textId="77777777" w:rsidR="004D5C13" w:rsidRDefault="004D5C13" w:rsidP="004D5C13">
      <w:pPr>
        <w:spacing w:line="360" w:lineRule="auto"/>
        <w:ind w:left="720" w:hanging="720"/>
        <w:jc w:val="both"/>
        <w:rPr>
          <w:lang w:eastAsia="he-IL"/>
        </w:rPr>
      </w:pPr>
      <w:r>
        <w:rPr>
          <w:rFonts w:hint="cs"/>
          <w:rtl/>
          <w:lang w:eastAsia="he-IL"/>
        </w:rPr>
        <w:t>10.</w:t>
      </w:r>
      <w:r>
        <w:rPr>
          <w:rtl/>
          <w:lang w:eastAsia="he-IL"/>
        </w:rPr>
        <w:tab/>
      </w:r>
      <w:r>
        <w:rPr>
          <w:rFonts w:hint="cs"/>
          <w:rtl/>
          <w:lang w:eastAsia="he-IL"/>
        </w:rPr>
        <w:t>מדובר בנאשם שסחר בסם מסוגים שונים. בניגוד לעמדת הסנגור לפיה סם הקוקאין הוא קשה לעומת ה</w:t>
      </w:r>
      <w:r>
        <w:rPr>
          <w:lang w:eastAsia="he-IL"/>
        </w:rPr>
        <w:t xml:space="preserve">MDMA- </w:t>
      </w:r>
      <w:r>
        <w:rPr>
          <w:rFonts w:hint="cs"/>
          <w:rtl/>
          <w:lang w:eastAsia="he-IL"/>
        </w:rPr>
        <w:t xml:space="preserve"> שאינו מהקשים. אני סבור כי שני הסמים קשים. סם הקוקאין הוא אומנם סם המופק מהצומח, אולם הוא סם ממריץ הגורם לפגיעה משמעותית בבריאות הצורך אותו. וה- </w:t>
      </w:r>
      <w:r>
        <w:rPr>
          <w:rFonts w:hint="cs"/>
          <w:lang w:eastAsia="he-IL"/>
        </w:rPr>
        <w:t>MDMA</w:t>
      </w:r>
      <w:r>
        <w:rPr>
          <w:rFonts w:hint="cs"/>
          <w:rtl/>
          <w:lang w:eastAsia="he-IL"/>
        </w:rPr>
        <w:t xml:space="preserve"> </w:t>
      </w:r>
      <w:r w:rsidRPr="00535266">
        <w:rPr>
          <w:rtl/>
          <w:lang w:eastAsia="he-IL"/>
        </w:rPr>
        <w:t>הוא</w:t>
      </w:r>
      <w:r w:rsidR="003F0948">
        <w:rPr>
          <w:rtl/>
          <w:lang w:eastAsia="he-IL"/>
        </w:rPr>
        <w:t xml:space="preserve"> </w:t>
      </w:r>
      <w:r w:rsidRPr="00535266">
        <w:rPr>
          <w:rtl/>
          <w:lang w:eastAsia="he-IL"/>
        </w:rPr>
        <w:t>סם פסיכואקטיבי</w:t>
      </w:r>
      <w:r w:rsidR="003F0948">
        <w:rPr>
          <w:lang w:eastAsia="he-IL"/>
        </w:rPr>
        <w:t xml:space="preserve"> </w:t>
      </w:r>
      <w:r w:rsidRPr="00535266">
        <w:rPr>
          <w:rtl/>
          <w:lang w:eastAsia="he-IL"/>
        </w:rPr>
        <w:t>סינתטי</w:t>
      </w:r>
      <w:r w:rsidR="003F0948">
        <w:rPr>
          <w:lang w:eastAsia="he-IL"/>
        </w:rPr>
        <w:t xml:space="preserve"> </w:t>
      </w:r>
      <w:r w:rsidRPr="00535266">
        <w:rPr>
          <w:rtl/>
          <w:lang w:eastAsia="he-IL"/>
        </w:rPr>
        <w:t xml:space="preserve">(מלאכותי) </w:t>
      </w:r>
      <w:r>
        <w:rPr>
          <w:rFonts w:hint="cs"/>
          <w:rtl/>
          <w:lang w:eastAsia="he-IL"/>
        </w:rPr>
        <w:t>הגורם לתחושת אופוריה, אך גורם לפגיעה מוחית קשה. בנסיבות אלו לא מצאתי כי ניתן לקבוע שסם אחד קל מהאחר. מדובר בשני סמים קשים. יחד עם זאת, בהתחשב בעובדה כי מדובר בביצוע עסקה אחת. בהתחשב בכך שמדובר במי שאין לו רישום פלילי וזו לו הסתבכות ראשונה. העובדה כי הוא עתיד לראשונה בחייו לרצות עונש מאסר. אני סבור כי יש מקום למקם אותו בחלק התחתון של מתחם הענישה.</w:t>
      </w:r>
    </w:p>
    <w:p w14:paraId="2F91D870" w14:textId="77777777" w:rsidR="004D5C13" w:rsidRDefault="004D5C13" w:rsidP="004D5C13">
      <w:pPr>
        <w:pStyle w:val="a9"/>
        <w:rPr>
          <w:rtl/>
          <w:lang w:eastAsia="he-IL"/>
        </w:rPr>
      </w:pPr>
    </w:p>
    <w:p w14:paraId="0929118A" w14:textId="77777777" w:rsidR="004D5C13" w:rsidRDefault="004D5C13" w:rsidP="004D5C13">
      <w:pPr>
        <w:spacing w:line="360" w:lineRule="auto"/>
        <w:ind w:left="720" w:hanging="720"/>
        <w:jc w:val="both"/>
        <w:rPr>
          <w:lang w:eastAsia="he-IL"/>
        </w:rPr>
      </w:pPr>
      <w:r>
        <w:rPr>
          <w:rFonts w:hint="cs"/>
          <w:rtl/>
          <w:lang w:eastAsia="he-IL"/>
        </w:rPr>
        <w:t>11.</w:t>
      </w:r>
      <w:r>
        <w:rPr>
          <w:rtl/>
          <w:lang w:eastAsia="he-IL"/>
        </w:rPr>
        <w:tab/>
      </w:r>
      <w:r>
        <w:rPr>
          <w:rFonts w:hint="cs"/>
          <w:rtl/>
          <w:lang w:eastAsia="he-IL"/>
        </w:rPr>
        <w:t xml:space="preserve">משקל תיקון כתב האישום על מיקום הנאשם בחלקו התחתון של מתחם הענישה. גם לכך יש לתת את הדעת. בהתחשב שתיקון כתב האישום נעשה על רקע ראייתי. אין ספק כי הנאשם היה מעורב בביצוע עסקת הסם בכלל שלביה כפי שהנאשם הודה לפני. אולם מחיקת האישום הנוסף כנגד הנאשם היא משמעותית כיוון שמדובר בעבירה נוספת של סחר בסם שהמדינה לא ביקשה לתקן, אלא למחוק וזאת בשל קושי ראייתי. משמעות מחיקת האישום הנוסף מלמדת כי בשלב הנוכחי כל שיש לפני בית המשפט היא מעורבות בעברת סחר בסם חד פעמית. דבר שיש בו לחזק את הקביעה כי יש למקם את הנאשם בחלקו התחתון של המתחם. בנוסף, אני מוצא לציין כי לא מצאתי למקם את הנאשם בתחתית המתחם קרי 12 חודשי מאסר וזאת בהתחשב בעובדה כי הסם בו סחר הנאשם היה סם מסוכן וקשה. בנוסף מדובר בשני סוגי סם. דבר המלמד על הנגישות של הנאשם לסמים. </w:t>
      </w:r>
    </w:p>
    <w:p w14:paraId="07928E3D" w14:textId="77777777" w:rsidR="004D5C13" w:rsidRDefault="004D5C13" w:rsidP="004D5C13">
      <w:pPr>
        <w:pStyle w:val="a9"/>
        <w:rPr>
          <w:rtl/>
          <w:lang w:eastAsia="he-IL"/>
        </w:rPr>
      </w:pPr>
    </w:p>
    <w:p w14:paraId="1C6768FE" w14:textId="77777777" w:rsidR="004D5C13" w:rsidRDefault="004D5C13" w:rsidP="004D5C13">
      <w:pPr>
        <w:spacing w:line="360" w:lineRule="auto"/>
        <w:ind w:left="720" w:hanging="720"/>
        <w:jc w:val="both"/>
        <w:rPr>
          <w:lang w:eastAsia="he-IL"/>
        </w:rPr>
      </w:pPr>
      <w:r>
        <w:rPr>
          <w:rFonts w:hint="cs"/>
          <w:rtl/>
          <w:lang w:eastAsia="he-IL"/>
        </w:rPr>
        <w:t>12.</w:t>
      </w:r>
      <w:r>
        <w:rPr>
          <w:rtl/>
          <w:lang w:eastAsia="he-IL"/>
        </w:rPr>
        <w:tab/>
      </w:r>
      <w:r>
        <w:rPr>
          <w:rFonts w:hint="cs"/>
          <w:rtl/>
          <w:lang w:eastAsia="he-IL"/>
        </w:rPr>
        <w:t xml:space="preserve">אני מבקש להוסיף מספר מילים על המחלוקת המצומצמת בין הצדדים לעניין העונש. שני הצדדים מסכימים כי בשל נסיבותיו האישיות של הנאשם יש מקום למקם אותו בחלק התחתון של מתחם הענישה אותו הציעו הצדדים. מתחמי הענישה שהציעו הצדדים הם אכן נמוכים בהתחשב בסוג חומרת העבירה. אולם לא ניתן להתעלם מהעובדה כי הסכמת הצדדים נבעה משיקולים עניינים. זאת בשל הקושי הראייתי שנוצר בתיק. בית המשפט ישב בתיק זה בהליך הגישור ונחשף לקושי הראייתי שנבע מהראיות הדיגיטליות שנאספו בתיק. התביעה בהגינותה הרבה שיקללה את הקושי וביקשה את המתחם כפי שביקשה, המתחם בצדק רב משקף את הסיכון והסיכוי של התיק. הנאשם מצדו מודע גם הוא לראיות הקיימות בתיק והקושי להתמודד עם ראיות אלו מבחינתו ולכן הוא הודה בכתב האישום. בסופו של יום הצדדים טענו בפער קטן של תחתית המתחם המדינה טענה ל </w:t>
      </w:r>
      <w:r>
        <w:rPr>
          <w:rtl/>
          <w:lang w:eastAsia="he-IL"/>
        </w:rPr>
        <w:t>–</w:t>
      </w:r>
      <w:r>
        <w:rPr>
          <w:rFonts w:hint="cs"/>
          <w:rtl/>
          <w:lang w:eastAsia="he-IL"/>
        </w:rPr>
        <w:t xml:space="preserve"> 15 חודשי מאסר וההגנה ל- 10 חודשי מאסר. כיוון שמדובר בהסדר אני סבור כי על הצדדים היה לעשות מאמץ קטן נוסף ולהגיע להסכמה. פער של חמישה חודשי מאסר בין הצדדים מצמצמים עד מאד את שיקול הדעת השיפוטי בענישה וראוי להימנע מכך.</w:t>
      </w:r>
    </w:p>
    <w:p w14:paraId="46339FE8" w14:textId="77777777" w:rsidR="004D5C13" w:rsidRDefault="004D5C13" w:rsidP="004D5C13">
      <w:pPr>
        <w:pStyle w:val="a9"/>
        <w:rPr>
          <w:rtl/>
          <w:lang w:eastAsia="he-IL"/>
        </w:rPr>
      </w:pPr>
    </w:p>
    <w:p w14:paraId="458A53A2" w14:textId="77777777" w:rsidR="004D5C13" w:rsidRDefault="004D5C13" w:rsidP="004D5C13">
      <w:pPr>
        <w:spacing w:line="360" w:lineRule="auto"/>
        <w:ind w:left="720" w:hanging="720"/>
        <w:jc w:val="both"/>
        <w:rPr>
          <w:lang w:eastAsia="he-IL"/>
        </w:rPr>
      </w:pPr>
      <w:r>
        <w:rPr>
          <w:rFonts w:hint="cs"/>
          <w:rtl/>
          <w:lang w:eastAsia="he-IL"/>
        </w:rPr>
        <w:t>13.</w:t>
      </w:r>
      <w:r>
        <w:rPr>
          <w:rtl/>
          <w:lang w:eastAsia="he-IL"/>
        </w:rPr>
        <w:tab/>
        <w:t>בהינתן המתחם האמור, יש לגזור את עונשו של הנאשם תוך שקילת המתחם ותוך התחשבות בנסיבות המשליכות על קביעת העונש המתאים, כאשר בעניינ</w:t>
      </w:r>
      <w:r>
        <w:rPr>
          <w:rFonts w:hint="cs"/>
          <w:rtl/>
          <w:lang w:eastAsia="he-IL"/>
        </w:rPr>
        <w:t>ו</w:t>
      </w:r>
      <w:r>
        <w:rPr>
          <w:rtl/>
          <w:lang w:eastAsia="he-IL"/>
        </w:rPr>
        <w:t xml:space="preserve"> יש ל</w:t>
      </w:r>
      <w:r>
        <w:rPr>
          <w:rFonts w:hint="cs"/>
          <w:rtl/>
          <w:lang w:eastAsia="he-IL"/>
        </w:rPr>
        <w:t>ת</w:t>
      </w:r>
      <w:r>
        <w:rPr>
          <w:rtl/>
          <w:lang w:eastAsia="he-IL"/>
        </w:rPr>
        <w:t>ת משקל להלימה בגזירת העונש לביצוע העבירה ע"י הנאשם; נסיבות ביצוע העבירה וחומרתה;</w:t>
      </w:r>
      <w:r>
        <w:rPr>
          <w:rFonts w:hint="cs"/>
          <w:rtl/>
          <w:lang w:eastAsia="he-IL"/>
        </w:rPr>
        <w:t xml:space="preserve"> סוגי הסמים, כמותם ומחיר עסקת הסם שבוצעה;</w:t>
      </w:r>
      <w:r>
        <w:rPr>
          <w:rtl/>
          <w:lang w:eastAsia="he-IL"/>
        </w:rPr>
        <w:t xml:space="preserve"> מידת הפגיעה בערך המוגן; גילו של הנאשם; </w:t>
      </w:r>
      <w:r>
        <w:rPr>
          <w:rtl/>
        </w:rPr>
        <w:t>הנסיבות עליהן עמדו הצדדים בטיעוניהם</w:t>
      </w:r>
      <w:r>
        <w:rPr>
          <w:rtl/>
          <w:lang w:eastAsia="he-IL"/>
        </w:rPr>
        <w:t xml:space="preserve">; הודאתו המצביעה על נטילת אחריות; </w:t>
      </w:r>
      <w:r>
        <w:rPr>
          <w:rFonts w:hint="cs"/>
          <w:rtl/>
          <w:lang w:eastAsia="he-IL"/>
        </w:rPr>
        <w:t xml:space="preserve">חיסכון בזמן השיפוטי; </w:t>
      </w:r>
      <w:r>
        <w:rPr>
          <w:rtl/>
          <w:lang w:eastAsia="he-IL"/>
        </w:rPr>
        <w:t>היותו נעדר עבר פלילי.</w:t>
      </w:r>
    </w:p>
    <w:p w14:paraId="66B74B36" w14:textId="77777777" w:rsidR="004D5C13" w:rsidRDefault="004D5C13" w:rsidP="004D5C13">
      <w:pPr>
        <w:snapToGrid w:val="0"/>
        <w:spacing w:line="360" w:lineRule="auto"/>
        <w:jc w:val="both"/>
        <w:rPr>
          <w:rtl/>
          <w:lang w:eastAsia="he-IL"/>
        </w:rPr>
      </w:pPr>
    </w:p>
    <w:p w14:paraId="20CD3CE6" w14:textId="77777777" w:rsidR="004D5C13" w:rsidRDefault="004D5C13" w:rsidP="004D5C13">
      <w:pPr>
        <w:snapToGrid w:val="0"/>
        <w:spacing w:line="360" w:lineRule="auto"/>
        <w:jc w:val="both"/>
        <w:rPr>
          <w:lang w:eastAsia="he-IL"/>
        </w:rPr>
      </w:pPr>
    </w:p>
    <w:p w14:paraId="7CA5F4B4" w14:textId="77777777" w:rsidR="004D5C13" w:rsidRDefault="004D5C13" w:rsidP="004D5C13">
      <w:pPr>
        <w:spacing w:line="360" w:lineRule="auto"/>
        <w:ind w:left="720" w:hanging="720"/>
        <w:jc w:val="both"/>
        <w:rPr>
          <w:b/>
          <w:bCs/>
        </w:rPr>
      </w:pPr>
      <w:r>
        <w:rPr>
          <w:rFonts w:hint="cs"/>
          <w:rtl/>
          <w:lang w:eastAsia="he-IL"/>
        </w:rPr>
        <w:t>14.</w:t>
      </w:r>
      <w:r>
        <w:rPr>
          <w:rtl/>
          <w:lang w:eastAsia="he-IL"/>
        </w:rPr>
        <w:tab/>
      </w:r>
      <w:r>
        <w:rPr>
          <w:b/>
          <w:bCs/>
          <w:rtl/>
          <w:lang w:eastAsia="he-IL"/>
        </w:rPr>
        <w:t xml:space="preserve">לאחר ששמעתי את הצדדים בהתחשב בטיעוניהם, </w:t>
      </w:r>
      <w:r>
        <w:rPr>
          <w:b/>
          <w:bCs/>
          <w:rtl/>
        </w:rPr>
        <w:t>על פי כל השיקולים הצריכים לגזר הדין אני קובע כי אלה העונשים שאני משית על הנאשם:</w:t>
      </w:r>
    </w:p>
    <w:p w14:paraId="05A9A397" w14:textId="77777777" w:rsidR="004D5C13" w:rsidRDefault="004D5C13" w:rsidP="004D5C13">
      <w:pPr>
        <w:spacing w:line="360" w:lineRule="auto"/>
        <w:jc w:val="both"/>
        <w:rPr>
          <w:b/>
          <w:bCs/>
          <w:rtl/>
        </w:rPr>
      </w:pPr>
    </w:p>
    <w:p w14:paraId="57F5979E" w14:textId="77777777" w:rsidR="004D5C13" w:rsidRDefault="004D5C13" w:rsidP="004D5C13">
      <w:pPr>
        <w:numPr>
          <w:ilvl w:val="0"/>
          <w:numId w:val="1"/>
        </w:numPr>
        <w:snapToGrid w:val="0"/>
        <w:spacing w:line="360" w:lineRule="auto"/>
        <w:contextualSpacing/>
        <w:jc w:val="both"/>
        <w:rPr>
          <w:sz w:val="28"/>
          <w:rtl/>
          <w:lang w:eastAsia="he-IL"/>
        </w:rPr>
      </w:pPr>
      <w:r>
        <w:rPr>
          <w:sz w:val="28"/>
          <w:rtl/>
          <w:lang w:eastAsia="he-IL"/>
        </w:rPr>
        <w:t xml:space="preserve">אני דן את הנאשם לעונש מאסר למשך </w:t>
      </w:r>
      <w:r w:rsidRPr="007719CC">
        <w:rPr>
          <w:rFonts w:hint="cs"/>
          <w:b/>
          <w:bCs/>
          <w:sz w:val="28"/>
          <w:rtl/>
          <w:lang w:eastAsia="he-IL"/>
        </w:rPr>
        <w:t>13</w:t>
      </w:r>
      <w:r>
        <w:rPr>
          <w:rFonts w:hint="cs"/>
          <w:sz w:val="28"/>
          <w:rtl/>
          <w:lang w:eastAsia="he-IL"/>
        </w:rPr>
        <w:t xml:space="preserve"> </w:t>
      </w:r>
      <w:r>
        <w:rPr>
          <w:sz w:val="28"/>
          <w:rtl/>
          <w:lang w:eastAsia="he-IL"/>
        </w:rPr>
        <w:t>חודשים</w:t>
      </w:r>
      <w:r>
        <w:rPr>
          <w:rFonts w:hint="cs"/>
          <w:sz w:val="28"/>
          <w:rtl/>
          <w:lang w:eastAsia="he-IL"/>
        </w:rPr>
        <w:t xml:space="preserve"> החל מיום מעצרו 17.06.24. </w:t>
      </w:r>
    </w:p>
    <w:p w14:paraId="03C67858" w14:textId="77777777" w:rsidR="004D5C13" w:rsidRDefault="004D5C13" w:rsidP="004D5C13">
      <w:pPr>
        <w:snapToGrid w:val="0"/>
        <w:spacing w:line="360" w:lineRule="auto"/>
        <w:jc w:val="both"/>
        <w:rPr>
          <w:sz w:val="28"/>
          <w:rtl/>
          <w:lang w:eastAsia="he-IL"/>
        </w:rPr>
      </w:pPr>
    </w:p>
    <w:p w14:paraId="700389AE" w14:textId="77777777" w:rsidR="004D5C13" w:rsidRDefault="004D5C13" w:rsidP="004D5C13">
      <w:pPr>
        <w:numPr>
          <w:ilvl w:val="0"/>
          <w:numId w:val="1"/>
        </w:numPr>
        <w:snapToGrid w:val="0"/>
        <w:spacing w:line="360" w:lineRule="auto"/>
        <w:contextualSpacing/>
        <w:jc w:val="both"/>
        <w:rPr>
          <w:sz w:val="28"/>
          <w:lang w:eastAsia="he-IL"/>
        </w:rPr>
      </w:pPr>
      <w:r w:rsidRPr="007719CC">
        <w:rPr>
          <w:sz w:val="28"/>
          <w:rtl/>
          <w:lang w:eastAsia="he-IL"/>
        </w:rPr>
        <w:t xml:space="preserve">אני דן את הנאשם למאסר למשך </w:t>
      </w:r>
      <w:r w:rsidRPr="007719CC">
        <w:rPr>
          <w:rFonts w:hint="cs"/>
          <w:b/>
          <w:bCs/>
          <w:sz w:val="28"/>
          <w:rtl/>
          <w:lang w:eastAsia="he-IL"/>
        </w:rPr>
        <w:t xml:space="preserve">9 </w:t>
      </w:r>
      <w:r w:rsidRPr="007719CC">
        <w:rPr>
          <w:sz w:val="28"/>
          <w:rtl/>
          <w:lang w:eastAsia="he-IL"/>
        </w:rPr>
        <w:t xml:space="preserve">חודשים וזאת על תנאי למשך שלוש שנים. התנאי הוא שלא יעבור </w:t>
      </w:r>
      <w:r>
        <w:rPr>
          <w:rtl/>
          <w:lang w:eastAsia="he-IL"/>
        </w:rPr>
        <w:t xml:space="preserve">על פי הוראות </w:t>
      </w:r>
      <w:hyperlink r:id="rId19" w:history="1">
        <w:r w:rsidR="003F0948" w:rsidRPr="003F0948">
          <w:rPr>
            <w:color w:val="0000FF"/>
            <w:u w:val="single"/>
            <w:rtl/>
            <w:lang w:eastAsia="he-IL"/>
          </w:rPr>
          <w:t>פקודת הסמים המסוכנים</w:t>
        </w:r>
      </w:hyperlink>
      <w:r w:rsidRPr="007719CC">
        <w:rPr>
          <w:sz w:val="28"/>
          <w:rtl/>
          <w:lang w:eastAsia="he-IL"/>
        </w:rPr>
        <w:t xml:space="preserve"> מסוג פשע. </w:t>
      </w:r>
      <w:r>
        <w:rPr>
          <w:rFonts w:hint="cs"/>
          <w:sz w:val="28"/>
          <w:rtl/>
          <w:lang w:eastAsia="he-IL"/>
        </w:rPr>
        <w:t>החל מיום שחרורו ממאסר.</w:t>
      </w:r>
    </w:p>
    <w:p w14:paraId="52C5BD83" w14:textId="77777777" w:rsidR="004D5C13" w:rsidRDefault="004D5C13" w:rsidP="004D5C13">
      <w:pPr>
        <w:pStyle w:val="a9"/>
        <w:rPr>
          <w:sz w:val="28"/>
          <w:rtl/>
          <w:lang w:eastAsia="he-IL"/>
        </w:rPr>
      </w:pPr>
    </w:p>
    <w:p w14:paraId="07043A9D" w14:textId="77777777" w:rsidR="004D5C13" w:rsidRDefault="004D5C13" w:rsidP="004D5C13">
      <w:pPr>
        <w:numPr>
          <w:ilvl w:val="0"/>
          <w:numId w:val="1"/>
        </w:numPr>
        <w:snapToGrid w:val="0"/>
        <w:spacing w:line="360" w:lineRule="auto"/>
        <w:contextualSpacing/>
        <w:jc w:val="both"/>
        <w:rPr>
          <w:sz w:val="28"/>
          <w:rtl/>
          <w:lang w:eastAsia="he-IL"/>
        </w:rPr>
      </w:pPr>
      <w:r>
        <w:rPr>
          <w:sz w:val="28"/>
          <w:rtl/>
          <w:lang w:eastAsia="he-IL"/>
        </w:rPr>
        <w:t xml:space="preserve">אני דן את הנאשם למאסר למשך </w:t>
      </w:r>
      <w:r w:rsidRPr="007719CC">
        <w:rPr>
          <w:rFonts w:hint="cs"/>
          <w:b/>
          <w:bCs/>
          <w:sz w:val="28"/>
          <w:rtl/>
          <w:lang w:eastAsia="he-IL"/>
        </w:rPr>
        <w:t>3</w:t>
      </w:r>
      <w:r>
        <w:rPr>
          <w:b/>
          <w:bCs/>
          <w:sz w:val="28"/>
          <w:rtl/>
          <w:lang w:eastAsia="he-IL"/>
        </w:rPr>
        <w:t xml:space="preserve"> </w:t>
      </w:r>
      <w:r>
        <w:rPr>
          <w:sz w:val="28"/>
          <w:rtl/>
          <w:lang w:eastAsia="he-IL"/>
        </w:rPr>
        <w:t xml:space="preserve">חודשים וזאת על תנאי למשך שלוש שנים. התנאי הוא שלא יעבור </w:t>
      </w:r>
      <w:r>
        <w:rPr>
          <w:rtl/>
          <w:lang w:eastAsia="he-IL"/>
        </w:rPr>
        <w:t xml:space="preserve">על פי הוראות </w:t>
      </w:r>
      <w:hyperlink r:id="rId20" w:history="1">
        <w:r w:rsidR="003F0948" w:rsidRPr="003F0948">
          <w:rPr>
            <w:color w:val="0000FF"/>
            <w:u w:val="single"/>
            <w:rtl/>
            <w:lang w:eastAsia="he-IL"/>
          </w:rPr>
          <w:t>פקודת הסמים המסוכנים</w:t>
        </w:r>
      </w:hyperlink>
      <w:r>
        <w:rPr>
          <w:rtl/>
          <w:lang w:eastAsia="he-IL"/>
        </w:rPr>
        <w:t xml:space="preserve">, </w:t>
      </w:r>
      <w:r>
        <w:rPr>
          <w:sz w:val="28"/>
          <w:rtl/>
          <w:lang w:eastAsia="he-IL"/>
        </w:rPr>
        <w:t xml:space="preserve">מסוג עוון. </w:t>
      </w:r>
      <w:r>
        <w:rPr>
          <w:rFonts w:hint="cs"/>
          <w:sz w:val="28"/>
          <w:rtl/>
          <w:lang w:eastAsia="he-IL"/>
        </w:rPr>
        <w:t>החל מיום שחרורו ממאסר.</w:t>
      </w:r>
    </w:p>
    <w:p w14:paraId="48493B5A" w14:textId="77777777" w:rsidR="004D5C13" w:rsidRDefault="004D5C13" w:rsidP="004D5C13">
      <w:pPr>
        <w:snapToGrid w:val="0"/>
        <w:spacing w:line="360" w:lineRule="auto"/>
        <w:jc w:val="both"/>
        <w:rPr>
          <w:sz w:val="28"/>
          <w:lang w:eastAsia="he-IL"/>
        </w:rPr>
      </w:pPr>
    </w:p>
    <w:p w14:paraId="3C76CCE1" w14:textId="77777777" w:rsidR="004D5C13" w:rsidRDefault="004D5C13" w:rsidP="004D5C13">
      <w:pPr>
        <w:numPr>
          <w:ilvl w:val="0"/>
          <w:numId w:val="1"/>
        </w:numPr>
        <w:snapToGrid w:val="0"/>
        <w:spacing w:line="360" w:lineRule="auto"/>
        <w:contextualSpacing/>
        <w:jc w:val="both"/>
        <w:rPr>
          <w:sz w:val="28"/>
          <w:lang w:eastAsia="he-IL"/>
        </w:rPr>
      </w:pPr>
      <w:r>
        <w:rPr>
          <w:sz w:val="28"/>
          <w:rtl/>
          <w:lang w:eastAsia="he-IL"/>
        </w:rPr>
        <w:t xml:space="preserve">הנאשם ישלם קנס בסך  </w:t>
      </w:r>
      <w:r>
        <w:rPr>
          <w:rFonts w:hint="cs"/>
          <w:sz w:val="28"/>
          <w:rtl/>
          <w:lang w:eastAsia="he-IL"/>
        </w:rPr>
        <w:t>7,000</w:t>
      </w:r>
      <w:r>
        <w:rPr>
          <w:sz w:val="28"/>
          <w:rtl/>
          <w:lang w:eastAsia="he-IL"/>
        </w:rPr>
        <w:t xml:space="preserve"> </w:t>
      </w:r>
      <w:r>
        <w:rPr>
          <w:b/>
          <w:bCs/>
          <w:sz w:val="28"/>
          <w:rtl/>
          <w:lang w:eastAsia="he-IL"/>
        </w:rPr>
        <w:t xml:space="preserve">₪ </w:t>
      </w:r>
      <w:r>
        <w:rPr>
          <w:sz w:val="28"/>
          <w:rtl/>
          <w:lang w:eastAsia="he-IL"/>
        </w:rPr>
        <w:t xml:space="preserve">או </w:t>
      </w:r>
      <w:r>
        <w:rPr>
          <w:rFonts w:hint="cs"/>
          <w:sz w:val="28"/>
          <w:rtl/>
          <w:lang w:eastAsia="he-IL"/>
        </w:rPr>
        <w:t>70</w:t>
      </w:r>
      <w:r>
        <w:rPr>
          <w:sz w:val="28"/>
          <w:rtl/>
          <w:lang w:eastAsia="he-IL"/>
        </w:rPr>
        <w:t xml:space="preserve"> ימי מאסר תמורתם. </w:t>
      </w:r>
    </w:p>
    <w:p w14:paraId="349E9DC5" w14:textId="77777777" w:rsidR="004D5C13" w:rsidRDefault="004D5C13" w:rsidP="004D5C13">
      <w:pPr>
        <w:snapToGrid w:val="0"/>
        <w:spacing w:line="360" w:lineRule="auto"/>
        <w:ind w:left="720"/>
        <w:contextualSpacing/>
        <w:jc w:val="both"/>
        <w:rPr>
          <w:rFonts w:ascii="David" w:hAnsi="David"/>
          <w:sz w:val="28"/>
          <w:rtl/>
          <w:lang w:eastAsia="he-IL"/>
        </w:rPr>
      </w:pPr>
      <w:r>
        <w:rPr>
          <w:sz w:val="28"/>
          <w:rtl/>
          <w:lang w:eastAsia="he-IL"/>
        </w:rPr>
        <w:t xml:space="preserve">הקנס ישולם </w:t>
      </w:r>
      <w:r>
        <w:rPr>
          <w:rFonts w:hint="cs"/>
          <w:sz w:val="28"/>
          <w:rtl/>
          <w:lang w:eastAsia="he-IL"/>
        </w:rPr>
        <w:t xml:space="preserve">בתוך 120 מהיום. </w:t>
      </w:r>
    </w:p>
    <w:p w14:paraId="441753BA" w14:textId="77777777" w:rsidR="004D5C13" w:rsidRDefault="004D5C13" w:rsidP="004D5C13">
      <w:pPr>
        <w:snapToGrid w:val="0"/>
        <w:spacing w:line="360" w:lineRule="auto"/>
        <w:jc w:val="both"/>
        <w:rPr>
          <w:sz w:val="28"/>
          <w:rtl/>
          <w:lang w:eastAsia="he-IL"/>
        </w:rPr>
      </w:pPr>
    </w:p>
    <w:p w14:paraId="4DF3D326" w14:textId="77777777" w:rsidR="004D5C13" w:rsidRDefault="004D5C13" w:rsidP="004D5C13">
      <w:pPr>
        <w:numPr>
          <w:ilvl w:val="0"/>
          <w:numId w:val="1"/>
        </w:numPr>
        <w:snapToGrid w:val="0"/>
        <w:spacing w:line="360" w:lineRule="auto"/>
        <w:contextualSpacing/>
        <w:jc w:val="both"/>
        <w:rPr>
          <w:sz w:val="28"/>
          <w:lang w:eastAsia="he-IL"/>
        </w:rPr>
      </w:pPr>
      <w:r>
        <w:rPr>
          <w:sz w:val="28"/>
          <w:rtl/>
          <w:lang w:eastAsia="he-IL"/>
        </w:rPr>
        <w:t xml:space="preserve">הנני פוסל את הנאשם מלקבל או מלהחזיק רישיון נהיגה לתקופה של </w:t>
      </w:r>
      <w:r>
        <w:rPr>
          <w:rFonts w:hint="cs"/>
          <w:sz w:val="28"/>
          <w:rtl/>
          <w:lang w:eastAsia="he-IL"/>
        </w:rPr>
        <w:t>3</w:t>
      </w:r>
      <w:r>
        <w:rPr>
          <w:sz w:val="28"/>
          <w:rtl/>
          <w:lang w:eastAsia="he-IL"/>
        </w:rPr>
        <w:t xml:space="preserve"> חודשים</w:t>
      </w:r>
      <w:r>
        <w:rPr>
          <w:rFonts w:hint="cs"/>
          <w:sz w:val="28"/>
          <w:rtl/>
          <w:lang w:eastAsia="he-IL"/>
        </w:rPr>
        <w:t>.</w:t>
      </w:r>
      <w:r>
        <w:rPr>
          <w:sz w:val="28"/>
          <w:rtl/>
          <w:lang w:eastAsia="he-IL"/>
        </w:rPr>
        <w:t xml:space="preserve"> הנאשם יפקיד את רישיונ</w:t>
      </w:r>
      <w:r>
        <w:rPr>
          <w:rFonts w:hint="cs"/>
          <w:sz w:val="28"/>
          <w:rtl/>
          <w:lang w:eastAsia="he-IL"/>
        </w:rPr>
        <w:t>ו</w:t>
      </w:r>
      <w:r>
        <w:rPr>
          <w:sz w:val="28"/>
          <w:rtl/>
          <w:lang w:eastAsia="he-IL"/>
        </w:rPr>
        <w:t xml:space="preserve"> </w:t>
      </w:r>
      <w:r>
        <w:rPr>
          <w:rFonts w:hint="cs"/>
          <w:sz w:val="28"/>
          <w:rtl/>
          <w:lang w:eastAsia="he-IL"/>
        </w:rPr>
        <w:t>במזכירות בית המשפט בתוך 10 ימים מיום שחרורו</w:t>
      </w:r>
      <w:r>
        <w:rPr>
          <w:sz w:val="28"/>
          <w:rtl/>
          <w:lang w:eastAsia="he-IL"/>
        </w:rPr>
        <w:t xml:space="preserve">. </w:t>
      </w:r>
    </w:p>
    <w:p w14:paraId="1DF824B6" w14:textId="77777777" w:rsidR="004D5C13" w:rsidRPr="00853D01" w:rsidRDefault="004D5C13" w:rsidP="004D5C13">
      <w:pPr>
        <w:snapToGrid w:val="0"/>
        <w:spacing w:line="360" w:lineRule="auto"/>
        <w:ind w:left="720" w:hanging="720"/>
        <w:jc w:val="both"/>
        <w:rPr>
          <w:sz w:val="28"/>
          <w:lang w:eastAsia="he-IL"/>
        </w:rPr>
      </w:pPr>
    </w:p>
    <w:p w14:paraId="53A50DAB" w14:textId="77777777" w:rsidR="004D5C13" w:rsidRDefault="004D5C13" w:rsidP="004D5C13">
      <w:pPr>
        <w:numPr>
          <w:ilvl w:val="0"/>
          <w:numId w:val="1"/>
        </w:numPr>
        <w:snapToGrid w:val="0"/>
        <w:spacing w:line="360" w:lineRule="auto"/>
        <w:contextualSpacing/>
        <w:jc w:val="both"/>
        <w:rPr>
          <w:sz w:val="28"/>
          <w:lang w:eastAsia="he-IL"/>
        </w:rPr>
      </w:pPr>
      <w:r>
        <w:rPr>
          <w:sz w:val="28"/>
          <w:rtl/>
          <w:lang w:eastAsia="he-IL"/>
        </w:rPr>
        <w:t xml:space="preserve">הנני פוסל את הנאשם מלקבל או מלהחזיק רישיון נהיגה לתקופה של </w:t>
      </w:r>
      <w:r>
        <w:rPr>
          <w:rFonts w:hint="cs"/>
          <w:sz w:val="28"/>
          <w:rtl/>
          <w:lang w:eastAsia="he-IL"/>
        </w:rPr>
        <w:t>6</w:t>
      </w:r>
      <w:r>
        <w:rPr>
          <w:sz w:val="28"/>
          <w:rtl/>
          <w:lang w:eastAsia="he-IL"/>
        </w:rPr>
        <w:t xml:space="preserve"> חודשים וזאת על תנאי למשך  3 שנים. </w:t>
      </w:r>
    </w:p>
    <w:p w14:paraId="7E0A31C2" w14:textId="77777777" w:rsidR="004D5C13" w:rsidRDefault="004D5C13" w:rsidP="004D5C13">
      <w:pPr>
        <w:snapToGrid w:val="0"/>
        <w:spacing w:line="360" w:lineRule="auto"/>
        <w:ind w:left="720" w:hanging="720"/>
        <w:jc w:val="both"/>
        <w:rPr>
          <w:b/>
          <w:bCs/>
          <w:sz w:val="28"/>
          <w:u w:val="single"/>
          <w:rtl/>
          <w:lang w:eastAsia="he-IL"/>
        </w:rPr>
      </w:pPr>
    </w:p>
    <w:p w14:paraId="6823DB1B" w14:textId="77777777" w:rsidR="004D5C13" w:rsidRPr="00AB4C56" w:rsidRDefault="004D5C13" w:rsidP="004D5C13">
      <w:pPr>
        <w:snapToGrid w:val="0"/>
        <w:spacing w:line="360" w:lineRule="auto"/>
        <w:ind w:left="1080" w:hanging="360"/>
        <w:jc w:val="both"/>
        <w:rPr>
          <w:b/>
          <w:bCs/>
          <w:sz w:val="28"/>
          <w:rtl/>
          <w:lang w:eastAsia="he-IL"/>
        </w:rPr>
      </w:pPr>
      <w:r w:rsidRPr="00AB4C56">
        <w:rPr>
          <w:rFonts w:hint="cs"/>
          <w:b/>
          <w:bCs/>
          <w:sz w:val="28"/>
          <w:rtl/>
          <w:lang w:eastAsia="he-IL"/>
        </w:rPr>
        <w:t>ניתן צו למוצגים לשיקול דעת קצין משטרה ו/או התביעה.</w:t>
      </w:r>
    </w:p>
    <w:p w14:paraId="42998FEC" w14:textId="77777777" w:rsidR="004D5C13" w:rsidRPr="00AB4C56" w:rsidRDefault="004D5C13" w:rsidP="004D5C13">
      <w:pPr>
        <w:snapToGrid w:val="0"/>
        <w:spacing w:line="360" w:lineRule="auto"/>
        <w:ind w:left="1080" w:hanging="720"/>
        <w:jc w:val="both"/>
        <w:rPr>
          <w:b/>
          <w:bCs/>
          <w:sz w:val="28"/>
          <w:rtl/>
          <w:lang w:eastAsia="he-IL"/>
        </w:rPr>
      </w:pPr>
    </w:p>
    <w:p w14:paraId="183326E8" w14:textId="77777777" w:rsidR="004D5C13" w:rsidRPr="00AB4C56" w:rsidRDefault="004D5C13" w:rsidP="004D5C13">
      <w:pPr>
        <w:snapToGrid w:val="0"/>
        <w:spacing w:line="360" w:lineRule="auto"/>
        <w:ind w:left="720"/>
        <w:jc w:val="both"/>
        <w:rPr>
          <w:b/>
          <w:bCs/>
          <w:sz w:val="28"/>
          <w:lang w:eastAsia="he-IL"/>
        </w:rPr>
      </w:pPr>
      <w:r w:rsidRPr="00AB4C56">
        <w:rPr>
          <w:b/>
          <w:bCs/>
          <w:sz w:val="28"/>
          <w:rtl/>
          <w:lang w:eastAsia="he-IL"/>
        </w:rPr>
        <w:t>זכות ערעור לבית המשפט העליון, תוך 45 יום מהיום.</w:t>
      </w:r>
    </w:p>
    <w:p w14:paraId="7D684168" w14:textId="77777777" w:rsidR="004D5C13" w:rsidRPr="00B05847" w:rsidRDefault="004D5C13" w:rsidP="004D5C13">
      <w:pPr>
        <w:spacing w:line="360" w:lineRule="auto"/>
        <w:rPr>
          <w:rtl/>
        </w:rPr>
      </w:pPr>
    </w:p>
    <w:p w14:paraId="23A23CA7" w14:textId="77777777" w:rsidR="004D5C13" w:rsidRDefault="003F0948" w:rsidP="004D5C13">
      <w:pPr>
        <w:spacing w:line="360" w:lineRule="auto"/>
        <w:jc w:val="both"/>
        <w:rPr>
          <w:rFonts w:ascii="Arial" w:hAnsi="Arial"/>
          <w:b/>
          <w:bCs/>
          <w:rtl/>
        </w:rPr>
      </w:pPr>
      <w:bookmarkStart w:id="8" w:name="Nitan"/>
      <w:r w:rsidRPr="003F0948">
        <w:rPr>
          <w:rFonts w:ascii="Arial" w:hAnsi="Arial"/>
          <w:b/>
          <w:bCs/>
          <w:color w:val="FFFFFF"/>
          <w:sz w:val="2"/>
          <w:szCs w:val="2"/>
          <w:rtl/>
        </w:rPr>
        <w:t>5129371</w:t>
      </w:r>
      <w:r>
        <w:rPr>
          <w:rFonts w:ascii="Arial" w:hAnsi="Arial"/>
          <w:b/>
          <w:bCs/>
          <w:rtl/>
        </w:rPr>
        <w:t xml:space="preserve">ניתן היום,  ט"ז חשוון תשפ"ה, 17 נובמבר 2024,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D5C13" w14:paraId="3F5584AE" w14:textId="77777777" w:rsidTr="004D5C13">
        <w:trPr>
          <w:trHeight w:val="316"/>
          <w:jc w:val="right"/>
        </w:trPr>
        <w:tc>
          <w:tcPr>
            <w:tcW w:w="3936" w:type="dxa"/>
            <w:tcBorders>
              <w:top w:val="nil"/>
              <w:left w:val="nil"/>
              <w:bottom w:val="single" w:sz="4" w:space="0" w:color="auto"/>
              <w:right w:val="nil"/>
            </w:tcBorders>
            <w:shd w:val="clear" w:color="auto" w:fill="auto"/>
            <w:vAlign w:val="center"/>
          </w:tcPr>
          <w:p w14:paraId="21FD8E8A" w14:textId="77777777" w:rsidR="004D5C13" w:rsidRPr="003F0948" w:rsidRDefault="003F0948" w:rsidP="004D5C13">
            <w:pPr>
              <w:jc w:val="center"/>
              <w:rPr>
                <w:rFonts w:cs="Times New Roman"/>
                <w:color w:val="FFFFFF"/>
                <w:sz w:val="2"/>
                <w:szCs w:val="2"/>
              </w:rPr>
            </w:pPr>
            <w:r w:rsidRPr="003F0948">
              <w:rPr>
                <w:rFonts w:cs="Times New Roman"/>
                <w:color w:val="FFFFFF"/>
                <w:sz w:val="2"/>
                <w:szCs w:val="2"/>
                <w:rtl/>
              </w:rPr>
              <w:t>54678313</w:t>
            </w:r>
          </w:p>
          <w:p w14:paraId="1751FCA2" w14:textId="77777777" w:rsidR="004D5C13" w:rsidRDefault="004D5C13" w:rsidP="004D5C13">
            <w:pPr>
              <w:jc w:val="center"/>
            </w:pPr>
          </w:p>
        </w:tc>
      </w:tr>
      <w:tr w:rsidR="004D5C13" w14:paraId="16C5EF3C" w14:textId="77777777" w:rsidTr="004D5C13">
        <w:trPr>
          <w:trHeight w:val="361"/>
          <w:jc w:val="right"/>
        </w:trPr>
        <w:tc>
          <w:tcPr>
            <w:tcW w:w="3936" w:type="dxa"/>
            <w:tcBorders>
              <w:top w:val="single" w:sz="4" w:space="0" w:color="auto"/>
              <w:left w:val="nil"/>
              <w:bottom w:val="nil"/>
              <w:right w:val="nil"/>
            </w:tcBorders>
            <w:shd w:val="clear" w:color="auto" w:fill="auto"/>
            <w:vAlign w:val="center"/>
          </w:tcPr>
          <w:p w14:paraId="4ECFD908" w14:textId="77777777" w:rsidR="004D5C13" w:rsidRPr="004D5C13" w:rsidRDefault="004D5C13" w:rsidP="004D5C13">
            <w:pPr>
              <w:jc w:val="center"/>
              <w:rPr>
                <w:b/>
                <w:bCs/>
                <w:rtl/>
              </w:rPr>
            </w:pPr>
            <w:r w:rsidRPr="004D5C13">
              <w:rPr>
                <w:b/>
                <w:bCs/>
                <w:rtl/>
              </w:rPr>
              <w:t>שמואל</w:t>
            </w:r>
            <w:r w:rsidRPr="004D5C13">
              <w:rPr>
                <w:rFonts w:hint="cs"/>
                <w:b/>
                <w:bCs/>
                <w:rtl/>
              </w:rPr>
              <w:t xml:space="preserve"> </w:t>
            </w:r>
            <w:r w:rsidRPr="004D5C13">
              <w:rPr>
                <w:b/>
                <w:bCs/>
                <w:rtl/>
              </w:rPr>
              <w:t>מלמד</w:t>
            </w:r>
            <w:r w:rsidRPr="004D5C13">
              <w:rPr>
                <w:rFonts w:hint="cs"/>
                <w:b/>
                <w:bCs/>
                <w:rtl/>
              </w:rPr>
              <w:t xml:space="preserve">, </w:t>
            </w:r>
            <w:r w:rsidRPr="004D5C13">
              <w:rPr>
                <w:b/>
                <w:bCs/>
                <w:rtl/>
              </w:rPr>
              <w:t>שופט</w:t>
            </w:r>
          </w:p>
        </w:tc>
      </w:tr>
    </w:tbl>
    <w:p w14:paraId="427796C8" w14:textId="77777777" w:rsidR="004D5C13" w:rsidRPr="00695388" w:rsidRDefault="00695388" w:rsidP="004D5C13">
      <w:pPr>
        <w:spacing w:line="360" w:lineRule="auto"/>
        <w:jc w:val="right"/>
        <w:rPr>
          <w:rFonts w:ascii="Arial" w:hAnsi="Arial"/>
          <w:b/>
          <w:bCs/>
          <w:color w:val="FFFFFF"/>
          <w:sz w:val="2"/>
          <w:szCs w:val="2"/>
        </w:rPr>
      </w:pPr>
      <w:r w:rsidRPr="00695388">
        <w:rPr>
          <w:rFonts w:ascii="Arial" w:hAnsi="Arial"/>
          <w:b/>
          <w:bCs/>
          <w:color w:val="FFFFFF"/>
          <w:sz w:val="2"/>
          <w:szCs w:val="2"/>
          <w:rtl/>
        </w:rPr>
        <w:t>5129371</w:t>
      </w:r>
    </w:p>
    <w:p w14:paraId="00E0432A" w14:textId="77777777" w:rsidR="003B6E81" w:rsidRPr="00695388" w:rsidRDefault="00695388" w:rsidP="003F0948">
      <w:pPr>
        <w:keepNext/>
        <w:rPr>
          <w:rFonts w:ascii="David" w:hAnsi="David"/>
          <w:color w:val="FFFFFF"/>
          <w:sz w:val="2"/>
          <w:szCs w:val="2"/>
          <w:rtl/>
        </w:rPr>
      </w:pPr>
      <w:r w:rsidRPr="00695388">
        <w:rPr>
          <w:rFonts w:ascii="David" w:hAnsi="David"/>
          <w:color w:val="FFFFFF"/>
          <w:sz w:val="2"/>
          <w:szCs w:val="2"/>
          <w:rtl/>
        </w:rPr>
        <w:t>54678313</w:t>
      </w:r>
    </w:p>
    <w:p w14:paraId="367D40D4" w14:textId="77777777" w:rsidR="003F0948" w:rsidRDefault="003F0948" w:rsidP="003F0948">
      <w:pPr>
        <w:rPr>
          <w:rtl/>
        </w:rPr>
      </w:pPr>
    </w:p>
    <w:p w14:paraId="7E2CE30C" w14:textId="77777777" w:rsidR="003F0948" w:rsidRDefault="003F0948" w:rsidP="003F0948">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B0F4D74" w14:textId="77777777" w:rsidR="00695388" w:rsidRPr="00695388" w:rsidRDefault="00695388" w:rsidP="00695388">
      <w:pPr>
        <w:keepNext/>
        <w:rPr>
          <w:rFonts w:ascii="David" w:hAnsi="David"/>
          <w:color w:val="000000"/>
          <w:sz w:val="22"/>
          <w:szCs w:val="22"/>
          <w:rtl/>
        </w:rPr>
      </w:pPr>
    </w:p>
    <w:p w14:paraId="351B2BFD" w14:textId="77777777" w:rsidR="00695388" w:rsidRPr="00695388" w:rsidRDefault="00695388" w:rsidP="00695388">
      <w:pPr>
        <w:keepNext/>
        <w:rPr>
          <w:rFonts w:ascii="David" w:hAnsi="David"/>
          <w:color w:val="000000"/>
          <w:sz w:val="22"/>
          <w:szCs w:val="22"/>
          <w:rtl/>
        </w:rPr>
      </w:pPr>
      <w:r w:rsidRPr="00695388">
        <w:rPr>
          <w:rFonts w:ascii="David" w:hAnsi="David"/>
          <w:color w:val="000000"/>
          <w:sz w:val="22"/>
          <w:szCs w:val="22"/>
          <w:rtl/>
        </w:rPr>
        <w:t>שמואל מלמד 54678313-/</w:t>
      </w:r>
    </w:p>
    <w:p w14:paraId="6E73625F" w14:textId="77777777" w:rsidR="003F0948" w:rsidRPr="003F0948" w:rsidRDefault="00695388" w:rsidP="00695388">
      <w:pPr>
        <w:rPr>
          <w:color w:val="0000FF"/>
          <w:u w:val="single"/>
        </w:rPr>
      </w:pPr>
      <w:r w:rsidRPr="00695388">
        <w:rPr>
          <w:color w:val="000000"/>
          <w:u w:val="single"/>
          <w:rtl/>
        </w:rPr>
        <w:t>נוסח מסמך זה כפוף לשינויי ניסוח ועריכה</w:t>
      </w:r>
    </w:p>
    <w:sectPr w:rsidR="003F0948" w:rsidRPr="003F0948" w:rsidSect="00695388">
      <w:headerReference w:type="even" r:id="rId22"/>
      <w:headerReference w:type="default" r:id="rId23"/>
      <w:footerReference w:type="even" r:id="rId24"/>
      <w:footerReference w:type="default" r:id="rId25"/>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FA377" w14:textId="77777777" w:rsidR="0048141A" w:rsidRDefault="0048141A" w:rsidP="008D3273">
      <w:r>
        <w:separator/>
      </w:r>
    </w:p>
  </w:endnote>
  <w:endnote w:type="continuationSeparator" w:id="0">
    <w:p w14:paraId="593E728B" w14:textId="77777777" w:rsidR="0048141A" w:rsidRDefault="0048141A" w:rsidP="008D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BC1C" w14:textId="77777777" w:rsidR="00695388" w:rsidRDefault="00695388" w:rsidP="006953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423C49" w14:textId="77777777" w:rsidR="007409EA" w:rsidRPr="00695388" w:rsidRDefault="00695388" w:rsidP="00695388">
    <w:pPr>
      <w:pStyle w:val="a5"/>
      <w:pBdr>
        <w:top w:val="single" w:sz="4" w:space="1" w:color="auto"/>
        <w:between w:val="single" w:sz="4" w:space="0" w:color="auto"/>
      </w:pBdr>
      <w:spacing w:after="60"/>
      <w:jc w:val="center"/>
      <w:rPr>
        <w:rFonts w:ascii="FrankRuehl" w:hAnsi="FrankRuehl" w:cs="FrankRuehl"/>
        <w:color w:val="000000"/>
      </w:rPr>
    </w:pPr>
    <w:r w:rsidRPr="006953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DD2AF" w14:textId="77777777" w:rsidR="00695388" w:rsidRDefault="00695388" w:rsidP="006953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7994">
      <w:rPr>
        <w:rFonts w:ascii="FrankRuehl" w:hAnsi="FrankRuehl" w:cs="FrankRuehl"/>
        <w:noProof/>
        <w:rtl/>
      </w:rPr>
      <w:t>1</w:t>
    </w:r>
    <w:r>
      <w:rPr>
        <w:rFonts w:ascii="FrankRuehl" w:hAnsi="FrankRuehl" w:cs="FrankRuehl"/>
        <w:rtl/>
      </w:rPr>
      <w:fldChar w:fldCharType="end"/>
    </w:r>
  </w:p>
  <w:p w14:paraId="2D6860A3" w14:textId="77777777" w:rsidR="007409EA" w:rsidRPr="00695388" w:rsidRDefault="00695388" w:rsidP="00695388">
    <w:pPr>
      <w:pStyle w:val="a5"/>
      <w:pBdr>
        <w:top w:val="single" w:sz="4" w:space="1" w:color="auto"/>
        <w:between w:val="single" w:sz="4" w:space="0" w:color="auto"/>
      </w:pBdr>
      <w:spacing w:after="60"/>
      <w:jc w:val="center"/>
      <w:rPr>
        <w:rFonts w:ascii="FrankRuehl" w:hAnsi="FrankRuehl" w:cs="FrankRuehl"/>
        <w:color w:val="000000"/>
      </w:rPr>
    </w:pPr>
    <w:r w:rsidRPr="00695388">
      <w:rPr>
        <w:rFonts w:ascii="FrankRuehl" w:hAnsi="FrankRuehl" w:cs="FrankRuehl"/>
        <w:color w:val="000000"/>
      </w:rPr>
      <w:pict w14:anchorId="46615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4C440" w14:textId="77777777" w:rsidR="0048141A" w:rsidRDefault="0048141A" w:rsidP="008D3273">
      <w:r>
        <w:separator/>
      </w:r>
    </w:p>
  </w:footnote>
  <w:footnote w:type="continuationSeparator" w:id="0">
    <w:p w14:paraId="3E65627E" w14:textId="77777777" w:rsidR="0048141A" w:rsidRDefault="0048141A" w:rsidP="008D3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57743" w14:textId="77777777" w:rsidR="003F0948" w:rsidRPr="00695388" w:rsidRDefault="00695388" w:rsidP="006953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51649-06-24</w:t>
    </w:r>
    <w:r>
      <w:rPr>
        <w:rFonts w:ascii="David" w:hAnsi="David"/>
        <w:color w:val="000000"/>
        <w:sz w:val="22"/>
        <w:szCs w:val="22"/>
        <w:rtl/>
      </w:rPr>
      <w:tab/>
      <w:t xml:space="preserve"> מדינת ישראל נ' סאלח געזוז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AD510" w14:textId="77777777" w:rsidR="003F0948" w:rsidRPr="00695388" w:rsidRDefault="00695388" w:rsidP="006953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51649-06-24</w:t>
    </w:r>
    <w:r>
      <w:rPr>
        <w:rFonts w:ascii="David" w:hAnsi="David"/>
        <w:color w:val="000000"/>
        <w:sz w:val="22"/>
        <w:szCs w:val="22"/>
        <w:rtl/>
      </w:rPr>
      <w:tab/>
      <w:t xml:space="preserve"> מדינת ישראל נ' סאלח געזוז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365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5C13"/>
    <w:rsid w:val="001B5A3B"/>
    <w:rsid w:val="003B6E81"/>
    <w:rsid w:val="003F0948"/>
    <w:rsid w:val="0048141A"/>
    <w:rsid w:val="004D5C13"/>
    <w:rsid w:val="00695388"/>
    <w:rsid w:val="007409EA"/>
    <w:rsid w:val="007A38E0"/>
    <w:rsid w:val="008D3273"/>
    <w:rsid w:val="009B79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CD851E"/>
  <w15:chartTrackingRefBased/>
  <w15:docId w15:val="{3F009483-4E8F-4B61-8A0B-77C8D4BE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5C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5C13"/>
    <w:pPr>
      <w:tabs>
        <w:tab w:val="center" w:pos="4153"/>
        <w:tab w:val="right" w:pos="8306"/>
      </w:tabs>
    </w:pPr>
  </w:style>
  <w:style w:type="character" w:customStyle="1" w:styleId="a4">
    <w:name w:val="כותרת עליונה תו"/>
    <w:link w:val="a3"/>
    <w:rsid w:val="004D5C13"/>
    <w:rPr>
      <w:rFonts w:ascii="Times New Roman" w:eastAsia="Times New Roman" w:hAnsi="Times New Roman" w:cs="David"/>
      <w:sz w:val="24"/>
      <w:szCs w:val="24"/>
    </w:rPr>
  </w:style>
  <w:style w:type="paragraph" w:styleId="a5">
    <w:name w:val="footer"/>
    <w:basedOn w:val="a"/>
    <w:link w:val="a6"/>
    <w:rsid w:val="004D5C13"/>
    <w:pPr>
      <w:tabs>
        <w:tab w:val="center" w:pos="4153"/>
        <w:tab w:val="right" w:pos="8306"/>
      </w:tabs>
    </w:pPr>
  </w:style>
  <w:style w:type="character" w:customStyle="1" w:styleId="a6">
    <w:name w:val="כותרת תחתונה תו"/>
    <w:link w:val="a5"/>
    <w:rsid w:val="004D5C13"/>
    <w:rPr>
      <w:rFonts w:ascii="Times New Roman" w:eastAsia="Times New Roman" w:hAnsi="Times New Roman" w:cs="David"/>
      <w:sz w:val="24"/>
      <w:szCs w:val="24"/>
    </w:rPr>
  </w:style>
  <w:style w:type="table" w:styleId="a7">
    <w:name w:val="Table Grid"/>
    <w:basedOn w:val="a1"/>
    <w:rsid w:val="004D5C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5C13"/>
  </w:style>
  <w:style w:type="paragraph" w:customStyle="1" w:styleId="12">
    <w:name w:val="רגיל + ‏12 נק'"/>
    <w:aliases w:val="מיושר לשני הצדדים,מרווח בין שורות:  שורה וחצי"/>
    <w:basedOn w:val="a"/>
    <w:rsid w:val="004D5C13"/>
    <w:rPr>
      <w:b/>
      <w:bCs/>
      <w:u w:val="single"/>
    </w:rPr>
  </w:style>
  <w:style w:type="paragraph" w:styleId="a9">
    <w:name w:val="List Paragraph"/>
    <w:basedOn w:val="a"/>
    <w:qFormat/>
    <w:rsid w:val="004D5C13"/>
    <w:pPr>
      <w:ind w:left="720"/>
      <w:contextualSpacing/>
    </w:pPr>
  </w:style>
  <w:style w:type="character" w:customStyle="1" w:styleId="TimesNewRomanTimesNewRoman">
    <w:name w:val="סגנון (לטיני) Times New Roman (עברית ושפות אחרות) Times New Roman..."/>
    <w:rsid w:val="004D5C13"/>
    <w:rPr>
      <w:rFonts w:ascii="Times New Roman" w:hAnsi="Times New Roman" w:cs="David" w:hint="default"/>
      <w:b/>
      <w:bCs/>
      <w:sz w:val="26"/>
      <w:szCs w:val="26"/>
    </w:rPr>
  </w:style>
  <w:style w:type="character" w:styleId="Hyperlink">
    <w:name w:val="Hyperlink"/>
    <w:rsid w:val="003F09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9420098"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40c.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880910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6122083" TargetMode="External"/><Relationship Id="rId23" Type="http://schemas.openxmlformats.org/officeDocument/2006/relationships/header" Target="header2.xml"/><Relationship Id="rId10" Type="http://schemas.openxmlformats.org/officeDocument/2006/relationships/hyperlink" Target="http://www.nevo.co.il/law/70301/40c.a"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5179718"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2005</Words>
  <Characters>10028</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12009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3145853</vt:i4>
      </vt:variant>
      <vt:variant>
        <vt:i4>27</vt:i4>
      </vt:variant>
      <vt:variant>
        <vt:i4>0</vt:i4>
      </vt:variant>
      <vt:variant>
        <vt:i4>5</vt:i4>
      </vt:variant>
      <vt:variant>
        <vt:lpwstr>http://www.nevo.co.il/case/18809103</vt:lpwstr>
      </vt:variant>
      <vt:variant>
        <vt:lpwstr/>
      </vt:variant>
      <vt:variant>
        <vt:i4>3735664</vt:i4>
      </vt:variant>
      <vt:variant>
        <vt:i4>24</vt:i4>
      </vt:variant>
      <vt:variant>
        <vt:i4>0</vt:i4>
      </vt:variant>
      <vt:variant>
        <vt:i4>5</vt:i4>
      </vt:variant>
      <vt:variant>
        <vt:lpwstr>http://www.nevo.co.il/case/26122083</vt:lpwstr>
      </vt:variant>
      <vt:variant>
        <vt:lpwstr/>
      </vt:variant>
      <vt:variant>
        <vt:i4>3866737</vt:i4>
      </vt:variant>
      <vt:variant>
        <vt:i4>21</vt:i4>
      </vt:variant>
      <vt:variant>
        <vt:i4>0</vt:i4>
      </vt:variant>
      <vt:variant>
        <vt:i4>5</vt:i4>
      </vt:variant>
      <vt:variant>
        <vt:lpwstr>http://www.nevo.co.il/case/25179718</vt:lpwstr>
      </vt:variant>
      <vt:variant>
        <vt:lpwstr/>
      </vt:variant>
      <vt:variant>
        <vt:i4>4128895</vt:i4>
      </vt:variant>
      <vt:variant>
        <vt:i4>18</vt:i4>
      </vt:variant>
      <vt:variant>
        <vt:i4>0</vt:i4>
      </vt:variant>
      <vt:variant>
        <vt:i4>5</vt:i4>
      </vt:variant>
      <vt:variant>
        <vt:lpwstr>http://www.nevo.co.il/case/29420098</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51649</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סאלח געזוז </vt:lpwstr>
  </property>
  <property fmtid="{D5CDD505-2E9C-101B-9397-08002B2CF9AE}" pid="10" name="LAWYER">
    <vt:lpwstr>לילך כץ;שאדי כבהא</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20241117</vt:lpwstr>
  </property>
  <property fmtid="{D5CDD505-2E9C-101B-9397-08002B2CF9AE}" pid="14" name="TYPE_N_DATE">
    <vt:lpwstr>39020241117</vt:lpwstr>
  </property>
  <property fmtid="{D5CDD505-2E9C-101B-9397-08002B2CF9AE}" pid="15" name="CASESLISTTMP1">
    <vt:lpwstr>29420098;25179718;26122083;18809103</vt:lpwstr>
  </property>
  <property fmtid="{D5CDD505-2E9C-101B-9397-08002B2CF9AE}" pid="16" name="WORDNUMPAGES">
    <vt:lpwstr>1</vt:lpwstr>
  </property>
  <property fmtid="{D5CDD505-2E9C-101B-9397-08002B2CF9AE}" pid="17" name="TYPE_ABS_DATE">
    <vt:lpwstr>390020241117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y fmtid="{D5CDD505-2E9C-101B-9397-08002B2CF9AE}" pid="37" name="LAWLISTTMP2">
    <vt:lpwstr>70301/040c.a</vt:lpwstr>
  </property>
</Properties>
</file>