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505CF9" w:rsidRPr="005F7964" w14:paraId="600D2EF7" w14:textId="77777777" w:rsidTr="00DA5095">
        <w:trPr>
          <w:trHeight w:hRule="exact" w:val="418"/>
          <w:jc w:val="center"/>
        </w:trPr>
        <w:tc>
          <w:tcPr>
            <w:tcW w:w="8861" w:type="dxa"/>
            <w:gridSpan w:val="2"/>
          </w:tcPr>
          <w:p w14:paraId="5674F5F9" w14:textId="77777777" w:rsidR="00505CF9" w:rsidRPr="005F7964" w:rsidRDefault="00505CF9" w:rsidP="00DA5095">
            <w:pPr>
              <w:pStyle w:val="a3"/>
              <w:jc w:val="center"/>
              <w:rPr>
                <w:rFonts w:ascii="Tahoma" w:hAnsi="Tahoma"/>
                <w:color w:val="000080"/>
                <w:sz w:val="32"/>
                <w:szCs w:val="32"/>
                <w:rtl/>
              </w:rPr>
            </w:pPr>
            <w:r w:rsidRPr="005F7964">
              <w:rPr>
                <w:rFonts w:ascii="Tahoma" w:hAnsi="Tahoma"/>
                <w:b/>
                <w:bCs/>
                <w:color w:val="000080"/>
                <w:sz w:val="32"/>
                <w:szCs w:val="32"/>
                <w:rtl/>
              </w:rPr>
              <w:t>בית המשפט המחוזי בבאר שבע</w:t>
            </w:r>
          </w:p>
        </w:tc>
      </w:tr>
      <w:tr w:rsidR="00505CF9" w:rsidRPr="005F7964" w14:paraId="4BCF3491" w14:textId="77777777" w:rsidTr="00DA5095">
        <w:trPr>
          <w:trHeight w:val="337"/>
          <w:jc w:val="center"/>
        </w:trPr>
        <w:tc>
          <w:tcPr>
            <w:tcW w:w="5131" w:type="dxa"/>
          </w:tcPr>
          <w:p w14:paraId="74CFADF1" w14:textId="77777777" w:rsidR="00505CF9" w:rsidRPr="005F7964" w:rsidRDefault="00505CF9" w:rsidP="00DA5095">
            <w:pPr>
              <w:rPr>
                <w:sz w:val="26"/>
                <w:szCs w:val="26"/>
                <w:rtl/>
              </w:rPr>
            </w:pPr>
            <w:r w:rsidRPr="005F7964">
              <w:rPr>
                <w:sz w:val="26"/>
                <w:szCs w:val="26"/>
                <w:rtl/>
              </w:rPr>
              <w:t>ת"פ</w:t>
            </w:r>
            <w:r w:rsidRPr="005F7964">
              <w:rPr>
                <w:rFonts w:hint="cs"/>
                <w:sz w:val="26"/>
                <w:szCs w:val="26"/>
                <w:rtl/>
              </w:rPr>
              <w:t xml:space="preserve"> </w:t>
            </w:r>
            <w:r w:rsidRPr="005F7964">
              <w:rPr>
                <w:sz w:val="26"/>
                <w:szCs w:val="26"/>
                <w:rtl/>
              </w:rPr>
              <w:t>75514-07-24</w:t>
            </w:r>
            <w:r w:rsidRPr="005F7964">
              <w:rPr>
                <w:rFonts w:hint="cs"/>
                <w:sz w:val="26"/>
                <w:szCs w:val="26"/>
                <w:rtl/>
              </w:rPr>
              <w:t xml:space="preserve"> </w:t>
            </w:r>
            <w:r w:rsidRPr="005F7964">
              <w:rPr>
                <w:sz w:val="26"/>
                <w:szCs w:val="26"/>
                <w:rtl/>
              </w:rPr>
              <w:t>מדינת ישראל נ' בקר(עציר)</w:t>
            </w:r>
          </w:p>
          <w:p w14:paraId="5E50EC30" w14:textId="77777777" w:rsidR="00505CF9" w:rsidRPr="005F7964" w:rsidRDefault="00505CF9" w:rsidP="00DA5095">
            <w:pPr>
              <w:pStyle w:val="a3"/>
              <w:rPr>
                <w:rFonts w:cs="FrankRuehl"/>
                <w:sz w:val="28"/>
                <w:szCs w:val="28"/>
                <w:rtl/>
              </w:rPr>
            </w:pPr>
          </w:p>
        </w:tc>
        <w:tc>
          <w:tcPr>
            <w:tcW w:w="3730" w:type="dxa"/>
          </w:tcPr>
          <w:p w14:paraId="6181CE2B" w14:textId="77777777" w:rsidR="00505CF9" w:rsidRPr="005F7964" w:rsidRDefault="00505CF9" w:rsidP="00DA5095">
            <w:pPr>
              <w:pStyle w:val="a3"/>
              <w:jc w:val="right"/>
              <w:rPr>
                <w:rFonts w:cs="FrankRuehl"/>
                <w:sz w:val="28"/>
                <w:szCs w:val="28"/>
                <w:rtl/>
              </w:rPr>
            </w:pPr>
            <w:r w:rsidRPr="005F7964">
              <w:rPr>
                <w:rFonts w:cs="FrankRuehl" w:hint="cs"/>
                <w:sz w:val="28"/>
                <w:szCs w:val="28"/>
                <w:rtl/>
              </w:rPr>
              <w:t>20.2.25</w:t>
            </w:r>
          </w:p>
        </w:tc>
      </w:tr>
    </w:tbl>
    <w:p w14:paraId="67207C8F" w14:textId="77777777" w:rsidR="00505CF9" w:rsidRPr="005F7964" w:rsidRDefault="00505CF9" w:rsidP="00505CF9">
      <w:pPr>
        <w:pStyle w:val="a3"/>
        <w:rPr>
          <w:rtl/>
        </w:rPr>
      </w:pPr>
      <w:r w:rsidRPr="005F7964">
        <w:rPr>
          <w:rFonts w:hint="cs"/>
          <w:rtl/>
        </w:rPr>
        <w:t xml:space="preserve"> </w:t>
      </w:r>
    </w:p>
    <w:p w14:paraId="64576AA4" w14:textId="77777777" w:rsidR="00505CF9" w:rsidRPr="005F7964" w:rsidRDefault="00505CF9" w:rsidP="00505CF9">
      <w:pPr>
        <w:jc w:val="both"/>
        <w:rPr>
          <w:rtl/>
        </w:rPr>
      </w:pPr>
    </w:p>
    <w:p w14:paraId="08A2F69D" w14:textId="77777777" w:rsidR="00505CF9" w:rsidRPr="005F7964" w:rsidRDefault="00505CF9" w:rsidP="00505CF9">
      <w:pPr>
        <w:jc w:val="both"/>
        <w:rPr>
          <w:rtl/>
        </w:rPr>
      </w:pPr>
    </w:p>
    <w:tbl>
      <w:tblPr>
        <w:bidiVisual/>
        <w:tblW w:w="8688" w:type="dxa"/>
        <w:jc w:val="center"/>
        <w:tblLook w:val="01E0" w:firstRow="1" w:lastRow="1" w:firstColumn="1" w:lastColumn="1" w:noHBand="0" w:noVBand="0"/>
      </w:tblPr>
      <w:tblGrid>
        <w:gridCol w:w="2029"/>
        <w:gridCol w:w="3420"/>
        <w:gridCol w:w="3239"/>
      </w:tblGrid>
      <w:tr w:rsidR="00505CF9" w:rsidRPr="005F7964" w14:paraId="6236943B" w14:textId="77777777" w:rsidTr="00505CF9">
        <w:trPr>
          <w:trHeight w:val="295"/>
          <w:jc w:val="center"/>
        </w:trPr>
        <w:tc>
          <w:tcPr>
            <w:tcW w:w="8688" w:type="dxa"/>
            <w:gridSpan w:val="3"/>
            <w:shd w:val="clear" w:color="auto" w:fill="auto"/>
          </w:tcPr>
          <w:p w14:paraId="6EDBA120" w14:textId="77777777" w:rsidR="00505CF9" w:rsidRPr="005F7964" w:rsidRDefault="00505CF9" w:rsidP="00505CF9">
            <w:pPr>
              <w:jc w:val="both"/>
              <w:rPr>
                <w:rFonts w:ascii="Arial" w:hAnsi="Arial"/>
                <w:sz w:val="26"/>
                <w:szCs w:val="26"/>
                <w:rtl/>
              </w:rPr>
            </w:pPr>
            <w:r w:rsidRPr="005F7964">
              <w:rPr>
                <w:rFonts w:ascii="Arial" w:hAnsi="Arial"/>
                <w:b/>
                <w:bCs/>
                <w:sz w:val="26"/>
                <w:szCs w:val="26"/>
                <w:rtl/>
              </w:rPr>
              <w:t>לפני כב' הנשיא, השופט בני שגיא</w:t>
            </w:r>
          </w:p>
          <w:p w14:paraId="7AC13C63" w14:textId="77777777" w:rsidR="00505CF9" w:rsidRPr="005F7964" w:rsidRDefault="00505CF9" w:rsidP="00505CF9">
            <w:pPr>
              <w:jc w:val="both"/>
              <w:rPr>
                <w:rFonts w:ascii="Arial" w:hAnsi="Arial"/>
                <w:sz w:val="26"/>
                <w:szCs w:val="26"/>
                <w:rtl/>
              </w:rPr>
            </w:pPr>
          </w:p>
        </w:tc>
      </w:tr>
      <w:tr w:rsidR="00505CF9" w:rsidRPr="005F7964" w14:paraId="5F7DD672" w14:textId="77777777" w:rsidTr="00505CF9">
        <w:trPr>
          <w:trHeight w:val="355"/>
          <w:jc w:val="center"/>
        </w:trPr>
        <w:tc>
          <w:tcPr>
            <w:tcW w:w="2029" w:type="dxa"/>
            <w:shd w:val="clear" w:color="auto" w:fill="auto"/>
          </w:tcPr>
          <w:p w14:paraId="62E1756C" w14:textId="77777777" w:rsidR="00505CF9" w:rsidRPr="005F7964" w:rsidRDefault="00505CF9" w:rsidP="00505CF9">
            <w:pPr>
              <w:jc w:val="both"/>
              <w:rPr>
                <w:rFonts w:ascii="Arial" w:hAnsi="Arial"/>
                <w:b/>
                <w:bCs/>
                <w:sz w:val="26"/>
                <w:szCs w:val="26"/>
              </w:rPr>
            </w:pPr>
            <w:bookmarkStart w:id="0" w:name="FirstAppellant"/>
            <w:bookmarkStart w:id="1" w:name="FirstLawyer"/>
            <w:bookmarkStart w:id="2" w:name="LastJudge"/>
            <w:bookmarkEnd w:id="2"/>
            <w:r w:rsidRPr="005F7964">
              <w:rPr>
                <w:rFonts w:ascii="Arial" w:hAnsi="Arial"/>
                <w:b/>
                <w:bCs/>
                <w:sz w:val="26"/>
                <w:szCs w:val="26"/>
                <w:rtl/>
              </w:rPr>
              <w:t>המאשימה</w:t>
            </w:r>
            <w:r w:rsidRPr="005F7964">
              <w:rPr>
                <w:b/>
                <w:bCs/>
                <w:sz w:val="26"/>
                <w:szCs w:val="26"/>
                <w:rtl/>
              </w:rPr>
              <w:t>:</w:t>
            </w:r>
          </w:p>
        </w:tc>
        <w:tc>
          <w:tcPr>
            <w:tcW w:w="6659" w:type="dxa"/>
            <w:gridSpan w:val="2"/>
            <w:shd w:val="clear" w:color="auto" w:fill="auto"/>
          </w:tcPr>
          <w:p w14:paraId="7E628FD7" w14:textId="77777777" w:rsidR="00505CF9" w:rsidRPr="005F7964" w:rsidRDefault="00505CF9" w:rsidP="00505CF9">
            <w:pPr>
              <w:jc w:val="both"/>
              <w:rPr>
                <w:b/>
                <w:bCs/>
                <w:sz w:val="26"/>
                <w:szCs w:val="26"/>
              </w:rPr>
            </w:pPr>
            <w:r w:rsidRPr="005F7964">
              <w:rPr>
                <w:rFonts w:ascii="Arial" w:hAnsi="Arial"/>
                <w:b/>
                <w:bCs/>
                <w:sz w:val="26"/>
                <w:szCs w:val="26"/>
                <w:rtl/>
              </w:rPr>
              <w:t>מדינת ישראל</w:t>
            </w:r>
          </w:p>
          <w:p w14:paraId="2635229E" w14:textId="77777777" w:rsidR="00505CF9" w:rsidRPr="005F7964" w:rsidRDefault="00505CF9" w:rsidP="00505CF9">
            <w:pPr>
              <w:jc w:val="both"/>
              <w:rPr>
                <w:rFonts w:ascii="Arial" w:hAnsi="Arial"/>
                <w:sz w:val="26"/>
                <w:szCs w:val="26"/>
                <w:rtl/>
              </w:rPr>
            </w:pPr>
            <w:r w:rsidRPr="005F7964">
              <w:rPr>
                <w:sz w:val="26"/>
                <w:szCs w:val="26"/>
                <w:rtl/>
              </w:rPr>
              <w:t>ע"י ב"כ עו"ד</w:t>
            </w:r>
            <w:r w:rsidRPr="005F7964">
              <w:rPr>
                <w:rFonts w:ascii="Arial" w:hAnsi="Arial"/>
                <w:sz w:val="26"/>
                <w:szCs w:val="26"/>
                <w:rtl/>
              </w:rPr>
              <w:t xml:space="preserve"> גאל נבון</w:t>
            </w:r>
          </w:p>
        </w:tc>
      </w:tr>
      <w:bookmarkEnd w:id="0"/>
      <w:bookmarkEnd w:id="1"/>
      <w:tr w:rsidR="00505CF9" w:rsidRPr="005F7964" w14:paraId="7F62774E" w14:textId="77777777" w:rsidTr="00505CF9">
        <w:trPr>
          <w:trHeight w:val="355"/>
          <w:jc w:val="center"/>
        </w:trPr>
        <w:tc>
          <w:tcPr>
            <w:tcW w:w="2029" w:type="dxa"/>
            <w:shd w:val="clear" w:color="auto" w:fill="auto"/>
          </w:tcPr>
          <w:p w14:paraId="7998C574" w14:textId="77777777" w:rsidR="00505CF9" w:rsidRPr="005F7964" w:rsidRDefault="00505CF9" w:rsidP="00505CF9">
            <w:pPr>
              <w:jc w:val="both"/>
              <w:rPr>
                <w:rFonts w:ascii="Arial" w:hAnsi="Arial"/>
                <w:sz w:val="26"/>
                <w:szCs w:val="26"/>
              </w:rPr>
            </w:pPr>
          </w:p>
        </w:tc>
        <w:tc>
          <w:tcPr>
            <w:tcW w:w="3420" w:type="dxa"/>
            <w:shd w:val="clear" w:color="auto" w:fill="auto"/>
          </w:tcPr>
          <w:p w14:paraId="74DBDE83" w14:textId="77777777" w:rsidR="00505CF9" w:rsidRPr="005F7964" w:rsidRDefault="00505CF9" w:rsidP="00505CF9">
            <w:pPr>
              <w:jc w:val="both"/>
              <w:rPr>
                <w:rFonts w:ascii="Arial" w:hAnsi="Arial"/>
                <w:sz w:val="26"/>
                <w:szCs w:val="26"/>
                <w:rtl/>
              </w:rPr>
            </w:pPr>
          </w:p>
        </w:tc>
        <w:tc>
          <w:tcPr>
            <w:tcW w:w="3239" w:type="dxa"/>
            <w:shd w:val="clear" w:color="auto" w:fill="auto"/>
          </w:tcPr>
          <w:p w14:paraId="31F42CAB" w14:textId="77777777" w:rsidR="00505CF9" w:rsidRPr="005F7964" w:rsidRDefault="00505CF9" w:rsidP="00505CF9">
            <w:pPr>
              <w:jc w:val="both"/>
              <w:rPr>
                <w:rFonts w:ascii="Arial" w:hAnsi="Arial"/>
                <w:sz w:val="26"/>
                <w:szCs w:val="26"/>
                <w:rtl/>
              </w:rPr>
            </w:pPr>
          </w:p>
        </w:tc>
      </w:tr>
      <w:tr w:rsidR="00505CF9" w:rsidRPr="005F7964" w14:paraId="7E3E9B0B" w14:textId="77777777" w:rsidTr="00505CF9">
        <w:trPr>
          <w:trHeight w:val="355"/>
          <w:jc w:val="center"/>
        </w:trPr>
        <w:tc>
          <w:tcPr>
            <w:tcW w:w="2029" w:type="dxa"/>
            <w:shd w:val="clear" w:color="auto" w:fill="auto"/>
          </w:tcPr>
          <w:p w14:paraId="7F87EDB5" w14:textId="77777777" w:rsidR="00505CF9" w:rsidRPr="005F7964" w:rsidRDefault="00505CF9" w:rsidP="00505CF9">
            <w:pPr>
              <w:jc w:val="both"/>
              <w:rPr>
                <w:rFonts w:ascii="Arial" w:hAnsi="Arial"/>
                <w:sz w:val="26"/>
                <w:szCs w:val="26"/>
                <w:rtl/>
              </w:rPr>
            </w:pPr>
          </w:p>
        </w:tc>
        <w:tc>
          <w:tcPr>
            <w:tcW w:w="6659" w:type="dxa"/>
            <w:gridSpan w:val="2"/>
            <w:shd w:val="clear" w:color="auto" w:fill="auto"/>
          </w:tcPr>
          <w:p w14:paraId="1CB73B0F" w14:textId="77777777" w:rsidR="00505CF9" w:rsidRPr="005F7964" w:rsidRDefault="00505CF9" w:rsidP="00505CF9">
            <w:pPr>
              <w:jc w:val="both"/>
              <w:rPr>
                <w:rFonts w:ascii="Arial" w:hAnsi="Arial"/>
                <w:b/>
                <w:bCs/>
                <w:sz w:val="26"/>
                <w:szCs w:val="26"/>
                <w:rtl/>
              </w:rPr>
            </w:pPr>
            <w:r w:rsidRPr="005F7964">
              <w:rPr>
                <w:rFonts w:ascii="Arial" w:hAnsi="Arial"/>
                <w:b/>
                <w:bCs/>
                <w:sz w:val="26"/>
                <w:szCs w:val="26"/>
                <w:rtl/>
              </w:rPr>
              <w:t xml:space="preserve">                   נגד</w:t>
            </w:r>
          </w:p>
          <w:p w14:paraId="3C615D21" w14:textId="77777777" w:rsidR="00505CF9" w:rsidRPr="005F7964" w:rsidRDefault="00505CF9" w:rsidP="00505CF9">
            <w:pPr>
              <w:jc w:val="both"/>
              <w:rPr>
                <w:rFonts w:ascii="Arial" w:hAnsi="Arial"/>
                <w:sz w:val="26"/>
                <w:szCs w:val="26"/>
                <w:rtl/>
              </w:rPr>
            </w:pPr>
          </w:p>
        </w:tc>
      </w:tr>
      <w:tr w:rsidR="00505CF9" w:rsidRPr="005F7964" w14:paraId="5839594B" w14:textId="77777777" w:rsidTr="00505CF9">
        <w:trPr>
          <w:trHeight w:val="355"/>
          <w:jc w:val="center"/>
        </w:trPr>
        <w:tc>
          <w:tcPr>
            <w:tcW w:w="2029" w:type="dxa"/>
            <w:shd w:val="clear" w:color="auto" w:fill="auto"/>
          </w:tcPr>
          <w:p w14:paraId="42CEEFF4" w14:textId="77777777" w:rsidR="00505CF9" w:rsidRPr="005F7964" w:rsidRDefault="00505CF9" w:rsidP="00505CF9">
            <w:pPr>
              <w:jc w:val="both"/>
              <w:rPr>
                <w:rFonts w:ascii="Arial" w:hAnsi="Arial"/>
                <w:b/>
                <w:bCs/>
                <w:sz w:val="26"/>
                <w:szCs w:val="26"/>
              </w:rPr>
            </w:pPr>
            <w:r w:rsidRPr="005F7964">
              <w:rPr>
                <w:rFonts w:ascii="Arial" w:hAnsi="Arial"/>
                <w:b/>
                <w:bCs/>
                <w:sz w:val="26"/>
                <w:szCs w:val="26"/>
                <w:rtl/>
              </w:rPr>
              <w:t>הנאשמים</w:t>
            </w:r>
            <w:r w:rsidRPr="005F7964">
              <w:rPr>
                <w:b/>
                <w:bCs/>
                <w:sz w:val="26"/>
                <w:szCs w:val="26"/>
                <w:rtl/>
              </w:rPr>
              <w:t>:</w:t>
            </w:r>
          </w:p>
        </w:tc>
        <w:tc>
          <w:tcPr>
            <w:tcW w:w="6659" w:type="dxa"/>
            <w:gridSpan w:val="2"/>
            <w:shd w:val="clear" w:color="auto" w:fill="auto"/>
          </w:tcPr>
          <w:p w14:paraId="17D84054" w14:textId="77777777" w:rsidR="00505CF9" w:rsidRPr="005F7964" w:rsidRDefault="00505CF9" w:rsidP="00505CF9">
            <w:pPr>
              <w:jc w:val="both"/>
              <w:rPr>
                <w:b/>
                <w:bCs/>
                <w:sz w:val="26"/>
                <w:szCs w:val="26"/>
                <w:rtl/>
              </w:rPr>
            </w:pPr>
            <w:r w:rsidRPr="005F7964">
              <w:rPr>
                <w:rFonts w:ascii="Arial" w:hAnsi="Arial"/>
                <w:b/>
                <w:bCs/>
                <w:sz w:val="26"/>
                <w:szCs w:val="26"/>
                <w:rtl/>
              </w:rPr>
              <w:t>אריק בקר (עציר)</w:t>
            </w:r>
          </w:p>
          <w:p w14:paraId="5E28A471" w14:textId="77777777" w:rsidR="00505CF9" w:rsidRPr="005F7964" w:rsidRDefault="00505CF9" w:rsidP="00505CF9">
            <w:pPr>
              <w:jc w:val="both"/>
              <w:rPr>
                <w:sz w:val="26"/>
                <w:szCs w:val="26"/>
                <w:rtl/>
              </w:rPr>
            </w:pPr>
            <w:r w:rsidRPr="005F7964">
              <w:rPr>
                <w:sz w:val="26"/>
                <w:szCs w:val="26"/>
                <w:rtl/>
              </w:rPr>
              <w:t>ע"י ב"כ עו"ד צפריר יגור</w:t>
            </w:r>
          </w:p>
        </w:tc>
      </w:tr>
      <w:tr w:rsidR="00505CF9" w:rsidRPr="005F7964" w14:paraId="6BE07F20" w14:textId="77777777" w:rsidTr="00505CF9">
        <w:trPr>
          <w:trHeight w:val="355"/>
          <w:jc w:val="center"/>
        </w:trPr>
        <w:tc>
          <w:tcPr>
            <w:tcW w:w="2029" w:type="dxa"/>
            <w:shd w:val="clear" w:color="auto" w:fill="auto"/>
          </w:tcPr>
          <w:p w14:paraId="2B236EB6" w14:textId="77777777" w:rsidR="00505CF9" w:rsidRPr="005F7964" w:rsidRDefault="00505CF9" w:rsidP="00505CF9">
            <w:pPr>
              <w:jc w:val="both"/>
              <w:rPr>
                <w:rFonts w:ascii="Arial" w:hAnsi="Arial"/>
                <w:sz w:val="26"/>
                <w:szCs w:val="26"/>
              </w:rPr>
            </w:pPr>
          </w:p>
        </w:tc>
        <w:tc>
          <w:tcPr>
            <w:tcW w:w="3420" w:type="dxa"/>
            <w:shd w:val="clear" w:color="auto" w:fill="auto"/>
          </w:tcPr>
          <w:p w14:paraId="095AF524" w14:textId="77777777" w:rsidR="00505CF9" w:rsidRPr="005F7964" w:rsidRDefault="00505CF9" w:rsidP="00505CF9">
            <w:pPr>
              <w:jc w:val="both"/>
              <w:rPr>
                <w:rFonts w:ascii="Arial" w:hAnsi="Arial"/>
                <w:sz w:val="26"/>
                <w:szCs w:val="26"/>
                <w:rtl/>
              </w:rPr>
            </w:pPr>
          </w:p>
        </w:tc>
        <w:tc>
          <w:tcPr>
            <w:tcW w:w="3239" w:type="dxa"/>
            <w:shd w:val="clear" w:color="auto" w:fill="auto"/>
          </w:tcPr>
          <w:p w14:paraId="017B2253" w14:textId="77777777" w:rsidR="00505CF9" w:rsidRPr="005F7964" w:rsidRDefault="00505CF9" w:rsidP="00505CF9">
            <w:pPr>
              <w:jc w:val="both"/>
              <w:rPr>
                <w:rFonts w:ascii="Arial" w:hAnsi="Arial"/>
                <w:sz w:val="26"/>
                <w:szCs w:val="26"/>
              </w:rPr>
            </w:pPr>
          </w:p>
        </w:tc>
      </w:tr>
    </w:tbl>
    <w:p w14:paraId="1E79D894" w14:textId="77777777" w:rsidR="00CA0164" w:rsidRPr="00CA0164" w:rsidRDefault="00CA0164" w:rsidP="00CA0164">
      <w:pPr>
        <w:spacing w:before="120" w:after="120" w:line="240" w:lineRule="exact"/>
        <w:ind w:left="283" w:hanging="283"/>
        <w:jc w:val="both"/>
        <w:rPr>
          <w:rFonts w:ascii="FrankRuehl" w:hAnsi="FrankRuehl" w:cs="FrankRuehl"/>
          <w:rtl/>
        </w:rPr>
      </w:pPr>
      <w:r w:rsidRPr="00CA0164">
        <w:rPr>
          <w:rFonts w:ascii="FrankRuehl" w:hAnsi="FrankRuehl" w:cs="FrankRuehl"/>
          <w:rtl/>
        </w:rPr>
        <w:t xml:space="preserve">חקיקה שאוזכרה: </w:t>
      </w:r>
    </w:p>
    <w:p w14:paraId="43765EA3" w14:textId="77777777" w:rsidR="00CA0164" w:rsidRPr="00CA0164" w:rsidRDefault="00CA0164" w:rsidP="00CA0164">
      <w:pPr>
        <w:spacing w:before="120" w:after="120" w:line="240" w:lineRule="exact"/>
        <w:ind w:left="283" w:hanging="283"/>
        <w:jc w:val="both"/>
        <w:rPr>
          <w:rFonts w:ascii="FrankRuehl" w:hAnsi="FrankRuehl" w:cs="FrankRuehl"/>
          <w:color w:val="0000FF"/>
          <w:rtl/>
        </w:rPr>
      </w:pPr>
      <w:hyperlink r:id="rId6" w:history="1">
        <w:r w:rsidRPr="00CA0164">
          <w:rPr>
            <w:rStyle w:val="Hyperlink"/>
            <w:rFonts w:ascii="FrankRuehl" w:hAnsi="FrankRuehl" w:cs="FrankRuehl"/>
            <w:u w:val="none"/>
            <w:rtl/>
          </w:rPr>
          <w:t>פקודת הסמים המסוכנים [נוסח חדש], תשל"ג-1973</w:t>
        </w:r>
      </w:hyperlink>
      <w:r w:rsidRPr="00CA0164">
        <w:rPr>
          <w:rFonts w:ascii="FrankRuehl" w:hAnsi="FrankRuehl" w:cs="FrankRuehl"/>
          <w:color w:val="0000FF"/>
          <w:rtl/>
        </w:rPr>
        <w:t xml:space="preserve">: סע'  </w:t>
      </w:r>
      <w:hyperlink r:id="rId7" w:history="1">
        <w:r w:rsidRPr="00CA0164">
          <w:rPr>
            <w:rStyle w:val="Hyperlink"/>
            <w:rFonts w:ascii="FrankRuehl" w:hAnsi="FrankRuehl" w:cs="FrankRuehl"/>
            <w:u w:val="none"/>
          </w:rPr>
          <w:t>7</w:t>
        </w:r>
      </w:hyperlink>
      <w:r w:rsidRPr="00CA0164">
        <w:rPr>
          <w:rFonts w:ascii="FrankRuehl" w:hAnsi="FrankRuehl" w:cs="FrankRuehl"/>
          <w:color w:val="0000FF"/>
          <w:rtl/>
        </w:rPr>
        <w:t xml:space="preserve">(א)(ג), </w:t>
      </w:r>
      <w:hyperlink r:id="rId8" w:history="1">
        <w:r w:rsidRPr="00CA0164">
          <w:rPr>
            <w:rStyle w:val="Hyperlink"/>
            <w:rFonts w:ascii="FrankRuehl" w:hAnsi="FrankRuehl" w:cs="FrankRuehl"/>
            <w:u w:val="none"/>
          </w:rPr>
          <w:t>13</w:t>
        </w:r>
      </w:hyperlink>
    </w:p>
    <w:p w14:paraId="2F1967E3" w14:textId="77777777" w:rsidR="00505CF9" w:rsidRPr="00CA0164" w:rsidRDefault="00505CF9" w:rsidP="00CA0164">
      <w:pPr>
        <w:jc w:val="both"/>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5CF9" w14:paraId="45D7AEE2" w14:textId="77777777" w:rsidTr="00505CF9">
        <w:trPr>
          <w:trHeight w:val="355"/>
          <w:jc w:val="center"/>
        </w:trPr>
        <w:tc>
          <w:tcPr>
            <w:tcW w:w="8820" w:type="dxa"/>
            <w:tcBorders>
              <w:top w:val="nil"/>
              <w:left w:val="nil"/>
              <w:bottom w:val="nil"/>
              <w:right w:val="nil"/>
            </w:tcBorders>
            <w:shd w:val="clear" w:color="auto" w:fill="auto"/>
          </w:tcPr>
          <w:p w14:paraId="7CB32CAE" w14:textId="77777777" w:rsidR="005F7964" w:rsidRPr="005F7964" w:rsidRDefault="005F7964" w:rsidP="005F7964">
            <w:pPr>
              <w:jc w:val="center"/>
              <w:rPr>
                <w:rFonts w:ascii="Arial" w:hAnsi="Arial"/>
                <w:b/>
                <w:bCs/>
                <w:sz w:val="28"/>
                <w:szCs w:val="28"/>
                <w:u w:val="single"/>
                <w:rtl/>
              </w:rPr>
            </w:pPr>
            <w:bookmarkStart w:id="4" w:name="PsakDin" w:colFirst="0" w:colLast="0"/>
            <w:r w:rsidRPr="005F7964">
              <w:rPr>
                <w:rFonts w:ascii="Arial" w:hAnsi="Arial"/>
                <w:b/>
                <w:bCs/>
                <w:sz w:val="28"/>
                <w:szCs w:val="28"/>
                <w:u w:val="single"/>
                <w:rtl/>
              </w:rPr>
              <w:t>גזר דין</w:t>
            </w:r>
          </w:p>
          <w:p w14:paraId="00C5F86A" w14:textId="77777777" w:rsidR="00505CF9" w:rsidRPr="005F7964" w:rsidRDefault="00505CF9" w:rsidP="005F7964">
            <w:pPr>
              <w:jc w:val="center"/>
              <w:rPr>
                <w:rFonts w:ascii="Arial" w:hAnsi="Arial"/>
                <w:bCs/>
                <w:sz w:val="28"/>
                <w:szCs w:val="28"/>
                <w:u w:val="single"/>
              </w:rPr>
            </w:pPr>
          </w:p>
        </w:tc>
      </w:tr>
      <w:bookmarkEnd w:id="4"/>
    </w:tbl>
    <w:p w14:paraId="7E5CECAA" w14:textId="77777777" w:rsidR="00505CF9" w:rsidRDefault="00505CF9" w:rsidP="00505CF9">
      <w:pPr>
        <w:jc w:val="both"/>
        <w:rPr>
          <w:rFonts w:ascii="Arial" w:hAnsi="Arial"/>
          <w:rtl/>
        </w:rPr>
      </w:pPr>
    </w:p>
    <w:p w14:paraId="4DF035E2" w14:textId="77777777" w:rsidR="00505CF9" w:rsidRPr="00D03C9E" w:rsidRDefault="00505CF9" w:rsidP="00505CF9">
      <w:pPr>
        <w:spacing w:after="240" w:line="360" w:lineRule="auto"/>
        <w:ind w:left="720" w:hanging="720"/>
        <w:jc w:val="both"/>
        <w:rPr>
          <w:rFonts w:ascii="Arial" w:hAnsi="Arial"/>
          <w:u w:val="single"/>
          <w:rtl/>
        </w:rPr>
      </w:pPr>
      <w:r>
        <w:rPr>
          <w:rFonts w:ascii="Arial" w:hAnsi="Arial"/>
          <w:rtl/>
        </w:rPr>
        <w:tab/>
      </w:r>
      <w:r w:rsidRPr="00D03C9E">
        <w:rPr>
          <w:rFonts w:ascii="Arial" w:hAnsi="Arial" w:hint="cs"/>
          <w:u w:val="single"/>
          <w:rtl/>
        </w:rPr>
        <w:t>כללי</w:t>
      </w:r>
    </w:p>
    <w:p w14:paraId="13501052" w14:textId="77777777" w:rsidR="00505CF9" w:rsidRDefault="00505CF9" w:rsidP="00505CF9">
      <w:pPr>
        <w:spacing w:after="240" w:line="360" w:lineRule="auto"/>
        <w:ind w:left="720" w:hanging="720"/>
        <w:jc w:val="both"/>
        <w:rPr>
          <w:rFonts w:ascii="Arial" w:hAnsi="Arial"/>
          <w:rtl/>
        </w:rPr>
      </w:pPr>
      <w:r>
        <w:rPr>
          <w:rFonts w:ascii="Arial" w:hAnsi="Arial"/>
          <w:rtl/>
        </w:rPr>
        <w:t>1.</w:t>
      </w:r>
      <w:r>
        <w:rPr>
          <w:rFonts w:ascii="Arial" w:hAnsi="Arial"/>
          <w:rtl/>
        </w:rPr>
        <w:tab/>
      </w:r>
      <w:bookmarkStart w:id="5" w:name="ABSTRACT_START"/>
      <w:bookmarkEnd w:id="5"/>
      <w:r>
        <w:rPr>
          <w:rFonts w:ascii="Arial" w:hAnsi="Arial"/>
          <w:rtl/>
        </w:rPr>
        <w:t>הנאשם הורשע על יסוד הודאתו בעבירות של ייבוא סם מסוכן,</w:t>
      </w:r>
      <w:r>
        <w:rPr>
          <w:rFonts w:ascii="Arial" w:hAnsi="Arial" w:hint="cs"/>
          <w:rtl/>
        </w:rPr>
        <w:t xml:space="preserve"> </w:t>
      </w:r>
      <w:r>
        <w:rPr>
          <w:rFonts w:ascii="Arial" w:hAnsi="Arial"/>
          <w:rtl/>
        </w:rPr>
        <w:t xml:space="preserve">לפי </w:t>
      </w:r>
      <w:hyperlink r:id="rId9" w:history="1">
        <w:r w:rsidR="00CA0164" w:rsidRPr="00CA0164">
          <w:rPr>
            <w:rStyle w:val="Hyperlink"/>
            <w:rFonts w:ascii="Arial" w:hAnsi="Arial"/>
            <w:color w:val="0000FF"/>
            <w:rtl/>
          </w:rPr>
          <w:t>סעיף 13</w:t>
        </w:r>
      </w:hyperlink>
      <w:r>
        <w:rPr>
          <w:rFonts w:ascii="Arial" w:hAnsi="Arial"/>
          <w:rtl/>
        </w:rPr>
        <w:t xml:space="preserve"> ל</w:t>
      </w:r>
      <w:hyperlink r:id="rId10" w:history="1">
        <w:r w:rsidR="00CA0164" w:rsidRPr="00CA0164">
          <w:rPr>
            <w:rStyle w:val="Hyperlink"/>
            <w:rFonts w:ascii="Arial" w:hAnsi="Arial"/>
            <w:color w:val="0000FF"/>
            <w:rtl/>
          </w:rPr>
          <w:t>פקודת הסמים</w:t>
        </w:r>
      </w:hyperlink>
      <w:r>
        <w:rPr>
          <w:rFonts w:ascii="Arial" w:hAnsi="Arial"/>
          <w:rtl/>
        </w:rPr>
        <w:t xml:space="preserve">; והחזקת סמים מסוכנים שלא לצריכה עצמית, לפי </w:t>
      </w:r>
      <w:hyperlink r:id="rId11" w:history="1">
        <w:r w:rsidR="00CA0164" w:rsidRPr="00CA0164">
          <w:rPr>
            <w:rStyle w:val="Hyperlink"/>
            <w:rFonts w:ascii="Arial" w:hAnsi="Arial"/>
            <w:color w:val="0000FF"/>
            <w:rtl/>
          </w:rPr>
          <w:t>סעיף 7(א)(ג)</w:t>
        </w:r>
      </w:hyperlink>
      <w:r>
        <w:rPr>
          <w:rFonts w:ascii="Arial" w:hAnsi="Arial"/>
          <w:rtl/>
        </w:rPr>
        <w:t xml:space="preserve"> רישא לפקודת הסמים.</w:t>
      </w:r>
    </w:p>
    <w:p w14:paraId="018EDEE1" w14:textId="77777777" w:rsidR="00505CF9" w:rsidRDefault="00505CF9" w:rsidP="00505CF9">
      <w:pPr>
        <w:spacing w:after="240" w:line="360" w:lineRule="auto"/>
        <w:ind w:left="720" w:hanging="720"/>
        <w:jc w:val="both"/>
        <w:rPr>
          <w:rFonts w:ascii="Arial" w:hAnsi="Arial"/>
          <w:rtl/>
        </w:rPr>
      </w:pPr>
      <w:r>
        <w:rPr>
          <w:rFonts w:ascii="Arial" w:hAnsi="Arial"/>
          <w:rtl/>
        </w:rPr>
        <w:tab/>
        <w:t>הסדר הטיעון שגובש בין הצדדים כלל את תיקונו של כתב האישום</w:t>
      </w:r>
      <w:r>
        <w:rPr>
          <w:rFonts w:ascii="Arial" w:hAnsi="Arial" w:hint="cs"/>
          <w:rtl/>
        </w:rPr>
        <w:t>.</w:t>
      </w:r>
      <w:r>
        <w:rPr>
          <w:rFonts w:ascii="Arial" w:hAnsi="Arial"/>
          <w:rtl/>
        </w:rPr>
        <w:t xml:space="preserve"> כן הוסכם כי התביעה תטען לעונש ראוי של 7 שנות מאסר ורכיבי ענישה נוספים</w:t>
      </w:r>
      <w:r>
        <w:rPr>
          <w:rFonts w:ascii="Arial" w:hAnsi="Arial" w:hint="cs"/>
          <w:rtl/>
        </w:rPr>
        <w:t>,</w:t>
      </w:r>
      <w:r>
        <w:rPr>
          <w:rFonts w:ascii="Arial" w:hAnsi="Arial"/>
          <w:rtl/>
        </w:rPr>
        <w:t xml:space="preserve"> בעוד ההגנה תטען באופן חופשי ביחס לכל רכיבי הענישה.</w:t>
      </w:r>
    </w:p>
    <w:p w14:paraId="6108FCFB" w14:textId="77777777" w:rsidR="00505CF9" w:rsidRPr="00EF0988" w:rsidRDefault="00505CF9" w:rsidP="00505CF9">
      <w:pPr>
        <w:spacing w:after="240" w:line="360" w:lineRule="auto"/>
        <w:ind w:left="720" w:hanging="720"/>
        <w:jc w:val="both"/>
        <w:rPr>
          <w:rFonts w:ascii="Arial" w:hAnsi="Arial"/>
          <w:u w:val="single"/>
          <w:rtl/>
        </w:rPr>
      </w:pPr>
      <w:bookmarkStart w:id="6" w:name="ABSTRACT_END"/>
      <w:bookmarkEnd w:id="6"/>
      <w:r>
        <w:rPr>
          <w:rFonts w:ascii="Arial" w:hAnsi="Arial"/>
          <w:rtl/>
        </w:rPr>
        <w:tab/>
      </w:r>
      <w:r>
        <w:rPr>
          <w:rFonts w:ascii="Arial" w:hAnsi="Arial" w:hint="cs"/>
          <w:u w:val="single"/>
          <w:rtl/>
        </w:rPr>
        <w:t>עובדות כתב האישום המתוקן</w:t>
      </w:r>
    </w:p>
    <w:p w14:paraId="30DE1F93" w14:textId="77777777" w:rsidR="00505CF9" w:rsidRDefault="00505CF9" w:rsidP="00505CF9">
      <w:pPr>
        <w:spacing w:after="240" w:line="360" w:lineRule="auto"/>
        <w:ind w:left="720" w:hanging="720"/>
        <w:jc w:val="both"/>
        <w:rPr>
          <w:rFonts w:ascii="Arial" w:hAnsi="Arial"/>
          <w:rtl/>
        </w:rPr>
      </w:pPr>
      <w:r>
        <w:rPr>
          <w:rFonts w:ascii="Arial" w:hAnsi="Arial"/>
          <w:rtl/>
        </w:rPr>
        <w:t>2.</w:t>
      </w:r>
      <w:r>
        <w:rPr>
          <w:rFonts w:ascii="Arial" w:hAnsi="Arial"/>
          <w:rtl/>
        </w:rPr>
        <w:tab/>
        <w:t>על פי עובדות כתב האישום המתוקן, עובר ליום 29.6.24</w:t>
      </w:r>
      <w:r>
        <w:rPr>
          <w:rFonts w:ascii="Arial" w:hAnsi="Arial" w:hint="cs"/>
          <w:rtl/>
        </w:rPr>
        <w:t>,</w:t>
      </w:r>
      <w:r>
        <w:rPr>
          <w:rFonts w:ascii="Arial" w:hAnsi="Arial"/>
          <w:rtl/>
        </w:rPr>
        <w:t xml:space="preserve"> קשר הנאשם קשר עם אדם שזהותו אינה ידועה למאשימה, לביצוע עבירת פשע – ייבוא סמים מסוכנים מסוג קטמין ו- </w:t>
      </w:r>
      <w:r>
        <w:rPr>
          <w:rFonts w:ascii="Arial" w:hAnsi="Arial"/>
        </w:rPr>
        <w:t>MDMA</w:t>
      </w:r>
      <w:r>
        <w:rPr>
          <w:rFonts w:ascii="Arial" w:hAnsi="Arial"/>
          <w:rtl/>
        </w:rPr>
        <w:t>.</w:t>
      </w:r>
    </w:p>
    <w:p w14:paraId="546E090B" w14:textId="77777777" w:rsidR="00505CF9" w:rsidRDefault="00505CF9" w:rsidP="00505CF9">
      <w:pPr>
        <w:spacing w:after="240" w:line="360" w:lineRule="auto"/>
        <w:ind w:left="720" w:hanging="720"/>
        <w:jc w:val="both"/>
        <w:rPr>
          <w:rFonts w:ascii="Arial" w:hAnsi="Arial"/>
          <w:rtl/>
        </w:rPr>
      </w:pPr>
      <w:r>
        <w:rPr>
          <w:rFonts w:ascii="Arial" w:hAnsi="Arial"/>
          <w:rtl/>
        </w:rPr>
        <w:tab/>
        <w:t>במסגרת הקשר ולשם קידומו, ביו</w:t>
      </w:r>
      <w:r>
        <w:rPr>
          <w:rFonts w:ascii="Arial" w:hAnsi="Arial" w:hint="cs"/>
          <w:rtl/>
        </w:rPr>
        <w:t>ם</w:t>
      </w:r>
      <w:r>
        <w:rPr>
          <w:rFonts w:ascii="Arial" w:hAnsi="Arial"/>
          <w:rtl/>
        </w:rPr>
        <w:t xml:space="preserve"> 29.6.24 הזמין הנאשם מבית אימו בבאר שבע כרטיס טיסה לשדה התעופה "אורלי" בצרפת. ביום 1.7.24 יצא הנאשם מישראל דרך נמל התעופה בן גוריון ושהה מחוץ לארץ עד ליום 4.7.24.</w:t>
      </w:r>
    </w:p>
    <w:p w14:paraId="1C5DBF25" w14:textId="77777777" w:rsidR="00505CF9" w:rsidRDefault="00505CF9" w:rsidP="00505CF9">
      <w:pPr>
        <w:spacing w:after="240" w:line="360" w:lineRule="auto"/>
        <w:ind w:left="720" w:hanging="720"/>
        <w:jc w:val="both"/>
        <w:rPr>
          <w:rFonts w:ascii="Arial" w:hAnsi="Arial"/>
          <w:rtl/>
        </w:rPr>
      </w:pPr>
      <w:r>
        <w:rPr>
          <w:rFonts w:ascii="Arial" w:hAnsi="Arial"/>
          <w:rtl/>
        </w:rPr>
        <w:tab/>
        <w:t>בתאריך שאינו ידוע במדויק למאשימה, במהלך שהותו בחו"ל כמפורט לעיל, הנאשם קיבל לידיו, באופן שאינו ידוע במדויק למאשימה, מזוודה עם דופן כפולה, ובתו</w:t>
      </w:r>
      <w:r>
        <w:rPr>
          <w:rFonts w:ascii="Arial" w:hAnsi="Arial" w:hint="cs"/>
          <w:rtl/>
        </w:rPr>
        <w:t>כה</w:t>
      </w:r>
      <w:r>
        <w:rPr>
          <w:rFonts w:ascii="Arial" w:hAnsi="Arial"/>
          <w:rtl/>
        </w:rPr>
        <w:t xml:space="preserve"> שלוש שקיות וואקום שהכילו כ-3.4 ק"ג סם מסוג קטמין וכן סם מסוג </w:t>
      </w:r>
      <w:r>
        <w:rPr>
          <w:rFonts w:ascii="Arial" w:hAnsi="Arial"/>
        </w:rPr>
        <w:t>MDMA</w:t>
      </w:r>
      <w:r>
        <w:rPr>
          <w:rFonts w:ascii="Arial" w:hAnsi="Arial"/>
          <w:rtl/>
        </w:rPr>
        <w:t xml:space="preserve"> במשקל של כ-9.5 ק"ג.</w:t>
      </w:r>
    </w:p>
    <w:p w14:paraId="537AA13E" w14:textId="77777777" w:rsidR="00505CF9" w:rsidRDefault="00505CF9" w:rsidP="00505CF9">
      <w:pPr>
        <w:spacing w:after="240" w:line="360" w:lineRule="auto"/>
        <w:ind w:left="720" w:hanging="720"/>
        <w:jc w:val="both"/>
        <w:rPr>
          <w:rFonts w:ascii="Arial" w:hAnsi="Arial"/>
          <w:rtl/>
        </w:rPr>
      </w:pPr>
      <w:r>
        <w:rPr>
          <w:rFonts w:ascii="Arial" w:hAnsi="Arial"/>
          <w:rtl/>
        </w:rPr>
        <w:tab/>
        <w:t xml:space="preserve">ביום 4.7.24 הגיע הנאשם, בטיסה שיצאה מפריז חזרה לישראל, והוביל את המזוודה עם הסמים לישראל. בהגיעו לנתב"ג במועד הנ"ל, לקח הנאשם את המזוודה עם הסמים ממסוע חלוקת הכבודה בנתב"ג וניסה </w:t>
      </w:r>
      <w:r>
        <w:rPr>
          <w:rFonts w:ascii="Arial" w:hAnsi="Arial"/>
          <w:rtl/>
        </w:rPr>
        <w:lastRenderedPageBreak/>
        <w:t>לעזוב את המקום כשהוא מחזיק במזוודה, אך נעצר על ידי משטרת ישראל בעקבות בדיקת המזוודה במכס ואיתור הסמים.</w:t>
      </w:r>
    </w:p>
    <w:p w14:paraId="2288A736" w14:textId="77777777" w:rsidR="00505CF9" w:rsidRDefault="00505CF9" w:rsidP="00505CF9">
      <w:pPr>
        <w:spacing w:after="240" w:line="360" w:lineRule="auto"/>
        <w:ind w:left="720" w:hanging="720"/>
        <w:jc w:val="both"/>
        <w:rPr>
          <w:rFonts w:ascii="Arial" w:hAnsi="Arial"/>
          <w:u w:val="single"/>
          <w:rtl/>
        </w:rPr>
      </w:pPr>
      <w:r>
        <w:rPr>
          <w:rFonts w:ascii="Arial" w:hAnsi="Arial"/>
          <w:rtl/>
        </w:rPr>
        <w:tab/>
      </w:r>
      <w:r>
        <w:rPr>
          <w:rFonts w:ascii="Arial" w:hAnsi="Arial"/>
          <w:u w:val="single"/>
          <w:rtl/>
        </w:rPr>
        <w:t>ראיות וטיעוני הצדדים לעונש</w:t>
      </w:r>
    </w:p>
    <w:p w14:paraId="6F83745E" w14:textId="77777777" w:rsidR="00505CF9" w:rsidRDefault="00505CF9" w:rsidP="00505CF9">
      <w:pPr>
        <w:spacing w:after="240" w:line="360" w:lineRule="auto"/>
        <w:ind w:left="720" w:hanging="720"/>
        <w:jc w:val="both"/>
        <w:rPr>
          <w:rFonts w:ascii="Arial" w:hAnsi="Arial"/>
          <w:rtl/>
        </w:rPr>
      </w:pPr>
      <w:r>
        <w:rPr>
          <w:rFonts w:ascii="Arial" w:hAnsi="Arial"/>
          <w:rtl/>
        </w:rPr>
        <w:t>3.</w:t>
      </w:r>
      <w:r>
        <w:rPr>
          <w:rFonts w:ascii="Arial" w:hAnsi="Arial"/>
          <w:rtl/>
        </w:rPr>
        <w:tab/>
        <w:t xml:space="preserve">ב"כ התביעה, עו"ד גאל נבון, עמדה בטיעוניה על חומרת מעשיו של הנאשם, </w:t>
      </w:r>
      <w:r>
        <w:rPr>
          <w:rFonts w:ascii="Arial" w:hAnsi="Arial" w:hint="cs"/>
          <w:rtl/>
        </w:rPr>
        <w:t xml:space="preserve">על </w:t>
      </w:r>
      <w:r>
        <w:rPr>
          <w:rFonts w:ascii="Arial" w:hAnsi="Arial"/>
          <w:rtl/>
        </w:rPr>
        <w:t xml:space="preserve">עוצמת הפגיעה בערכים המוגנים, </w:t>
      </w:r>
      <w:r>
        <w:rPr>
          <w:rFonts w:ascii="Arial" w:hAnsi="Arial" w:hint="cs"/>
          <w:rtl/>
        </w:rPr>
        <w:t xml:space="preserve">על </w:t>
      </w:r>
      <w:r>
        <w:rPr>
          <w:rFonts w:ascii="Arial" w:hAnsi="Arial"/>
          <w:rtl/>
        </w:rPr>
        <w:t>נסיבות ביצוע העבירה, ומדיניות הענישה הנוהגת. התביעה ציינה כי בתי המשפט, ובפרט ביהמ"ש העליון</w:t>
      </w:r>
      <w:r>
        <w:rPr>
          <w:rFonts w:ascii="Arial" w:hAnsi="Arial" w:hint="cs"/>
          <w:rtl/>
        </w:rPr>
        <w:t>,</w:t>
      </w:r>
      <w:r>
        <w:rPr>
          <w:rFonts w:ascii="Arial" w:hAnsi="Arial"/>
          <w:rtl/>
        </w:rPr>
        <w:t xml:space="preserve"> עמדו על הנזק החמור שגורם כל מי שלוקח חלק בשרשרת הפצת סם מסוכן, ההשפעות השליליות על החברה והנזק הטמון בהן.</w:t>
      </w:r>
    </w:p>
    <w:p w14:paraId="21142B5E" w14:textId="77777777" w:rsidR="00505CF9" w:rsidRDefault="00505CF9" w:rsidP="00505CF9">
      <w:pPr>
        <w:spacing w:after="240" w:line="360" w:lineRule="auto"/>
        <w:ind w:left="720" w:hanging="720"/>
        <w:jc w:val="both"/>
        <w:rPr>
          <w:rFonts w:ascii="Arial" w:hAnsi="Arial"/>
          <w:rtl/>
        </w:rPr>
      </w:pPr>
      <w:r>
        <w:rPr>
          <w:rFonts w:ascii="Arial" w:hAnsi="Arial"/>
          <w:rtl/>
        </w:rPr>
        <w:tab/>
        <w:t>עוד ציינה התביעה כי לקחה בחשבון את העובדה שהנאשם הודה במסגרת הסדר טיעון, חסך זמן שיפוטי יקר ולקח אחריות על מעשיו. כן לקחה בחשבון את נסיבותיו האישיות ואת מצבו הכלכלי והמשפחתי המורכב, במובן זה שהוא דר רחוב. יחד עם זאת, ציינה התביעה את החשיבות ביצירת האיזון הראוי בין נסיבות המקרה לבין הגנה על האינטרס הציבורי, ובפרט שלום הציבור ובטחונו. התביעה הדגישה את חשיבות</w:t>
      </w:r>
      <w:r>
        <w:rPr>
          <w:rFonts w:ascii="Arial" w:hAnsi="Arial" w:hint="cs"/>
          <w:rtl/>
        </w:rPr>
        <w:t xml:space="preserve">ו של </w:t>
      </w:r>
      <w:r>
        <w:rPr>
          <w:rFonts w:ascii="Arial" w:hAnsi="Arial"/>
          <w:rtl/>
        </w:rPr>
        <w:t>העברת מסר ברור ומרתיע לפיו בית המשפט נוקט ביד קשה, גם כלפי מי שביצע את עבירות הסמים בהיותו "בלדר" או ללא עבר פלילי בעבירות סמים.</w:t>
      </w:r>
    </w:p>
    <w:p w14:paraId="1DD07A4F" w14:textId="77777777" w:rsidR="00505CF9" w:rsidRDefault="00505CF9" w:rsidP="00505CF9">
      <w:pPr>
        <w:spacing w:after="240" w:line="360" w:lineRule="auto"/>
        <w:ind w:left="720" w:hanging="720"/>
        <w:jc w:val="both"/>
        <w:rPr>
          <w:rFonts w:ascii="Arial" w:hAnsi="Arial"/>
          <w:rtl/>
        </w:rPr>
      </w:pPr>
      <w:r>
        <w:rPr>
          <w:rFonts w:ascii="Arial" w:hAnsi="Arial"/>
          <w:rtl/>
        </w:rPr>
        <w:tab/>
        <w:t>בהינתן האמור, ומדיניות הענישה הנוהגת אליה הפנתה, סברה התביעה כי יש להשית על הנאשם עונש של 7 שנות מאסר בפועל</w:t>
      </w:r>
      <w:r>
        <w:rPr>
          <w:rFonts w:ascii="Arial" w:hAnsi="Arial" w:hint="cs"/>
          <w:rtl/>
        </w:rPr>
        <w:t>,</w:t>
      </w:r>
      <w:r>
        <w:rPr>
          <w:rFonts w:ascii="Arial" w:hAnsi="Arial"/>
          <w:rtl/>
        </w:rPr>
        <w:t xml:space="preserve"> בנוסף לרכיבים נלווים וקנס משמעותי.</w:t>
      </w:r>
    </w:p>
    <w:p w14:paraId="61F0F546" w14:textId="77777777" w:rsidR="00505CF9" w:rsidRDefault="00505CF9" w:rsidP="00505CF9">
      <w:pPr>
        <w:spacing w:after="240" w:line="360" w:lineRule="auto"/>
        <w:ind w:left="720" w:hanging="720"/>
        <w:jc w:val="both"/>
        <w:rPr>
          <w:rFonts w:ascii="Arial" w:hAnsi="Arial"/>
          <w:rtl/>
        </w:rPr>
      </w:pPr>
      <w:r>
        <w:rPr>
          <w:rFonts w:ascii="Arial" w:hAnsi="Arial"/>
          <w:rtl/>
        </w:rPr>
        <w:t>4.</w:t>
      </w:r>
      <w:r>
        <w:rPr>
          <w:rFonts w:ascii="Arial" w:hAnsi="Arial"/>
          <w:rtl/>
        </w:rPr>
        <w:tab/>
        <w:t>אימו של הנאשם, הגב' אנה בקר</w:t>
      </w:r>
      <w:r>
        <w:rPr>
          <w:rFonts w:ascii="Arial" w:hAnsi="Arial" w:hint="cs"/>
          <w:rtl/>
        </w:rPr>
        <w:t>, העידה בשלב העונש.</w:t>
      </w:r>
    </w:p>
    <w:p w14:paraId="73FE70B1" w14:textId="77777777" w:rsidR="00505CF9" w:rsidRDefault="00505CF9" w:rsidP="00505CF9">
      <w:pPr>
        <w:spacing w:after="240" w:line="360" w:lineRule="auto"/>
        <w:ind w:left="720" w:hanging="720"/>
        <w:jc w:val="both"/>
        <w:rPr>
          <w:rFonts w:ascii="Arial" w:hAnsi="Arial"/>
          <w:rtl/>
        </w:rPr>
      </w:pPr>
      <w:r>
        <w:rPr>
          <w:rFonts w:ascii="Arial" w:hAnsi="Arial"/>
          <w:rtl/>
        </w:rPr>
        <w:tab/>
        <w:t xml:space="preserve">גב' בקר תיארה כי התגרשה בשל מערכת יחסים אלימה עת היה הנאשם בן 16 ומאז השקיעה </w:t>
      </w:r>
      <w:r>
        <w:rPr>
          <w:rFonts w:ascii="Arial" w:hAnsi="Arial" w:hint="cs"/>
          <w:rtl/>
        </w:rPr>
        <w:t>רבות</w:t>
      </w:r>
      <w:r>
        <w:rPr>
          <w:rFonts w:ascii="Arial" w:hAnsi="Arial"/>
          <w:rtl/>
        </w:rPr>
        <w:t xml:space="preserve"> על מנת להביא להצלחת שלושת ילדיה. </w:t>
      </w:r>
      <w:r>
        <w:rPr>
          <w:rFonts w:ascii="Arial" w:hAnsi="Arial" w:hint="cs"/>
          <w:rtl/>
        </w:rPr>
        <w:t>האם התייחסה ל</w:t>
      </w:r>
      <w:r>
        <w:rPr>
          <w:rFonts w:ascii="Arial" w:hAnsi="Arial"/>
          <w:rtl/>
        </w:rPr>
        <w:t>מורכבות</w:t>
      </w:r>
      <w:r>
        <w:rPr>
          <w:rFonts w:ascii="Arial" w:hAnsi="Arial" w:hint="cs"/>
          <w:rtl/>
        </w:rPr>
        <w:t xml:space="preserve"> ולקשיים שהובילו לעזיבת הנאשם את הבית</w:t>
      </w:r>
      <w:r>
        <w:rPr>
          <w:rFonts w:ascii="Arial" w:hAnsi="Arial"/>
          <w:rtl/>
        </w:rPr>
        <w:t xml:space="preserve">. גב' בקר תיארה את השינוי שחל בנאשם מיום המעצר, בשיחות </w:t>
      </w:r>
      <w:r>
        <w:rPr>
          <w:rFonts w:ascii="Arial" w:hAnsi="Arial" w:hint="cs"/>
          <w:rtl/>
        </w:rPr>
        <w:t>עמו</w:t>
      </w:r>
      <w:r>
        <w:rPr>
          <w:rFonts w:ascii="Arial" w:hAnsi="Arial"/>
          <w:rtl/>
        </w:rPr>
        <w:t xml:space="preserve"> ו</w:t>
      </w:r>
      <w:r>
        <w:rPr>
          <w:rFonts w:ascii="Arial" w:hAnsi="Arial" w:hint="cs"/>
          <w:rtl/>
        </w:rPr>
        <w:t>במידת ההבנה שהחל לגלות ביחס לצ</w:t>
      </w:r>
      <w:r>
        <w:rPr>
          <w:rFonts w:ascii="Arial" w:hAnsi="Arial"/>
          <w:rtl/>
        </w:rPr>
        <w:t xml:space="preserve">ער שגרם לה ולמשפחתו. </w:t>
      </w:r>
      <w:r>
        <w:rPr>
          <w:rFonts w:ascii="Arial" w:hAnsi="Arial" w:hint="cs"/>
          <w:rtl/>
        </w:rPr>
        <w:t xml:space="preserve">היא הכירה בטעות שעשה בנה, </w:t>
      </w:r>
      <w:r>
        <w:rPr>
          <w:rFonts w:ascii="Arial" w:hAnsi="Arial"/>
          <w:rtl/>
        </w:rPr>
        <w:t>ציינה כי היא מוכנה לעזור</w:t>
      </w:r>
      <w:r>
        <w:rPr>
          <w:rFonts w:ascii="Arial" w:hAnsi="Arial" w:hint="cs"/>
          <w:rtl/>
        </w:rPr>
        <w:t xml:space="preserve"> בשיקומו </w:t>
      </w:r>
      <w:r>
        <w:rPr>
          <w:rFonts w:ascii="Arial" w:hAnsi="Arial"/>
          <w:rtl/>
        </w:rPr>
        <w:t>וביקשה מבית המשפט להתחשב בגזירת העונש ולתת לו הזדמנות על מנת לסייע לו לשקם את חייו ולנהל חיים נורמטיביים.</w:t>
      </w:r>
    </w:p>
    <w:p w14:paraId="03363695" w14:textId="77777777" w:rsidR="00505CF9" w:rsidRDefault="00505CF9" w:rsidP="00505CF9">
      <w:pPr>
        <w:spacing w:after="240" w:line="360" w:lineRule="auto"/>
        <w:ind w:left="720" w:hanging="720"/>
        <w:jc w:val="both"/>
        <w:rPr>
          <w:rFonts w:ascii="Arial" w:hAnsi="Arial"/>
          <w:rtl/>
        </w:rPr>
      </w:pPr>
      <w:r>
        <w:rPr>
          <w:rFonts w:ascii="Arial" w:hAnsi="Arial"/>
          <w:rtl/>
        </w:rPr>
        <w:t>5.</w:t>
      </w:r>
      <w:r>
        <w:rPr>
          <w:rFonts w:ascii="Arial" w:hAnsi="Arial"/>
          <w:rtl/>
        </w:rPr>
        <w:tab/>
        <w:t xml:space="preserve">ב"כ הנאשם, עו"ד צפריר יגור, עמד על נסיבות חייו האישיות של הנאשם, בן 32, אשר מגיל צעיר, לאחר שאימו עברה מערכת גירושים קשה, החל להידרדר </w:t>
      </w:r>
      <w:r>
        <w:rPr>
          <w:rFonts w:ascii="Arial" w:hAnsi="Arial" w:hint="cs"/>
          <w:rtl/>
        </w:rPr>
        <w:t>והתמכר</w:t>
      </w:r>
      <w:r>
        <w:rPr>
          <w:rFonts w:ascii="Arial" w:hAnsi="Arial"/>
          <w:rtl/>
        </w:rPr>
        <w:t xml:space="preserve"> לסמים ולהימורים ובשנים האחרונות הוא </w:t>
      </w:r>
      <w:r>
        <w:rPr>
          <w:rFonts w:ascii="Arial" w:hAnsi="Arial" w:hint="cs"/>
          <w:rtl/>
        </w:rPr>
        <w:t>התגורר ברחובות</w:t>
      </w:r>
      <w:r>
        <w:rPr>
          <w:rFonts w:ascii="Arial" w:hAnsi="Arial"/>
          <w:rtl/>
        </w:rPr>
        <w:t>. הסניגור</w:t>
      </w:r>
      <w:r>
        <w:rPr>
          <w:rFonts w:ascii="Arial" w:hAnsi="Arial" w:hint="cs"/>
          <w:rtl/>
        </w:rPr>
        <w:t xml:space="preserve"> התייחס לכך</w:t>
      </w:r>
      <w:r>
        <w:rPr>
          <w:rFonts w:ascii="Arial" w:hAnsi="Arial"/>
          <w:rtl/>
        </w:rPr>
        <w:t xml:space="preserve"> </w:t>
      </w:r>
      <w:r>
        <w:rPr>
          <w:rFonts w:ascii="Arial" w:hAnsi="Arial" w:hint="cs"/>
          <w:rtl/>
        </w:rPr>
        <w:t>ש</w:t>
      </w:r>
      <w:r>
        <w:rPr>
          <w:rFonts w:ascii="Arial" w:hAnsi="Arial"/>
          <w:rtl/>
        </w:rPr>
        <w:t xml:space="preserve">הנאשם סובל מבעיות נפשיות ופסיכיאטריות ועברו הפלילי לא מכביד ולא נוגע לעבירות סמים. </w:t>
      </w:r>
      <w:r>
        <w:rPr>
          <w:rFonts w:ascii="Arial" w:hAnsi="Arial" w:hint="cs"/>
          <w:rtl/>
        </w:rPr>
        <w:t>כמו כן,</w:t>
      </w:r>
      <w:r>
        <w:rPr>
          <w:rFonts w:ascii="Arial" w:hAnsi="Arial"/>
          <w:rtl/>
        </w:rPr>
        <w:t xml:space="preserve"> תיאר כי מצבו הנפשי והכלכלי הרעוע </w:t>
      </w:r>
      <w:r>
        <w:rPr>
          <w:rFonts w:ascii="Arial" w:hAnsi="Arial" w:hint="cs"/>
          <w:rtl/>
        </w:rPr>
        <w:t xml:space="preserve">של הנאשם </w:t>
      </w:r>
      <w:r>
        <w:rPr>
          <w:rFonts w:ascii="Arial" w:hAnsi="Arial"/>
          <w:rtl/>
        </w:rPr>
        <w:t>הובילו א</w:t>
      </w:r>
      <w:r>
        <w:rPr>
          <w:rFonts w:ascii="Arial" w:hAnsi="Arial" w:hint="cs"/>
          <w:rtl/>
        </w:rPr>
        <w:t>ו</w:t>
      </w:r>
      <w:r>
        <w:rPr>
          <w:rFonts w:ascii="Arial" w:hAnsi="Arial"/>
          <w:rtl/>
        </w:rPr>
        <w:t>ת</w:t>
      </w:r>
      <w:r>
        <w:rPr>
          <w:rFonts w:ascii="Arial" w:hAnsi="Arial" w:hint="cs"/>
          <w:rtl/>
        </w:rPr>
        <w:t>ו</w:t>
      </w:r>
      <w:r>
        <w:rPr>
          <w:rFonts w:ascii="Arial" w:hAnsi="Arial"/>
          <w:rtl/>
        </w:rPr>
        <w:t xml:space="preserve"> לעשיית טעות חמורה</w:t>
      </w:r>
      <w:r>
        <w:rPr>
          <w:rFonts w:ascii="Arial" w:hAnsi="Arial" w:hint="cs"/>
          <w:rtl/>
        </w:rPr>
        <w:t>,</w:t>
      </w:r>
      <w:r>
        <w:rPr>
          <w:rFonts w:ascii="Arial" w:hAnsi="Arial"/>
          <w:rtl/>
        </w:rPr>
        <w:t xml:space="preserve"> כאשר נוצל והסכים לבצע את העבירה</w:t>
      </w:r>
      <w:r>
        <w:rPr>
          <w:rFonts w:ascii="Arial" w:hAnsi="Arial" w:hint="cs"/>
          <w:rtl/>
        </w:rPr>
        <w:t>,</w:t>
      </w:r>
      <w:r>
        <w:rPr>
          <w:rFonts w:ascii="Arial" w:hAnsi="Arial"/>
          <w:rtl/>
        </w:rPr>
        <w:t xml:space="preserve"> </w:t>
      </w:r>
      <w:r>
        <w:rPr>
          <w:rFonts w:ascii="Arial" w:hAnsi="Arial" w:hint="cs"/>
          <w:rtl/>
        </w:rPr>
        <w:t xml:space="preserve">לדבריו, </w:t>
      </w:r>
      <w:r>
        <w:rPr>
          <w:rFonts w:ascii="Arial" w:hAnsi="Arial"/>
          <w:rtl/>
        </w:rPr>
        <w:t xml:space="preserve">תמורת 10,000 ₪. הסניגור טען כי הנאשם הודה בביצוע העבירה בהזדמנות הראשונה ובכך חסך זמן ציבורי יקר. כן טען כי הנאשם עבר כברת דרך ארוכה ומטלטלת מיום מעצרו, כאשר במהלך המעצר הותקף על ידי עצור אחר </w:t>
      </w:r>
      <w:r>
        <w:rPr>
          <w:rFonts w:ascii="Arial" w:hAnsi="Arial" w:hint="cs"/>
          <w:rtl/>
        </w:rPr>
        <w:t>שנשך</w:t>
      </w:r>
      <w:r>
        <w:rPr>
          <w:rFonts w:ascii="Arial" w:hAnsi="Arial"/>
          <w:rtl/>
        </w:rPr>
        <w:t xml:space="preserve"> לו את האוזן, וזו תהיה עבורו צלקת לכל החיים. הסניגור תיאר כי הנאשם לראשונה מזה 15 שנים נקי מסמים כבר מספר חודשים, עושה דרך במעצר, התחיל את דרכו ב"צוללת", משם עבר לתא השגחה וכעת נמצא באגף 1 כאסיר עבודה, שם הוא מתקדם בצורה משמעותית וחיובית, מתפקד, משתף פעולה ועושה כל שביכולתו על מנת לשנות את דרכיו. עוד תיאר הסניגור כי צילומי הווידאו של הנאשם בעת ביצוע העבירה </w:t>
      </w:r>
      <w:r>
        <w:rPr>
          <w:rFonts w:ascii="Arial" w:hAnsi="Arial"/>
          <w:rtl/>
        </w:rPr>
        <w:lastRenderedPageBreak/>
        <w:t>פורסמו בערוצי התקשורת, עוד בטרם היה מיוצג, וגם לכך יש משמעות בהקשר לסבל הנפשי שהוא ומשפחתו חוו.</w:t>
      </w:r>
    </w:p>
    <w:p w14:paraId="51D8A468" w14:textId="77777777" w:rsidR="00505CF9" w:rsidRDefault="00505CF9" w:rsidP="00505CF9">
      <w:pPr>
        <w:spacing w:after="240" w:line="360" w:lineRule="auto"/>
        <w:ind w:left="720" w:hanging="720"/>
        <w:jc w:val="both"/>
        <w:rPr>
          <w:rFonts w:ascii="Arial" w:hAnsi="Arial"/>
          <w:rtl/>
        </w:rPr>
      </w:pPr>
      <w:r>
        <w:rPr>
          <w:rFonts w:ascii="Arial" w:hAnsi="Arial"/>
          <w:rtl/>
        </w:rPr>
        <w:tab/>
        <w:t>הסניגור טען, כי מתחם הענישה הראוי בתיק זה צריך לנוע בין 30 ל- 46 חודשים</w:t>
      </w:r>
      <w:r>
        <w:rPr>
          <w:rFonts w:ascii="Arial" w:hAnsi="Arial" w:hint="cs"/>
          <w:rtl/>
        </w:rPr>
        <w:t xml:space="preserve"> וסבר כי יש מקום למקמו בתחתית המתחם באופן שיאפשר לו לשקם את חייו.</w:t>
      </w:r>
    </w:p>
    <w:p w14:paraId="7F27FF0C" w14:textId="77777777" w:rsidR="00505CF9" w:rsidRDefault="00505CF9" w:rsidP="00505CF9">
      <w:pPr>
        <w:spacing w:after="240" w:line="360" w:lineRule="auto"/>
        <w:ind w:left="720" w:hanging="720"/>
        <w:jc w:val="both"/>
        <w:rPr>
          <w:rFonts w:ascii="Arial" w:hAnsi="Arial"/>
          <w:rtl/>
        </w:rPr>
      </w:pPr>
      <w:r>
        <w:rPr>
          <w:rFonts w:ascii="Arial" w:hAnsi="Arial"/>
          <w:rtl/>
        </w:rPr>
        <w:t>6.</w:t>
      </w:r>
      <w:r>
        <w:rPr>
          <w:rFonts w:ascii="Arial" w:hAnsi="Arial"/>
          <w:rtl/>
        </w:rPr>
        <w:tab/>
        <w:t>הנאשם בדבריו אמר: "</w:t>
      </w:r>
      <w:r>
        <w:rPr>
          <w:rFonts w:ascii="Arial" w:hAnsi="Arial"/>
          <w:b/>
          <w:bCs/>
          <w:rtl/>
        </w:rPr>
        <w:t>אני מתנצל, גם בפני המשפחה שלי. לא ידעתי להבדיל בין טוב לרע. הייתי במצב הכי שפל שהיה לי בחיים. אני כבר חצי שנה לא נוגע בשום דבר, צר לי רק על המשפחה שלי. אני עובד במעצר, קם כל יום, משתתף בקבוצות. אני עובד במפעל מחוץ לאוהלי קידר, משפץ ארוניות, נעליים של צבא, קסדות. כל מה שיש אני עושה, אני משתלב בכל מקום ואמשיך לעשות מה שצריך</w:t>
      </w:r>
      <w:r>
        <w:rPr>
          <w:rFonts w:ascii="Arial" w:hAnsi="Arial"/>
          <w:rtl/>
        </w:rPr>
        <w:t>."</w:t>
      </w:r>
    </w:p>
    <w:p w14:paraId="3C707B53" w14:textId="77777777" w:rsidR="00505CF9" w:rsidRDefault="00505CF9" w:rsidP="00505CF9">
      <w:pPr>
        <w:spacing w:after="240" w:line="360" w:lineRule="auto"/>
        <w:ind w:left="720" w:hanging="720"/>
        <w:jc w:val="both"/>
        <w:rPr>
          <w:rFonts w:ascii="Arial" w:hAnsi="Arial"/>
          <w:u w:val="single"/>
          <w:rtl/>
        </w:rPr>
      </w:pPr>
      <w:r>
        <w:rPr>
          <w:rFonts w:ascii="Arial" w:hAnsi="Arial"/>
          <w:rtl/>
        </w:rPr>
        <w:tab/>
      </w:r>
      <w:r>
        <w:rPr>
          <w:rFonts w:ascii="Arial" w:hAnsi="Arial"/>
          <w:u w:val="single"/>
          <w:rtl/>
        </w:rPr>
        <w:t>דיון והכרעה</w:t>
      </w:r>
    </w:p>
    <w:p w14:paraId="423804AE" w14:textId="77777777" w:rsidR="00505CF9" w:rsidRDefault="00505CF9" w:rsidP="00505CF9">
      <w:pPr>
        <w:spacing w:after="240" w:line="360" w:lineRule="auto"/>
        <w:ind w:left="720" w:hanging="720"/>
        <w:jc w:val="both"/>
        <w:rPr>
          <w:rFonts w:ascii="Arial" w:hAnsi="Arial"/>
          <w:rtl/>
        </w:rPr>
      </w:pPr>
      <w:r>
        <w:rPr>
          <w:rFonts w:ascii="Arial" w:hAnsi="Arial"/>
          <w:rtl/>
        </w:rPr>
        <w:t>7.</w:t>
      </w:r>
      <w:r>
        <w:rPr>
          <w:rFonts w:ascii="Arial" w:hAnsi="Arial"/>
          <w:rtl/>
        </w:rPr>
        <w:tab/>
        <w:t>לצורך קביעת מתחם העונש ההולם יש להתחשב בערך החברתי שנפגע, במידת הפגיעה בו, במדיניות הענישה הנוהגת ובנסיבות הקשורות בביצוע העבירה.</w:t>
      </w:r>
    </w:p>
    <w:p w14:paraId="7A1865C4" w14:textId="77777777" w:rsidR="00505CF9" w:rsidRDefault="00505CF9" w:rsidP="00505CF9">
      <w:pPr>
        <w:spacing w:after="240" w:line="360" w:lineRule="auto"/>
        <w:ind w:left="720" w:hanging="720"/>
        <w:jc w:val="both"/>
        <w:rPr>
          <w:rFonts w:ascii="Arial" w:hAnsi="Arial"/>
          <w:rtl/>
        </w:rPr>
      </w:pPr>
      <w:r>
        <w:rPr>
          <w:rFonts w:ascii="Arial" w:hAnsi="Arial"/>
          <w:rtl/>
        </w:rPr>
        <w:t>8.</w:t>
      </w:r>
      <w:r>
        <w:rPr>
          <w:rFonts w:ascii="Arial" w:hAnsi="Arial"/>
          <w:rtl/>
        </w:rPr>
        <w:tab/>
      </w:r>
      <w:r>
        <w:rPr>
          <w:rFonts w:ascii="Arial" w:hAnsi="Arial" w:hint="cs"/>
          <w:rtl/>
        </w:rPr>
        <w:t xml:space="preserve">דומה שאין צורך להרחיב אודות ההשלכות הבריאותיות והחברתיות הנובעות משימוש בסמים, ועל החומרה הייתרה הקיימת בעבירה של יבוא סם מסוכן, וראה בהקשר זה </w:t>
      </w:r>
      <w:hyperlink r:id="rId12" w:history="1">
        <w:r w:rsidR="005F7964" w:rsidRPr="005F7964">
          <w:rPr>
            <w:rFonts w:ascii="Arial" w:hAnsi="Arial"/>
            <w:color w:val="0000FF"/>
            <w:u w:val="single"/>
            <w:rtl/>
          </w:rPr>
          <w:t>ע"פ 3249/12</w:t>
        </w:r>
      </w:hyperlink>
      <w:r>
        <w:rPr>
          <w:rFonts w:ascii="Arial" w:hAnsi="Arial" w:hint="cs"/>
          <w:rtl/>
        </w:rPr>
        <w:t xml:space="preserve"> </w:t>
      </w:r>
      <w:r w:rsidRPr="00F52064">
        <w:rPr>
          <w:rFonts w:ascii="Arial" w:hAnsi="Arial" w:hint="cs"/>
          <w:b/>
          <w:bCs/>
          <w:rtl/>
        </w:rPr>
        <w:t>בנאום נ' מדינת ישראל</w:t>
      </w:r>
      <w:r>
        <w:rPr>
          <w:rFonts w:ascii="Arial" w:hAnsi="Arial" w:hint="cs"/>
          <w:rtl/>
        </w:rPr>
        <w:t xml:space="preserve"> (13.5.2013). </w:t>
      </w:r>
      <w:r>
        <w:rPr>
          <w:rFonts w:ascii="Arial" w:hAnsi="Arial"/>
          <w:rtl/>
        </w:rPr>
        <w:t>הנאשם פגע</w:t>
      </w:r>
      <w:r>
        <w:rPr>
          <w:rFonts w:ascii="Arial" w:hAnsi="Arial" w:hint="cs"/>
          <w:rtl/>
        </w:rPr>
        <w:t xml:space="preserve"> פגיעה ניכרת</w:t>
      </w:r>
      <w:r>
        <w:rPr>
          <w:rFonts w:ascii="Arial" w:hAnsi="Arial"/>
          <w:rtl/>
        </w:rPr>
        <w:t xml:space="preserve"> בערך המוגן של הגנה על שלום הציבור ובריאותו מפני הנזקים הנגרמים כתוצאה משימוש בסמים, בפרט כאשר מדובר על סמים מסוג קטמין ו- </w:t>
      </w:r>
      <w:r>
        <w:rPr>
          <w:rFonts w:ascii="Arial" w:hAnsi="Arial"/>
        </w:rPr>
        <w:t>MDMA</w:t>
      </w:r>
      <w:r>
        <w:rPr>
          <w:rFonts w:ascii="Arial" w:hAnsi="Arial"/>
          <w:rtl/>
        </w:rPr>
        <w:t xml:space="preserve"> </w:t>
      </w:r>
      <w:r>
        <w:rPr>
          <w:rFonts w:ascii="Arial" w:hAnsi="Arial" w:hint="cs"/>
          <w:rtl/>
        </w:rPr>
        <w:t xml:space="preserve">בכמות משמעותית של 12.9 ק"ג. </w:t>
      </w:r>
    </w:p>
    <w:p w14:paraId="15051940" w14:textId="77777777" w:rsidR="00505CF9" w:rsidRDefault="00505CF9" w:rsidP="00505CF9">
      <w:pPr>
        <w:spacing w:after="240" w:line="360" w:lineRule="auto"/>
        <w:ind w:left="720" w:hanging="720"/>
        <w:jc w:val="both"/>
        <w:rPr>
          <w:rFonts w:ascii="Arial" w:hAnsi="Arial"/>
          <w:rtl/>
        </w:rPr>
      </w:pPr>
      <w:r>
        <w:rPr>
          <w:rFonts w:ascii="Arial" w:hAnsi="Arial"/>
          <w:rtl/>
        </w:rPr>
        <w:tab/>
        <w:t>באשר לנסיבות הקשורות בביצוע העבירה, אציין כי בבסיס עבירת הייבוא</w:t>
      </w:r>
      <w:r>
        <w:rPr>
          <w:rFonts w:ascii="Arial" w:hAnsi="Arial" w:hint="cs"/>
          <w:rtl/>
        </w:rPr>
        <w:t>,</w:t>
      </w:r>
      <w:r>
        <w:rPr>
          <w:rFonts w:ascii="Arial" w:hAnsi="Arial"/>
          <w:rtl/>
        </w:rPr>
        <w:t xml:space="preserve"> כפי שתוארה בכתב האישום המתוקן עולה מימד של תכנון מראש. פן אחד של התכנון בא לידי ביטוי ברכישת כרטיסי הטיסה </w:t>
      </w:r>
      <w:r>
        <w:rPr>
          <w:rFonts w:ascii="Arial" w:hAnsi="Arial" w:hint="cs"/>
          <w:rtl/>
        </w:rPr>
        <w:t xml:space="preserve">ובמעורבותו של </w:t>
      </w:r>
      <w:r>
        <w:rPr>
          <w:rFonts w:ascii="Arial" w:hAnsi="Arial"/>
          <w:rtl/>
        </w:rPr>
        <w:t>אדם נוסף לצורך ביצוע העבירה. פן נוסף מתבטא באופן הבאתם של הסמים, כאשר הם מוסלקים בתוך מזוודה בעלת דופן כפול</w:t>
      </w:r>
      <w:r>
        <w:rPr>
          <w:rFonts w:ascii="Arial" w:hAnsi="Arial" w:hint="cs"/>
          <w:rtl/>
        </w:rPr>
        <w:t>,</w:t>
      </w:r>
      <w:r>
        <w:rPr>
          <w:rFonts w:ascii="Arial" w:hAnsi="Arial"/>
          <w:rtl/>
        </w:rPr>
        <w:t xml:space="preserve"> ארוזים בשקיות וואקום ובהן כמות משמעותית של סמים: 3.4 ק"ג קטמין ו-9.5 ק"ג </w:t>
      </w:r>
      <w:r>
        <w:rPr>
          <w:rFonts w:ascii="Arial" w:hAnsi="Arial"/>
        </w:rPr>
        <w:t>MDMA</w:t>
      </w:r>
      <w:r>
        <w:rPr>
          <w:rFonts w:ascii="Arial" w:hAnsi="Arial"/>
          <w:rtl/>
        </w:rPr>
        <w:t>.</w:t>
      </w:r>
    </w:p>
    <w:p w14:paraId="7FA66844" w14:textId="77777777" w:rsidR="00505CF9" w:rsidRDefault="00505CF9" w:rsidP="00505CF9">
      <w:pPr>
        <w:spacing w:after="240" w:line="360" w:lineRule="auto"/>
        <w:ind w:left="720" w:hanging="720"/>
        <w:jc w:val="both"/>
        <w:rPr>
          <w:rFonts w:ascii="Arial" w:hAnsi="Arial"/>
          <w:rtl/>
        </w:rPr>
      </w:pPr>
      <w:r>
        <w:rPr>
          <w:rFonts w:ascii="Arial" w:hAnsi="Arial"/>
          <w:rtl/>
        </w:rPr>
        <w:tab/>
        <w:t xml:space="preserve">לצד האמור, </w:t>
      </w:r>
      <w:r>
        <w:rPr>
          <w:rFonts w:ascii="Arial" w:hAnsi="Arial" w:hint="cs"/>
          <w:rtl/>
        </w:rPr>
        <w:t>מכלל הנתונים</w:t>
      </w:r>
      <w:r>
        <w:rPr>
          <w:rFonts w:ascii="Arial" w:hAnsi="Arial"/>
          <w:rtl/>
        </w:rPr>
        <w:t xml:space="preserve"> עולה כי מעורבותו של הנאשם בשרשרת הפצת הסם התמצתה בתפקידו כבלדר, </w:t>
      </w:r>
      <w:r>
        <w:rPr>
          <w:rFonts w:ascii="Arial" w:hAnsi="Arial" w:hint="cs"/>
          <w:rtl/>
        </w:rPr>
        <w:t>מסקנה המתיישבת גם עם נתוניו המוחלשים של הנאשם והעובדה כי באותה תקופה היה דר רחוב. בנוסף, יש להתחשב בכך שבסופו של יום, הסמים נתפסו ולא הופצו כך שפוטנציאל הנזק לא התממש.</w:t>
      </w:r>
    </w:p>
    <w:p w14:paraId="2DFAE580" w14:textId="77777777" w:rsidR="00505CF9" w:rsidRDefault="00505CF9" w:rsidP="00505CF9">
      <w:pPr>
        <w:spacing w:after="240" w:line="360" w:lineRule="auto"/>
        <w:ind w:left="720" w:hanging="720"/>
        <w:jc w:val="both"/>
        <w:rPr>
          <w:rFonts w:ascii="Arial" w:hAnsi="Arial"/>
          <w:rtl/>
        </w:rPr>
      </w:pPr>
      <w:r>
        <w:rPr>
          <w:rFonts w:ascii="Arial" w:hAnsi="Arial"/>
          <w:rtl/>
        </w:rPr>
        <w:t>9.</w:t>
      </w:r>
      <w:r>
        <w:rPr>
          <w:rFonts w:ascii="Arial" w:hAnsi="Arial"/>
          <w:rtl/>
        </w:rPr>
        <w:tab/>
      </w:r>
      <w:r>
        <w:rPr>
          <w:rFonts w:ascii="Arial" w:hAnsi="Arial" w:hint="cs"/>
          <w:rtl/>
        </w:rPr>
        <w:t>ביחס למדיניות הענישה הנוהגת ראיתי להפנות לפסקי הדין הבאים:</w:t>
      </w:r>
    </w:p>
    <w:p w14:paraId="0D432F74" w14:textId="77777777" w:rsidR="00505CF9" w:rsidRPr="00383EBC" w:rsidRDefault="00505CF9" w:rsidP="00505CF9">
      <w:pPr>
        <w:spacing w:after="240" w:line="360" w:lineRule="auto"/>
        <w:ind w:left="720" w:hanging="720"/>
        <w:jc w:val="both"/>
        <w:rPr>
          <w:rFonts w:ascii="Arial" w:hAnsi="Arial"/>
          <w:rtl/>
        </w:rPr>
      </w:pPr>
      <w:r>
        <w:rPr>
          <w:rFonts w:ascii="Arial" w:hAnsi="Arial"/>
          <w:rtl/>
        </w:rPr>
        <w:tab/>
      </w:r>
      <w:hyperlink r:id="rId13" w:history="1">
        <w:r w:rsidR="005F7964" w:rsidRPr="005F7964">
          <w:rPr>
            <w:color w:val="0000FF"/>
            <w:u w:val="single"/>
            <w:rtl/>
          </w:rPr>
          <w:t>ע"פ 3006/23</w:t>
        </w:r>
      </w:hyperlink>
      <w:r w:rsidRPr="00383EBC">
        <w:rPr>
          <w:color w:val="000000"/>
          <w:rtl/>
        </w:rPr>
        <w:t xml:space="preserve"> </w:t>
      </w:r>
      <w:r w:rsidRPr="00383EBC">
        <w:rPr>
          <w:b/>
          <w:bCs/>
          <w:color w:val="000000"/>
          <w:rtl/>
        </w:rPr>
        <w:t>רם נ' מדינת ישראל</w:t>
      </w:r>
      <w:r w:rsidRPr="00383EBC">
        <w:rPr>
          <w:color w:val="000000"/>
          <w:rtl/>
        </w:rPr>
        <w:t xml:space="preserve"> (13.12.</w:t>
      </w:r>
      <w:r>
        <w:rPr>
          <w:rFonts w:hint="cs"/>
          <w:color w:val="000000"/>
          <w:rtl/>
        </w:rPr>
        <w:t>20</w:t>
      </w:r>
      <w:r w:rsidRPr="00383EBC">
        <w:rPr>
          <w:color w:val="000000"/>
          <w:rtl/>
        </w:rPr>
        <w:t xml:space="preserve">23) </w:t>
      </w:r>
      <w:r w:rsidRPr="00383EBC">
        <w:rPr>
          <w:rFonts w:hint="cs"/>
          <w:color w:val="000000"/>
          <w:rtl/>
        </w:rPr>
        <w:t xml:space="preserve">- </w:t>
      </w:r>
      <w:r>
        <w:rPr>
          <w:rFonts w:hint="cs"/>
          <w:color w:val="000000"/>
          <w:rtl/>
        </w:rPr>
        <w:t>ה</w:t>
      </w:r>
      <w:r w:rsidRPr="00383EBC">
        <w:rPr>
          <w:color w:val="000000"/>
          <w:rtl/>
        </w:rPr>
        <w:t>נאשם הורשע בייבוא 26,656 טבליות</w:t>
      </w:r>
      <w:r w:rsidRPr="00383EBC">
        <w:rPr>
          <w:color w:val="000000"/>
        </w:rPr>
        <w:t xml:space="preserve"> MDMA </w:t>
      </w:r>
      <w:r w:rsidRPr="00383EBC">
        <w:rPr>
          <w:color w:val="000000"/>
          <w:rtl/>
        </w:rPr>
        <w:t xml:space="preserve">שהוטמנו בתוך תחתית כפולה במזוודתו. עוד הורשע באיומים והטרדה באמצעות מתקן בזק. נקבע </w:t>
      </w:r>
      <w:r w:rsidRPr="00383EBC">
        <w:rPr>
          <w:b/>
          <w:bCs/>
          <w:color w:val="000000"/>
          <w:rtl/>
        </w:rPr>
        <w:t xml:space="preserve">מתחם </w:t>
      </w:r>
      <w:r w:rsidRPr="00383EBC">
        <w:rPr>
          <w:rFonts w:hint="cs"/>
          <w:b/>
          <w:bCs/>
          <w:color w:val="000000"/>
          <w:rtl/>
        </w:rPr>
        <w:t>ה</w:t>
      </w:r>
      <w:r w:rsidRPr="00383EBC">
        <w:rPr>
          <w:b/>
          <w:bCs/>
          <w:color w:val="000000"/>
          <w:rtl/>
        </w:rPr>
        <w:t>נע בין 78-48 חודשי מאסר</w:t>
      </w:r>
      <w:r w:rsidRPr="00383EBC">
        <w:rPr>
          <w:color w:val="000000"/>
          <w:rtl/>
        </w:rPr>
        <w:t xml:space="preserve">. הנאשם עבר הליך גמילה מוצלח, שירות המבחן המליץ בעניינו על ענישה הכוללת צו של"צ וצו מבחן. המאשימה אימצה את המלצת שירות המבחן לענישה שיקומית ועתרה למאסר בדרך של עבודות שירות. הנאשם נדון לששה חודשי </w:t>
      </w:r>
      <w:r>
        <w:rPr>
          <w:rFonts w:hint="cs"/>
          <w:color w:val="000000"/>
          <w:rtl/>
        </w:rPr>
        <w:t xml:space="preserve">מאסר לריצוי בדרך של </w:t>
      </w:r>
      <w:r w:rsidRPr="00383EBC">
        <w:rPr>
          <w:color w:val="000000"/>
          <w:rtl/>
        </w:rPr>
        <w:t xml:space="preserve">עבודות שירות. ערעור הגנה </w:t>
      </w:r>
      <w:r>
        <w:rPr>
          <w:rFonts w:hint="cs"/>
          <w:color w:val="000000"/>
          <w:rtl/>
        </w:rPr>
        <w:t>נ</w:t>
      </w:r>
      <w:r>
        <w:rPr>
          <w:color w:val="000000"/>
          <w:rtl/>
        </w:rPr>
        <w:t>דח</w:t>
      </w:r>
      <w:r>
        <w:rPr>
          <w:rFonts w:hint="cs"/>
          <w:color w:val="000000"/>
          <w:rtl/>
        </w:rPr>
        <w:t>ה.</w:t>
      </w:r>
    </w:p>
    <w:p w14:paraId="65802159" w14:textId="77777777" w:rsidR="00505CF9" w:rsidRPr="004D63C5" w:rsidRDefault="00505CF9" w:rsidP="00505CF9">
      <w:pPr>
        <w:spacing w:after="240" w:line="360" w:lineRule="auto"/>
        <w:ind w:left="720" w:hanging="720"/>
        <w:jc w:val="both"/>
        <w:rPr>
          <w:rFonts w:ascii="Arial" w:hAnsi="Arial"/>
        </w:rPr>
      </w:pPr>
      <w:r>
        <w:rPr>
          <w:rFonts w:ascii="Arial" w:hAnsi="Arial"/>
          <w:rtl/>
        </w:rPr>
        <w:tab/>
      </w:r>
      <w:hyperlink r:id="rId14" w:history="1">
        <w:r w:rsidR="005F7964" w:rsidRPr="005F7964">
          <w:rPr>
            <w:rFonts w:ascii="Arial" w:hAnsi="Arial"/>
            <w:color w:val="0000FF"/>
            <w:u w:val="single"/>
            <w:rtl/>
          </w:rPr>
          <w:t>ע"פ 6497/19</w:t>
        </w:r>
      </w:hyperlink>
      <w:r w:rsidRPr="004D63C5">
        <w:rPr>
          <w:rFonts w:ascii="Arial" w:hAnsi="Arial" w:hint="cs"/>
          <w:rtl/>
        </w:rPr>
        <w:t xml:space="preserve"> </w:t>
      </w:r>
      <w:r w:rsidRPr="004D63C5">
        <w:rPr>
          <w:rFonts w:ascii="Arial" w:hAnsi="Arial" w:hint="cs"/>
          <w:b/>
          <w:bCs/>
          <w:rtl/>
        </w:rPr>
        <w:t>אורן נ' מדינת ישראל</w:t>
      </w:r>
      <w:r w:rsidRPr="004D63C5">
        <w:rPr>
          <w:rFonts w:ascii="Arial" w:hAnsi="Arial" w:hint="cs"/>
          <w:rtl/>
        </w:rPr>
        <w:t xml:space="preserve"> (1.</w:t>
      </w:r>
      <w:r>
        <w:rPr>
          <w:rFonts w:ascii="Arial" w:hAnsi="Arial" w:hint="cs"/>
          <w:rtl/>
        </w:rPr>
        <w:t xml:space="preserve">6.2020) - </w:t>
      </w:r>
      <w:r w:rsidRPr="001E0B46">
        <w:rPr>
          <w:rFonts w:ascii="Arial" w:hAnsi="Arial"/>
          <w:rtl/>
        </w:rPr>
        <w:t>נדונו שלושה נאשמים בעבירות של ייבוא סם מסוג</w:t>
      </w:r>
      <w:r w:rsidRPr="001E0B46">
        <w:rPr>
          <w:rFonts w:ascii="Arial" w:hAnsi="Arial"/>
        </w:rPr>
        <w:t xml:space="preserve"> MDMA </w:t>
      </w:r>
      <w:r w:rsidRPr="001E0B46">
        <w:rPr>
          <w:rFonts w:ascii="Arial" w:hAnsi="Arial"/>
          <w:rtl/>
        </w:rPr>
        <w:t xml:space="preserve">במשקל </w:t>
      </w:r>
      <w:r>
        <w:rPr>
          <w:rFonts w:ascii="Arial" w:hAnsi="Arial" w:hint="cs"/>
          <w:rtl/>
        </w:rPr>
        <w:t>של מעל 10 ק"ג</w:t>
      </w:r>
      <w:r w:rsidRPr="001E0B46">
        <w:rPr>
          <w:rFonts w:ascii="Arial" w:hAnsi="Arial"/>
          <w:rtl/>
        </w:rPr>
        <w:t xml:space="preserve">. </w:t>
      </w:r>
      <w:r>
        <w:rPr>
          <w:rFonts w:ascii="Arial" w:hAnsi="Arial" w:hint="cs"/>
          <w:rtl/>
        </w:rPr>
        <w:t>בעניין ה</w:t>
      </w:r>
      <w:r w:rsidRPr="001E0B46">
        <w:rPr>
          <w:rFonts w:ascii="Arial" w:hAnsi="Arial"/>
          <w:rtl/>
        </w:rPr>
        <w:t>נאשם המרכזי</w:t>
      </w:r>
      <w:r>
        <w:rPr>
          <w:rFonts w:ascii="Arial" w:hAnsi="Arial" w:hint="cs"/>
          <w:rtl/>
        </w:rPr>
        <w:t xml:space="preserve"> שניהל את פלטפורמת הייבוא</w:t>
      </w:r>
      <w:r w:rsidRPr="001E0B46">
        <w:rPr>
          <w:rFonts w:ascii="Arial" w:hAnsi="Arial"/>
          <w:rtl/>
        </w:rPr>
        <w:t xml:space="preserve"> נקבע מתחם </w:t>
      </w:r>
      <w:r>
        <w:rPr>
          <w:rFonts w:ascii="Arial" w:hAnsi="Arial" w:hint="cs"/>
          <w:rtl/>
        </w:rPr>
        <w:t>ה</w:t>
      </w:r>
      <w:r w:rsidRPr="001E0B46">
        <w:rPr>
          <w:rFonts w:ascii="Arial" w:hAnsi="Arial"/>
          <w:rtl/>
        </w:rPr>
        <w:t>נע בין 4.5</w:t>
      </w:r>
      <w:r>
        <w:rPr>
          <w:rFonts w:ascii="Arial" w:hAnsi="Arial" w:hint="cs"/>
          <w:rtl/>
        </w:rPr>
        <w:t xml:space="preserve"> ל-</w:t>
      </w:r>
      <w:r w:rsidRPr="001E0B46">
        <w:rPr>
          <w:rFonts w:ascii="Arial" w:hAnsi="Arial"/>
          <w:rtl/>
        </w:rPr>
        <w:t xml:space="preserve">7 שנות מאסר, בית המשפט </w:t>
      </w:r>
      <w:r>
        <w:rPr>
          <w:rFonts w:ascii="Arial" w:hAnsi="Arial" w:hint="cs"/>
          <w:rtl/>
        </w:rPr>
        <w:t xml:space="preserve">המחוזי </w:t>
      </w:r>
      <w:r w:rsidRPr="001E0B46">
        <w:rPr>
          <w:rFonts w:ascii="Arial" w:hAnsi="Arial"/>
          <w:rtl/>
        </w:rPr>
        <w:t>מצא לחרוג מהמתחם משיקולי שיק</w:t>
      </w:r>
      <w:r>
        <w:rPr>
          <w:rFonts w:ascii="Arial" w:hAnsi="Arial"/>
          <w:rtl/>
        </w:rPr>
        <w:t>ום וגזר עליו 42 חודשי מאסר.</w:t>
      </w:r>
      <w:r>
        <w:rPr>
          <w:rFonts w:ascii="Arial" w:hAnsi="Arial" w:hint="cs"/>
          <w:rtl/>
        </w:rPr>
        <w:t xml:space="preserve"> </w:t>
      </w:r>
      <w:r w:rsidRPr="004D63C5">
        <w:rPr>
          <w:rFonts w:ascii="Arial" w:hAnsi="Arial" w:hint="cs"/>
          <w:rtl/>
        </w:rPr>
        <w:t>ערעור שהוגש לבית המשפט העליון נדחה, תוך שבית המשפט הביע את התרשמותו מהתהליך הטיפולי שעבר המערער.</w:t>
      </w:r>
    </w:p>
    <w:p w14:paraId="7F8C339D" w14:textId="77777777" w:rsidR="00505CF9" w:rsidRDefault="00505CF9" w:rsidP="00505CF9">
      <w:pPr>
        <w:spacing w:after="240" w:line="360" w:lineRule="auto"/>
        <w:ind w:left="720" w:hanging="720"/>
        <w:jc w:val="both"/>
        <w:rPr>
          <w:rFonts w:ascii="Arial" w:hAnsi="Arial"/>
          <w:rtl/>
        </w:rPr>
      </w:pPr>
      <w:r>
        <w:rPr>
          <w:rFonts w:ascii="Arial" w:hAnsi="Arial"/>
          <w:rtl/>
        </w:rPr>
        <w:tab/>
      </w:r>
      <w:hyperlink r:id="rId15" w:history="1">
        <w:r w:rsidR="005F7964" w:rsidRPr="005F7964">
          <w:rPr>
            <w:rFonts w:ascii="Arial" w:hAnsi="Arial"/>
            <w:color w:val="0000FF"/>
            <w:u w:val="single"/>
            <w:rtl/>
          </w:rPr>
          <w:t>ע"פ 1901/19</w:t>
        </w:r>
      </w:hyperlink>
      <w:r w:rsidRPr="004D63C5">
        <w:rPr>
          <w:rFonts w:ascii="Arial" w:hAnsi="Arial" w:hint="cs"/>
          <w:rtl/>
        </w:rPr>
        <w:t xml:space="preserve"> </w:t>
      </w:r>
      <w:r w:rsidRPr="00C844AD">
        <w:rPr>
          <w:rFonts w:ascii="Arial" w:hAnsi="Arial" w:hint="cs"/>
          <w:b/>
          <w:bCs/>
          <w:rtl/>
        </w:rPr>
        <w:t>אסולין נ' מדינת ישראל</w:t>
      </w:r>
      <w:r w:rsidRPr="003A3FEB">
        <w:rPr>
          <w:rFonts w:ascii="Arial" w:hAnsi="Arial" w:hint="cs"/>
          <w:rtl/>
        </w:rPr>
        <w:t xml:space="preserve"> </w:t>
      </w:r>
      <w:r>
        <w:rPr>
          <w:rFonts w:ascii="Arial" w:hAnsi="Arial" w:hint="cs"/>
          <w:rtl/>
        </w:rPr>
        <w:t xml:space="preserve">(31.5.2020) - </w:t>
      </w:r>
      <w:r w:rsidRPr="00C844AD">
        <w:rPr>
          <w:rFonts w:ascii="Arial" w:hAnsi="Arial" w:hint="cs"/>
          <w:b/>
          <w:bCs/>
          <w:rtl/>
        </w:rPr>
        <w:t>נקבע מתחם הנע בין 54 ל-90 חודשי מאסר</w:t>
      </w:r>
      <w:r w:rsidRPr="004D63C5">
        <w:rPr>
          <w:rFonts w:ascii="Arial" w:hAnsi="Arial" w:hint="cs"/>
          <w:rtl/>
        </w:rPr>
        <w:t xml:space="preserve">, וזאת בגין ייבוא 10 ק"ג של סם מסוכן מסוג </w:t>
      </w:r>
      <w:r w:rsidRPr="004D63C5">
        <w:rPr>
          <w:rFonts w:ascii="Arial" w:hAnsi="Arial"/>
        </w:rPr>
        <w:t>MDMA</w:t>
      </w:r>
      <w:r>
        <w:rPr>
          <w:rFonts w:ascii="Arial" w:hAnsi="Arial" w:hint="cs"/>
          <w:rtl/>
        </w:rPr>
        <w:t xml:space="preserve"> </w:t>
      </w:r>
      <w:r w:rsidRPr="003A3FEB">
        <w:rPr>
          <w:rFonts w:ascii="Arial" w:hAnsi="Arial"/>
          <w:rtl/>
        </w:rPr>
        <w:t>והחזקת סם מסוכן שלא לצריכה עצמית</w:t>
      </w:r>
      <w:r w:rsidRPr="003A3FEB">
        <w:rPr>
          <w:rFonts w:ascii="Arial" w:hAnsi="Arial" w:hint="cs"/>
          <w:rtl/>
        </w:rPr>
        <w:t>.</w:t>
      </w:r>
      <w:r>
        <w:rPr>
          <w:rFonts w:ascii="Arial" w:hAnsi="Arial" w:hint="cs"/>
          <w:rtl/>
        </w:rPr>
        <w:t xml:space="preserve"> הנאשם, ללא עבר פלילי נידון ל- 54 חודשי מאסר.</w:t>
      </w:r>
    </w:p>
    <w:p w14:paraId="40A4F789" w14:textId="77777777" w:rsidR="00505CF9" w:rsidRDefault="00505CF9" w:rsidP="00505CF9">
      <w:pPr>
        <w:spacing w:after="240" w:line="360" w:lineRule="auto"/>
        <w:ind w:left="720" w:hanging="720"/>
        <w:jc w:val="both"/>
        <w:rPr>
          <w:rFonts w:ascii="Arial" w:hAnsi="Arial"/>
          <w:rtl/>
        </w:rPr>
      </w:pPr>
      <w:r>
        <w:rPr>
          <w:rFonts w:ascii="Arial" w:hAnsi="Arial"/>
          <w:rtl/>
        </w:rPr>
        <w:tab/>
      </w:r>
      <w:hyperlink r:id="rId16" w:history="1">
        <w:r w:rsidR="005F7964" w:rsidRPr="005F7964">
          <w:rPr>
            <w:rFonts w:ascii="Arial" w:hAnsi="Arial"/>
            <w:color w:val="0000FF"/>
            <w:u w:val="single"/>
            <w:rtl/>
          </w:rPr>
          <w:t>ת"פ 41833-08-23</w:t>
        </w:r>
      </w:hyperlink>
      <w:r>
        <w:rPr>
          <w:rFonts w:ascii="Arial" w:hAnsi="Arial" w:hint="cs"/>
          <w:rtl/>
        </w:rPr>
        <w:t xml:space="preserve"> </w:t>
      </w:r>
      <w:r w:rsidRPr="00AB6E90">
        <w:rPr>
          <w:rFonts w:ascii="Arial" w:hAnsi="Arial" w:hint="cs"/>
          <w:b/>
          <w:bCs/>
          <w:rtl/>
        </w:rPr>
        <w:t>מדינת ישראל נ' בן יאיר</w:t>
      </w:r>
      <w:r>
        <w:rPr>
          <w:rFonts w:ascii="Arial" w:hAnsi="Arial" w:hint="cs"/>
          <w:rtl/>
        </w:rPr>
        <w:t xml:space="preserve"> (30.4.2024) </w:t>
      </w:r>
      <w:r>
        <w:rPr>
          <w:rFonts w:ascii="Arial" w:hAnsi="Arial"/>
          <w:rtl/>
        </w:rPr>
        <w:t>–</w:t>
      </w:r>
      <w:r>
        <w:rPr>
          <w:rFonts w:ascii="Arial" w:hAnsi="Arial" w:hint="cs"/>
          <w:rtl/>
        </w:rPr>
        <w:t xml:space="preserve"> הנאשם הורשע על יסוד הודאתו במסגרת הסדר טיעון בביצוע עבירה של ייבוא סם מסוכן, בכך שטס לישראל מגרמניה כשברשותו מזוודה בעלת דופן כפולה ובה סם מסוכן מסוג קטמין במשקל של 11.4 ק"ג. בית המשפט קבע </w:t>
      </w:r>
      <w:r w:rsidRPr="00AB6E90">
        <w:rPr>
          <w:rFonts w:ascii="Arial" w:hAnsi="Arial" w:hint="cs"/>
          <w:b/>
          <w:bCs/>
          <w:rtl/>
        </w:rPr>
        <w:t>מתחם שנע בין 3 ל-7 שנים</w:t>
      </w:r>
      <w:r>
        <w:rPr>
          <w:rFonts w:ascii="Arial" w:hAnsi="Arial" w:hint="cs"/>
          <w:rtl/>
        </w:rPr>
        <w:t xml:space="preserve"> וגזר עליו עונש של 38 חודשי מאסר.</w:t>
      </w:r>
    </w:p>
    <w:p w14:paraId="13B91305" w14:textId="77777777" w:rsidR="00505CF9" w:rsidRPr="003A3FEB" w:rsidRDefault="00505CF9" w:rsidP="00505CF9">
      <w:pPr>
        <w:spacing w:after="240" w:line="360" w:lineRule="auto"/>
        <w:ind w:left="720" w:hanging="720"/>
        <w:jc w:val="both"/>
        <w:rPr>
          <w:rFonts w:ascii="Arial" w:hAnsi="Arial"/>
          <w:rtl/>
        </w:rPr>
      </w:pPr>
      <w:r>
        <w:rPr>
          <w:rFonts w:ascii="Arial" w:hAnsi="Arial"/>
          <w:rtl/>
        </w:rPr>
        <w:tab/>
      </w:r>
      <w:hyperlink r:id="rId17" w:history="1">
        <w:r w:rsidR="005F7964" w:rsidRPr="005F7964">
          <w:rPr>
            <w:rFonts w:ascii="Arial" w:hAnsi="Arial"/>
            <w:color w:val="0000FF"/>
            <w:u w:val="single"/>
            <w:rtl/>
          </w:rPr>
          <w:t>ת"פ 63413-01-22</w:t>
        </w:r>
      </w:hyperlink>
      <w:r w:rsidRPr="003A3FEB">
        <w:rPr>
          <w:rFonts w:ascii="Arial" w:hAnsi="Arial"/>
          <w:rtl/>
        </w:rPr>
        <w:t xml:space="preserve"> </w:t>
      </w:r>
      <w:r w:rsidRPr="003A3FEB">
        <w:rPr>
          <w:rFonts w:ascii="Arial" w:hAnsi="Arial"/>
          <w:b/>
          <w:bCs/>
          <w:rtl/>
        </w:rPr>
        <w:t>מדינת ישראל נ' בנימוב</w:t>
      </w:r>
      <w:r w:rsidRPr="003A3FEB">
        <w:rPr>
          <w:rFonts w:ascii="Arial" w:hAnsi="Arial"/>
          <w:rtl/>
        </w:rPr>
        <w:t xml:space="preserve"> (10.9.</w:t>
      </w:r>
      <w:r>
        <w:rPr>
          <w:rFonts w:ascii="Arial" w:hAnsi="Arial" w:hint="cs"/>
          <w:rtl/>
        </w:rPr>
        <w:t>20</w:t>
      </w:r>
      <w:r w:rsidRPr="003A3FEB">
        <w:rPr>
          <w:rFonts w:ascii="Arial" w:hAnsi="Arial"/>
          <w:rtl/>
        </w:rPr>
        <w:t xml:space="preserve">23) </w:t>
      </w:r>
      <w:r>
        <w:rPr>
          <w:rFonts w:ascii="Arial" w:hAnsi="Arial" w:hint="cs"/>
          <w:rtl/>
        </w:rPr>
        <w:t>- ה</w:t>
      </w:r>
      <w:r w:rsidRPr="003A3FEB">
        <w:rPr>
          <w:rFonts w:ascii="Arial" w:hAnsi="Arial"/>
          <w:rtl/>
        </w:rPr>
        <w:t>נאשם הורשע בייבוא 23,900 טבליות סם</w:t>
      </w:r>
      <w:r>
        <w:rPr>
          <w:rFonts w:ascii="Arial" w:hAnsi="Arial" w:hint="cs"/>
          <w:rtl/>
        </w:rPr>
        <w:t xml:space="preserve"> מסוג</w:t>
      </w:r>
      <w:r>
        <w:rPr>
          <w:rFonts w:ascii="Arial" w:hAnsi="Arial" w:hint="cs"/>
        </w:rPr>
        <w:t>M</w:t>
      </w:r>
      <w:r w:rsidRPr="003A3FEB">
        <w:rPr>
          <w:rFonts w:ascii="Arial" w:hAnsi="Arial"/>
        </w:rPr>
        <w:t xml:space="preserve">DMA </w:t>
      </w:r>
      <w:r>
        <w:rPr>
          <w:rFonts w:ascii="Arial" w:hAnsi="Arial" w:hint="cs"/>
          <w:rtl/>
        </w:rPr>
        <w:t xml:space="preserve"> </w:t>
      </w:r>
      <w:r w:rsidRPr="003A3FEB">
        <w:rPr>
          <w:rFonts w:ascii="Arial" w:hAnsi="Arial"/>
          <w:rtl/>
        </w:rPr>
        <w:t xml:space="preserve">מוסלקים בתוך מזוודה. על פי עובדות כתב האישום שימש הנאשם כבלדר. </w:t>
      </w:r>
      <w:r w:rsidRPr="003A3FEB">
        <w:rPr>
          <w:rFonts w:ascii="Arial" w:hAnsi="Arial"/>
          <w:b/>
          <w:bCs/>
          <w:rtl/>
        </w:rPr>
        <w:t xml:space="preserve">נקבע מתחם </w:t>
      </w:r>
      <w:r>
        <w:rPr>
          <w:rFonts w:ascii="Arial" w:hAnsi="Arial" w:hint="cs"/>
          <w:b/>
          <w:bCs/>
          <w:rtl/>
        </w:rPr>
        <w:t>הנ</w:t>
      </w:r>
      <w:r w:rsidRPr="003A3FEB">
        <w:rPr>
          <w:rFonts w:ascii="Arial" w:hAnsi="Arial"/>
          <w:b/>
          <w:bCs/>
          <w:rtl/>
        </w:rPr>
        <w:t>ע בין 7-4 שנים</w:t>
      </w:r>
      <w:r w:rsidRPr="003A3FEB">
        <w:rPr>
          <w:rFonts w:ascii="Arial" w:hAnsi="Arial"/>
          <w:rtl/>
        </w:rPr>
        <w:t>. בהתחשב בגילו הצעיר, העדר עבר, ניהול אורח חיים תקין עד להסתבכותו בעבירה, תסק</w:t>
      </w:r>
      <w:r>
        <w:rPr>
          <w:rFonts w:ascii="Arial" w:hAnsi="Arial"/>
          <w:rtl/>
        </w:rPr>
        <w:t>ירו חיובי אך נעדר המלצה טיפולית</w:t>
      </w:r>
      <w:r>
        <w:rPr>
          <w:rFonts w:ascii="Arial" w:hAnsi="Arial" w:hint="cs"/>
          <w:rtl/>
        </w:rPr>
        <w:t xml:space="preserve">, </w:t>
      </w:r>
      <w:r w:rsidRPr="003A3FEB">
        <w:rPr>
          <w:rFonts w:ascii="Arial" w:hAnsi="Arial"/>
          <w:rtl/>
        </w:rPr>
        <w:t>נדון למאסר בן 45 חודשים</w:t>
      </w:r>
      <w:r>
        <w:rPr>
          <w:rFonts w:ascii="Arial" w:hAnsi="Arial" w:hint="cs"/>
          <w:rtl/>
        </w:rPr>
        <w:t xml:space="preserve"> תוך שבית המשפט מציין כי יחרוג חריגה קלה מהמתחם כדי לעודד את הנאשם ולדרבן אותו להמשיך בדרכו החיובית.</w:t>
      </w:r>
    </w:p>
    <w:p w14:paraId="3E1B6EE6" w14:textId="77777777" w:rsidR="00505CF9" w:rsidRPr="004D63C5" w:rsidRDefault="00505CF9" w:rsidP="00505CF9">
      <w:pPr>
        <w:spacing w:after="240" w:line="360" w:lineRule="auto"/>
        <w:ind w:left="720" w:hanging="720"/>
        <w:jc w:val="both"/>
        <w:rPr>
          <w:rFonts w:ascii="Arial" w:hAnsi="Arial"/>
        </w:rPr>
      </w:pPr>
      <w:r>
        <w:rPr>
          <w:rFonts w:ascii="Arial" w:hAnsi="Arial"/>
          <w:rtl/>
        </w:rPr>
        <w:tab/>
      </w:r>
      <w:hyperlink r:id="rId18" w:history="1">
        <w:r w:rsidR="005F7964" w:rsidRPr="005F7964">
          <w:rPr>
            <w:rFonts w:ascii="Arial" w:hAnsi="Arial"/>
            <w:color w:val="0000FF"/>
            <w:u w:val="single"/>
            <w:rtl/>
          </w:rPr>
          <w:t>ת"פ 37958-02-19</w:t>
        </w:r>
      </w:hyperlink>
      <w:r w:rsidRPr="004D63C5">
        <w:rPr>
          <w:rFonts w:ascii="Arial" w:hAnsi="Arial" w:hint="cs"/>
          <w:rtl/>
        </w:rPr>
        <w:t xml:space="preserve"> </w:t>
      </w:r>
      <w:r w:rsidRPr="004D63C5">
        <w:rPr>
          <w:rFonts w:ascii="Arial" w:hAnsi="Arial" w:hint="cs"/>
          <w:b/>
          <w:bCs/>
          <w:rtl/>
        </w:rPr>
        <w:t xml:space="preserve">מדינת ישראל נ' וינברג </w:t>
      </w:r>
      <w:r w:rsidRPr="004D63C5">
        <w:rPr>
          <w:rFonts w:ascii="Arial" w:hAnsi="Arial" w:hint="cs"/>
          <w:rtl/>
        </w:rPr>
        <w:t xml:space="preserve">(11.2.2021) - הנאשם הורשע על יסוד הודאתו במסגרת הסדר טיעון בביצוע עבירה של ייבוא סם מסוכן, בכך שקשר קשר עם אחרים, נסע לאודסה וקיבל שם סם מסוכן מסוג </w:t>
      </w:r>
      <w:r w:rsidRPr="004D63C5">
        <w:rPr>
          <w:rFonts w:ascii="Arial" w:hAnsi="Arial"/>
        </w:rPr>
        <w:t>MDMA</w:t>
      </w:r>
      <w:r w:rsidRPr="004D63C5">
        <w:rPr>
          <w:rFonts w:ascii="Arial" w:hAnsi="Arial" w:hint="cs"/>
          <w:rtl/>
        </w:rPr>
        <w:t xml:space="preserve"> במשקל נטו של 4,966 גרם והעביר אותו לישראל כשהוא מוסלק בתוך מזוודה. בית המשפט קבע </w:t>
      </w:r>
      <w:r w:rsidRPr="004D63C5">
        <w:rPr>
          <w:rFonts w:ascii="Arial" w:hAnsi="Arial" w:hint="cs"/>
          <w:b/>
          <w:bCs/>
          <w:rtl/>
        </w:rPr>
        <w:t>מתחם שנע בין 24 ל-40 חודשי מאסר</w:t>
      </w:r>
      <w:r w:rsidRPr="004D63C5">
        <w:rPr>
          <w:rFonts w:ascii="Arial" w:hAnsi="Arial" w:hint="cs"/>
          <w:rtl/>
        </w:rPr>
        <w:t xml:space="preserve"> וחרג מהמתחם מטעמי שיקום, תוך העמדת העונש על 6 חודשי מאסר על תנאי.</w:t>
      </w:r>
    </w:p>
    <w:p w14:paraId="3D7A3D5B" w14:textId="77777777" w:rsidR="00505CF9" w:rsidRPr="004D63C5" w:rsidRDefault="00505CF9" w:rsidP="00505CF9">
      <w:pPr>
        <w:spacing w:after="240" w:line="360" w:lineRule="auto"/>
        <w:ind w:left="720" w:hanging="720"/>
        <w:jc w:val="both"/>
        <w:rPr>
          <w:rFonts w:ascii="Arial" w:hAnsi="Arial"/>
        </w:rPr>
      </w:pPr>
      <w:r>
        <w:rPr>
          <w:rFonts w:ascii="Arial" w:hAnsi="Arial"/>
          <w:rtl/>
        </w:rPr>
        <w:tab/>
      </w:r>
      <w:hyperlink r:id="rId19" w:history="1">
        <w:r w:rsidR="005F7964" w:rsidRPr="005F7964">
          <w:rPr>
            <w:rFonts w:ascii="Arial" w:hAnsi="Arial"/>
            <w:color w:val="0000FF"/>
            <w:u w:val="single"/>
            <w:rtl/>
          </w:rPr>
          <w:t>ת"פ 46786-04-18</w:t>
        </w:r>
      </w:hyperlink>
      <w:r w:rsidRPr="004D63C5">
        <w:rPr>
          <w:rFonts w:ascii="Arial" w:hAnsi="Arial" w:hint="cs"/>
          <w:rtl/>
        </w:rPr>
        <w:t xml:space="preserve"> </w:t>
      </w:r>
      <w:r w:rsidRPr="004D63C5">
        <w:rPr>
          <w:rFonts w:ascii="Arial" w:hAnsi="Arial" w:hint="cs"/>
          <w:b/>
          <w:bCs/>
          <w:rtl/>
        </w:rPr>
        <w:t>מדינת ישראל נ' יבלנוב</w:t>
      </w:r>
      <w:r w:rsidRPr="004D63C5">
        <w:rPr>
          <w:rFonts w:ascii="Arial" w:hAnsi="Arial" w:hint="cs"/>
          <w:rtl/>
        </w:rPr>
        <w:t xml:space="preserve"> (14.11.2019) - הנאשם הורשע על יסוד הודאתו בכתב אישום מתוקן, שלא במסגרת הסדר טיעון, בעבירות של קשירת קשר לפשע, יבוא סם מסוכן בצוותא חדא והחזקת סם מסוכן לצריכה עצמית. על פי עובדות כתב האישום המתוקן, בין הנאשם לאברהם קשר על רקע מכירת סמים שמכר אברהם לנאשם, על רקע זה נוצר לנאשם חוב כספי לאברהם. על מנת למחוק את החוב הסכים הנאשם לייבא סמים מאירופה לישראל, במסגרת זו קיבל כספים שיועדו למימון הליך היבוא, והכניס לארץ במזוודה בעלת דופן כפולה 31,243 טבליות של סם מסוכן מסוג </w:t>
      </w:r>
      <w:r w:rsidRPr="004D63C5">
        <w:rPr>
          <w:rFonts w:ascii="Arial" w:hAnsi="Arial"/>
        </w:rPr>
        <w:t>MDMA</w:t>
      </w:r>
      <w:r w:rsidRPr="004D63C5">
        <w:rPr>
          <w:rFonts w:ascii="Arial" w:hAnsi="Arial"/>
          <w:rtl/>
        </w:rPr>
        <w:t xml:space="preserve"> </w:t>
      </w:r>
      <w:r w:rsidRPr="004D63C5">
        <w:rPr>
          <w:rFonts w:ascii="Arial" w:hAnsi="Arial" w:hint="cs"/>
          <w:rtl/>
        </w:rPr>
        <w:t xml:space="preserve">(10.9 ק"ג). בית המשפט המחוזי קבע בעניינו </w:t>
      </w:r>
      <w:r w:rsidRPr="004D63C5">
        <w:rPr>
          <w:rFonts w:ascii="Arial" w:hAnsi="Arial" w:hint="cs"/>
          <w:b/>
          <w:bCs/>
          <w:rtl/>
        </w:rPr>
        <w:t>מתחם הנע בין 48 ל-78 חודשי מאסר</w:t>
      </w:r>
      <w:r w:rsidRPr="004D63C5">
        <w:rPr>
          <w:rFonts w:ascii="Arial" w:hAnsi="Arial" w:hint="cs"/>
          <w:rtl/>
        </w:rPr>
        <w:t xml:space="preserve"> וגזר עליו 20 חודשי מאסר, תוך חריגה מטעמי שיקום. </w:t>
      </w:r>
    </w:p>
    <w:p w14:paraId="159090B2" w14:textId="77777777" w:rsidR="00505CF9" w:rsidRDefault="00505CF9" w:rsidP="00505CF9">
      <w:pPr>
        <w:spacing w:after="240" w:line="360" w:lineRule="auto"/>
        <w:ind w:left="720" w:hanging="720"/>
        <w:jc w:val="both"/>
        <w:rPr>
          <w:rFonts w:ascii="Arial" w:hAnsi="Arial"/>
          <w:rtl/>
        </w:rPr>
      </w:pPr>
      <w:r>
        <w:rPr>
          <w:rFonts w:ascii="Arial" w:hAnsi="Arial"/>
          <w:rtl/>
        </w:rPr>
        <w:tab/>
      </w:r>
      <w:hyperlink r:id="rId20" w:history="1">
        <w:r w:rsidR="005F7964" w:rsidRPr="005F7964">
          <w:rPr>
            <w:rFonts w:ascii="Arial" w:hAnsi="Arial"/>
            <w:color w:val="0000FF"/>
            <w:u w:val="single"/>
            <w:rtl/>
          </w:rPr>
          <w:t>ת"פ 58966-01-18</w:t>
        </w:r>
      </w:hyperlink>
      <w:r w:rsidRPr="004D63C5">
        <w:rPr>
          <w:rFonts w:ascii="Arial" w:hAnsi="Arial" w:hint="cs"/>
          <w:b/>
          <w:bCs/>
          <w:rtl/>
        </w:rPr>
        <w:t xml:space="preserve"> מדינת ישראל נ' צציק</w:t>
      </w:r>
      <w:r w:rsidRPr="004D63C5">
        <w:rPr>
          <w:rFonts w:ascii="Arial" w:hAnsi="Arial" w:hint="cs"/>
          <w:rtl/>
        </w:rPr>
        <w:t xml:space="preserve"> (22.11.2018) - שם נקבע מתחם הנע בין 54 חודשי מאסר ל-90 חודשי מאסר, וזאת בגין עבירת ייבוא של סם מסוכן מסוג </w:t>
      </w:r>
      <w:r w:rsidRPr="004D63C5">
        <w:rPr>
          <w:rFonts w:ascii="Arial" w:hAnsi="Arial"/>
        </w:rPr>
        <w:t>MDMA</w:t>
      </w:r>
      <w:r w:rsidRPr="004D63C5">
        <w:rPr>
          <w:rFonts w:ascii="Arial" w:hAnsi="Arial" w:hint="cs"/>
          <w:rtl/>
        </w:rPr>
        <w:t xml:space="preserve"> במשקל 9.2 ק"ג.</w:t>
      </w:r>
    </w:p>
    <w:p w14:paraId="660BBED3" w14:textId="77777777" w:rsidR="00505CF9" w:rsidRDefault="00505CF9" w:rsidP="00505CF9">
      <w:pPr>
        <w:spacing w:after="240" w:line="360" w:lineRule="auto"/>
        <w:ind w:left="720" w:hanging="720"/>
        <w:jc w:val="both"/>
        <w:rPr>
          <w:rFonts w:ascii="Arial" w:hAnsi="Arial"/>
          <w:rtl/>
        </w:rPr>
      </w:pPr>
      <w:r>
        <w:rPr>
          <w:rFonts w:ascii="Arial" w:hAnsi="Arial" w:hint="cs"/>
          <w:rtl/>
        </w:rPr>
        <w:t>10.</w:t>
      </w:r>
      <w:r>
        <w:rPr>
          <w:rFonts w:ascii="Arial" w:hAnsi="Arial"/>
          <w:rtl/>
        </w:rPr>
        <w:tab/>
      </w:r>
      <w:r>
        <w:rPr>
          <w:rFonts w:ascii="Arial" w:hAnsi="Arial" w:hint="cs"/>
          <w:rtl/>
        </w:rPr>
        <w:t xml:space="preserve">לאור כל האמור, ובהתחשב בערכים המוגנים שנפגעו כתוצאה מביצוע העבירות, במידת הפגיעה בהם, במדיניות הענישה הנהוגה ובנסיבות הקשורות בביצוע העבירה, ראיתי לקבוע מתחם עונש הולם הנע בין 56 חודשי מאסר ועד 88 חודשי מאסר. </w:t>
      </w:r>
    </w:p>
    <w:p w14:paraId="6BA48D66" w14:textId="77777777" w:rsidR="00505CF9" w:rsidRPr="00D26298" w:rsidRDefault="00505CF9" w:rsidP="00505CF9">
      <w:pPr>
        <w:spacing w:after="240" w:line="360" w:lineRule="auto"/>
        <w:ind w:left="720" w:hanging="720"/>
        <w:jc w:val="both"/>
        <w:rPr>
          <w:rFonts w:ascii="Arial" w:hAnsi="Arial"/>
          <w:u w:val="single"/>
        </w:rPr>
      </w:pPr>
      <w:r>
        <w:rPr>
          <w:rFonts w:ascii="Arial" w:hAnsi="Arial"/>
          <w:rtl/>
        </w:rPr>
        <w:tab/>
      </w:r>
      <w:r w:rsidRPr="00D26298">
        <w:rPr>
          <w:rFonts w:ascii="Arial" w:hAnsi="Arial" w:hint="cs"/>
          <w:u w:val="single"/>
          <w:rtl/>
        </w:rPr>
        <w:t>העונש המתאים לנאשם</w:t>
      </w:r>
    </w:p>
    <w:p w14:paraId="22D17FB6" w14:textId="77777777" w:rsidR="00505CF9" w:rsidRDefault="00505CF9" w:rsidP="00505CF9">
      <w:pPr>
        <w:spacing w:after="240" w:line="360" w:lineRule="auto"/>
        <w:ind w:left="720" w:hanging="720"/>
        <w:jc w:val="both"/>
        <w:rPr>
          <w:rFonts w:ascii="David" w:hAnsi="David"/>
        </w:rPr>
      </w:pPr>
      <w:r>
        <w:rPr>
          <w:rFonts w:ascii="Arial" w:hAnsi="Arial" w:hint="cs"/>
          <w:rtl/>
        </w:rPr>
        <w:t>11.</w:t>
      </w:r>
      <w:r>
        <w:rPr>
          <w:rFonts w:ascii="Arial" w:hAnsi="Arial"/>
          <w:rtl/>
        </w:rPr>
        <w:tab/>
      </w:r>
      <w:r>
        <w:rPr>
          <w:rFonts w:ascii="David" w:hAnsi="David"/>
          <w:rtl/>
        </w:rPr>
        <w:t xml:space="preserve">בקביעת מיקומו של הנאשם בתוך מתחם העונש שנקבע, ראיתי להתייחס למאפיינים הבאים: </w:t>
      </w:r>
    </w:p>
    <w:p w14:paraId="5A1D341F" w14:textId="77777777" w:rsidR="00505CF9" w:rsidRDefault="00505CF9" w:rsidP="00505CF9">
      <w:pPr>
        <w:spacing w:after="240" w:line="360" w:lineRule="auto"/>
        <w:ind w:left="720" w:hanging="720"/>
        <w:jc w:val="both"/>
        <w:rPr>
          <w:rFonts w:ascii="David" w:hAnsi="David"/>
          <w:rtl/>
        </w:rPr>
      </w:pPr>
      <w:r>
        <w:rPr>
          <w:rFonts w:ascii="David" w:hAnsi="David"/>
          <w:rtl/>
        </w:rPr>
        <w:tab/>
      </w:r>
      <w:r>
        <w:rPr>
          <w:rFonts w:ascii="David" w:hAnsi="David"/>
          <w:b/>
          <w:bCs/>
          <w:rtl/>
        </w:rPr>
        <w:t>הודאה וקבלת אחריות</w:t>
      </w:r>
      <w:r>
        <w:rPr>
          <w:rFonts w:ascii="David" w:hAnsi="David"/>
          <w:rtl/>
        </w:rPr>
        <w:t xml:space="preserve"> - הנאשם </w:t>
      </w:r>
      <w:r>
        <w:rPr>
          <w:rFonts w:ascii="David" w:hAnsi="David" w:hint="cs"/>
          <w:rtl/>
        </w:rPr>
        <w:t>קיבל אחריות על מעשיו והודה בביצוע העבירה בשלב מוקדם של ההליך, בכך</w:t>
      </w:r>
      <w:r>
        <w:rPr>
          <w:rFonts w:ascii="David" w:hAnsi="David"/>
          <w:rtl/>
        </w:rPr>
        <w:t xml:space="preserve"> חסך בזמן</w:t>
      </w:r>
      <w:r>
        <w:rPr>
          <w:rFonts w:ascii="David" w:hAnsi="David" w:hint="cs"/>
          <w:rtl/>
        </w:rPr>
        <w:t xml:space="preserve"> </w:t>
      </w:r>
      <w:r>
        <w:rPr>
          <w:rFonts w:ascii="David" w:hAnsi="David"/>
          <w:rtl/>
        </w:rPr>
        <w:t xml:space="preserve">ציבורי יקר. יש בנתון זה כדי להשפיע לקולא על מיקומו של הנאשם במתחם הענישה. </w:t>
      </w:r>
    </w:p>
    <w:p w14:paraId="2D655C49" w14:textId="77777777" w:rsidR="00505CF9" w:rsidRDefault="00505CF9" w:rsidP="00505CF9">
      <w:pPr>
        <w:spacing w:after="240" w:line="360" w:lineRule="auto"/>
        <w:ind w:left="720" w:hanging="720"/>
        <w:jc w:val="both"/>
        <w:rPr>
          <w:rFonts w:ascii="David" w:hAnsi="David"/>
          <w:rtl/>
        </w:rPr>
      </w:pPr>
      <w:r>
        <w:rPr>
          <w:rFonts w:ascii="David" w:hAnsi="David"/>
          <w:rtl/>
        </w:rPr>
        <w:tab/>
      </w:r>
      <w:r>
        <w:rPr>
          <w:rFonts w:ascii="David" w:hAnsi="David"/>
          <w:b/>
          <w:bCs/>
          <w:rtl/>
        </w:rPr>
        <w:t>עבר פלילי</w:t>
      </w:r>
      <w:r>
        <w:rPr>
          <w:rFonts w:ascii="David" w:hAnsi="David"/>
          <w:rtl/>
        </w:rPr>
        <w:t xml:space="preserve"> - לחובתו של הנאשם שתי הרשעות</w:t>
      </w:r>
      <w:r>
        <w:rPr>
          <w:rFonts w:ascii="David" w:hAnsi="David" w:hint="cs"/>
          <w:rtl/>
        </w:rPr>
        <w:t>. האחת משנת 2017</w:t>
      </w:r>
      <w:r>
        <w:rPr>
          <w:rFonts w:ascii="David" w:hAnsi="David"/>
          <w:rtl/>
        </w:rPr>
        <w:t xml:space="preserve"> בעבירות של </w:t>
      </w:r>
      <w:r>
        <w:rPr>
          <w:rFonts w:ascii="David" w:hAnsi="David" w:hint="cs"/>
          <w:rtl/>
        </w:rPr>
        <w:t>סחיטה בכח ומתן שוחד, בגינן נידון למאסר בפועל לתקופה של 6 חודשים, השנייה משנת 2014 בעבירות של הפרעה לשוטר במילוי תפקידו, התנהגות פרועה במקום ציבורי, ואיומים, בגינן נדון למאסר בפועל לתקופה של חודש.</w:t>
      </w:r>
      <w:r>
        <w:rPr>
          <w:rFonts w:ascii="David" w:hAnsi="David"/>
          <w:rtl/>
        </w:rPr>
        <w:t xml:space="preserve"> מדובר בעבר פלילי ישן </w:t>
      </w:r>
      <w:r>
        <w:rPr>
          <w:rFonts w:ascii="David" w:hAnsi="David" w:hint="cs"/>
          <w:rtl/>
        </w:rPr>
        <w:t>יחסית ולא</w:t>
      </w:r>
      <w:r>
        <w:rPr>
          <w:rFonts w:ascii="David" w:hAnsi="David"/>
          <w:rtl/>
        </w:rPr>
        <w:t xml:space="preserve"> מכביד, ומשכך, </w:t>
      </w:r>
      <w:r>
        <w:rPr>
          <w:rFonts w:ascii="David" w:hAnsi="David" w:hint="cs"/>
          <w:rtl/>
        </w:rPr>
        <w:t xml:space="preserve">לנתון זה השפעה מועטה על </w:t>
      </w:r>
      <w:r>
        <w:rPr>
          <w:rFonts w:ascii="David" w:hAnsi="David"/>
          <w:rtl/>
        </w:rPr>
        <w:t>מיקומו של הנאשם במתחם הענישה.</w:t>
      </w:r>
    </w:p>
    <w:p w14:paraId="249219E3" w14:textId="77777777" w:rsidR="00505CF9" w:rsidRDefault="00505CF9" w:rsidP="00505CF9">
      <w:pPr>
        <w:spacing w:after="240" w:line="360" w:lineRule="auto"/>
        <w:ind w:left="720" w:hanging="720"/>
        <w:jc w:val="both"/>
        <w:rPr>
          <w:rFonts w:ascii="David" w:hAnsi="David"/>
          <w:rtl/>
        </w:rPr>
      </w:pPr>
      <w:r>
        <w:rPr>
          <w:rFonts w:ascii="David" w:hAnsi="David"/>
          <w:rtl/>
        </w:rPr>
        <w:tab/>
      </w:r>
      <w:r>
        <w:rPr>
          <w:rFonts w:ascii="David" w:hAnsi="David"/>
          <w:b/>
          <w:bCs/>
          <w:rtl/>
        </w:rPr>
        <w:t>נסיבותיו האישיות של הנאשם</w:t>
      </w:r>
      <w:r>
        <w:rPr>
          <w:rFonts w:ascii="David" w:hAnsi="David"/>
          <w:rtl/>
        </w:rPr>
        <w:t xml:space="preserve"> – </w:t>
      </w:r>
      <w:r>
        <w:rPr>
          <w:rFonts w:ascii="David" w:hAnsi="David" w:hint="cs"/>
          <w:rtl/>
        </w:rPr>
        <w:t>נתתי משקל ל</w:t>
      </w:r>
      <w:r>
        <w:rPr>
          <w:rFonts w:ascii="David" w:hAnsi="David"/>
          <w:rtl/>
        </w:rPr>
        <w:t>נסיבותיו האישיות</w:t>
      </w:r>
      <w:r>
        <w:rPr>
          <w:rFonts w:ascii="David" w:hAnsi="David" w:hint="cs"/>
          <w:rtl/>
        </w:rPr>
        <w:t>,</w:t>
      </w:r>
      <w:r>
        <w:rPr>
          <w:rFonts w:ascii="David" w:hAnsi="David"/>
          <w:rtl/>
        </w:rPr>
        <w:t xml:space="preserve"> </w:t>
      </w:r>
      <w:r>
        <w:rPr>
          <w:rFonts w:ascii="Arial" w:hAnsi="Arial" w:hint="cs"/>
          <w:rtl/>
        </w:rPr>
        <w:t xml:space="preserve">הכלכליות והמשפחתיות המורכבות של הנאשם, אשר טרם ביצוע העבירות היה דר רחוב. כמו כן נתתי דעתי גם לרצון ולמוטיבציה שהביע לשינוי דפוסיו והרגליו ולהתנהלותו החיובית במהלך תקופת המעצר, שיש בהם כדי להתיישב עם רצונו להשתקם.  </w:t>
      </w:r>
    </w:p>
    <w:p w14:paraId="13F7EA3E" w14:textId="77777777" w:rsidR="00505CF9" w:rsidRPr="00ED46FE" w:rsidRDefault="00505CF9" w:rsidP="00505CF9">
      <w:pPr>
        <w:spacing w:after="240" w:line="360" w:lineRule="auto"/>
        <w:ind w:left="720" w:hanging="720"/>
        <w:jc w:val="both"/>
        <w:rPr>
          <w:rFonts w:ascii="David" w:hAnsi="David"/>
          <w:rtl/>
        </w:rPr>
      </w:pPr>
      <w:r>
        <w:rPr>
          <w:rFonts w:ascii="David" w:hAnsi="David"/>
          <w:b/>
          <w:bCs/>
          <w:rtl/>
        </w:rPr>
        <w:tab/>
      </w:r>
      <w:r>
        <w:rPr>
          <w:rFonts w:ascii="David" w:hAnsi="David" w:hint="cs"/>
          <w:b/>
          <w:bCs/>
          <w:rtl/>
        </w:rPr>
        <w:t xml:space="preserve">מצב רפואי </w:t>
      </w:r>
      <w:r>
        <w:rPr>
          <w:rFonts w:ascii="David" w:hAnsi="David" w:hint="cs"/>
          <w:rtl/>
        </w:rPr>
        <w:t xml:space="preserve"> - אין חולק כי בהיותו נתון במעצר נחשף הנאשם לאירוע אלימות חמור במסגרתו ננשכה אוזנו על ידי אסיר אחר, באופן ובנסיבות שלא ניתן היה לחברה מחדש. הגם שלא הוגשו מסמכים רפואיים בעניין, מצאתי טעם בטענת הסניגור לפיה די במראה עיניים על מנת להצדיק התחשבות מסוימת בנתון זה, גם אם אינה רבה.  </w:t>
      </w:r>
    </w:p>
    <w:p w14:paraId="28E1F8A8" w14:textId="77777777" w:rsidR="00505CF9" w:rsidRDefault="00505CF9" w:rsidP="00505CF9">
      <w:pPr>
        <w:spacing w:after="240" w:line="360" w:lineRule="auto"/>
        <w:ind w:left="720" w:hanging="720"/>
        <w:jc w:val="both"/>
        <w:rPr>
          <w:rFonts w:ascii="Arial" w:hAnsi="Arial"/>
          <w:rtl/>
        </w:rPr>
      </w:pPr>
      <w:r>
        <w:rPr>
          <w:rFonts w:ascii="Arial" w:hAnsi="Arial" w:hint="cs"/>
          <w:rtl/>
        </w:rPr>
        <w:t>12.</w:t>
      </w:r>
      <w:r>
        <w:rPr>
          <w:rFonts w:ascii="Arial" w:hAnsi="Arial"/>
          <w:rtl/>
        </w:rPr>
        <w:tab/>
      </w:r>
      <w:r>
        <w:rPr>
          <w:rFonts w:ascii="Arial" w:hAnsi="Arial" w:hint="cs"/>
          <w:rtl/>
        </w:rPr>
        <w:t>לאור כל האמור לעיל, ראיתי לגזור על הנאשם את העונשים הבאים:</w:t>
      </w:r>
    </w:p>
    <w:p w14:paraId="000D1E5A" w14:textId="77777777" w:rsidR="00505CF9" w:rsidRDefault="00505CF9" w:rsidP="00505CF9">
      <w:pPr>
        <w:spacing w:after="240" w:line="360" w:lineRule="auto"/>
        <w:ind w:left="720" w:hanging="720"/>
        <w:jc w:val="both"/>
        <w:rPr>
          <w:rFonts w:ascii="Arial" w:hAnsi="Arial"/>
          <w:rtl/>
        </w:rPr>
      </w:pPr>
      <w:r>
        <w:rPr>
          <w:rFonts w:ascii="Arial" w:hAnsi="Arial"/>
          <w:rtl/>
        </w:rPr>
        <w:tab/>
      </w:r>
      <w:r>
        <w:rPr>
          <w:rFonts w:ascii="Arial" w:hAnsi="Arial" w:hint="cs"/>
          <w:rtl/>
        </w:rPr>
        <w:t>א.</w:t>
      </w:r>
      <w:r>
        <w:rPr>
          <w:rFonts w:ascii="Arial" w:hAnsi="Arial"/>
          <w:rtl/>
        </w:rPr>
        <w:tab/>
      </w:r>
      <w:r>
        <w:rPr>
          <w:rFonts w:ascii="Arial" w:hAnsi="Arial" w:hint="cs"/>
          <w:rtl/>
        </w:rPr>
        <w:t>58 חודשי מאסר לריצוי בפועל, החל מיום מאסרו לפי רישומי שב"ס.</w:t>
      </w:r>
    </w:p>
    <w:p w14:paraId="12520398" w14:textId="77777777" w:rsidR="00505CF9" w:rsidRDefault="00505CF9" w:rsidP="00505CF9">
      <w:pPr>
        <w:spacing w:after="240" w:line="360" w:lineRule="auto"/>
        <w:ind w:left="720" w:hanging="720"/>
        <w:jc w:val="both"/>
        <w:rPr>
          <w:rFonts w:ascii="Arial" w:hAnsi="Arial"/>
          <w:rtl/>
        </w:rPr>
      </w:pPr>
      <w:r>
        <w:rPr>
          <w:rFonts w:ascii="Arial" w:hAnsi="Arial"/>
          <w:rtl/>
        </w:rPr>
        <w:tab/>
      </w:r>
      <w:r>
        <w:rPr>
          <w:rFonts w:ascii="Arial" w:hAnsi="Arial" w:hint="cs"/>
          <w:rtl/>
        </w:rPr>
        <w:t>ב.</w:t>
      </w:r>
      <w:r>
        <w:rPr>
          <w:rFonts w:ascii="Arial" w:hAnsi="Arial"/>
          <w:rtl/>
        </w:rPr>
        <w:tab/>
      </w:r>
      <w:r>
        <w:rPr>
          <w:rFonts w:ascii="Arial" w:hAnsi="Arial" w:hint="cs"/>
          <w:rtl/>
        </w:rPr>
        <w:t xml:space="preserve">8 חודשי מאסר על תנאי, אולם הנאשם לא יישא עונש זה אלא אם יעבור עבירה על פקודת </w:t>
      </w:r>
      <w:r>
        <w:rPr>
          <w:rFonts w:ascii="Arial" w:hAnsi="Arial"/>
          <w:rtl/>
        </w:rPr>
        <w:tab/>
      </w:r>
      <w:r>
        <w:rPr>
          <w:rFonts w:ascii="Arial" w:hAnsi="Arial" w:hint="cs"/>
          <w:rtl/>
        </w:rPr>
        <w:t>הסמים מסוג פשע תוך 3 שנים מיום שחרורו.</w:t>
      </w:r>
    </w:p>
    <w:p w14:paraId="6F6087BA" w14:textId="77777777" w:rsidR="00505CF9" w:rsidRDefault="00505CF9" w:rsidP="00505CF9">
      <w:pPr>
        <w:spacing w:after="240" w:line="360" w:lineRule="auto"/>
        <w:ind w:left="720" w:hanging="720"/>
        <w:jc w:val="both"/>
        <w:rPr>
          <w:rFonts w:ascii="Arial" w:hAnsi="Arial"/>
        </w:rPr>
      </w:pPr>
      <w:r>
        <w:rPr>
          <w:rFonts w:ascii="Arial" w:hAnsi="Arial"/>
          <w:rtl/>
        </w:rPr>
        <w:tab/>
      </w:r>
      <w:r>
        <w:rPr>
          <w:rFonts w:ascii="Arial" w:hAnsi="Arial" w:hint="cs"/>
          <w:rtl/>
        </w:rPr>
        <w:t xml:space="preserve">ג. </w:t>
      </w:r>
      <w:r>
        <w:rPr>
          <w:rFonts w:ascii="Arial" w:hAnsi="Arial"/>
          <w:rtl/>
        </w:rPr>
        <w:tab/>
      </w:r>
      <w:r>
        <w:rPr>
          <w:rFonts w:ascii="Arial" w:hAnsi="Arial" w:hint="cs"/>
          <w:rtl/>
        </w:rPr>
        <w:t xml:space="preserve">קנס בסך 6,000 ₪ או 30 ימי מאסר תמורתו, אשר ישולם ב-10 תשלומים חודשיים שווים החל </w:t>
      </w:r>
      <w:r>
        <w:rPr>
          <w:rFonts w:ascii="Arial" w:hAnsi="Arial"/>
          <w:rtl/>
        </w:rPr>
        <w:tab/>
      </w:r>
      <w:r>
        <w:rPr>
          <w:rFonts w:ascii="Arial" w:hAnsi="Arial" w:hint="cs"/>
          <w:rtl/>
        </w:rPr>
        <w:t>מיום 1.4.25 ועד לסיום התשלומים.</w:t>
      </w:r>
    </w:p>
    <w:p w14:paraId="6543EA31" w14:textId="77777777" w:rsidR="00505CF9" w:rsidRDefault="00505CF9" w:rsidP="00505CF9">
      <w:pPr>
        <w:spacing w:after="240" w:line="360" w:lineRule="auto"/>
        <w:ind w:left="720" w:hanging="720"/>
        <w:jc w:val="both"/>
        <w:rPr>
          <w:rFonts w:ascii="Arial" w:hAnsi="Arial"/>
          <w:rtl/>
        </w:rPr>
      </w:pPr>
      <w:r>
        <w:rPr>
          <w:rFonts w:ascii="Arial" w:hAnsi="Arial"/>
          <w:rtl/>
        </w:rPr>
        <w:tab/>
      </w:r>
      <w:r>
        <w:rPr>
          <w:rFonts w:ascii="Arial" w:hAnsi="Arial" w:hint="cs"/>
          <w:rtl/>
        </w:rPr>
        <w:t>תשומת לב שב"ס לבקשת הנאשם להשתלב בהליך טיפולי במסגרת ריצוי המאסר בהתאם למצבו</w:t>
      </w:r>
      <w:r>
        <w:rPr>
          <w:rFonts w:ascii="Arial" w:hAnsi="Arial"/>
          <w:rtl/>
        </w:rPr>
        <w:t>.</w:t>
      </w:r>
    </w:p>
    <w:p w14:paraId="797C38BB" w14:textId="77777777" w:rsidR="00505CF9" w:rsidRDefault="00505CF9" w:rsidP="00505CF9">
      <w:pPr>
        <w:spacing w:after="240" w:line="360" w:lineRule="auto"/>
        <w:ind w:left="720" w:hanging="720"/>
        <w:jc w:val="both"/>
        <w:rPr>
          <w:rFonts w:ascii="Arial" w:hAnsi="Arial"/>
          <w:rtl/>
        </w:rPr>
      </w:pPr>
      <w:r>
        <w:rPr>
          <w:rFonts w:ascii="Arial" w:hAnsi="Arial"/>
          <w:rtl/>
        </w:rPr>
        <w:tab/>
      </w:r>
      <w:r>
        <w:rPr>
          <w:rFonts w:ascii="Arial" w:hAnsi="Arial" w:hint="cs"/>
          <w:rtl/>
        </w:rPr>
        <w:t>ניתן צו כללי למוצגים לשיקול דעת קצין משטרה ו/או התביעה.</w:t>
      </w:r>
    </w:p>
    <w:p w14:paraId="2D996375" w14:textId="77777777" w:rsidR="00505CF9" w:rsidRDefault="00505CF9" w:rsidP="00505CF9">
      <w:pPr>
        <w:spacing w:after="240" w:line="360" w:lineRule="auto"/>
        <w:ind w:left="720" w:hanging="720"/>
        <w:jc w:val="both"/>
        <w:rPr>
          <w:rFonts w:ascii="Arial" w:hAnsi="Arial"/>
          <w:rtl/>
        </w:rPr>
      </w:pPr>
      <w:r>
        <w:rPr>
          <w:rFonts w:ascii="Arial" w:hAnsi="Arial"/>
          <w:rtl/>
        </w:rPr>
        <w:tab/>
      </w:r>
      <w:r>
        <w:rPr>
          <w:rFonts w:ascii="Arial" w:hAnsi="Arial" w:hint="cs"/>
          <w:rtl/>
        </w:rPr>
        <w:t>זכות ערעור כחוק.</w:t>
      </w:r>
    </w:p>
    <w:p w14:paraId="70894D5A" w14:textId="77777777" w:rsidR="00505CF9" w:rsidRDefault="00505CF9" w:rsidP="00505CF9">
      <w:pPr>
        <w:spacing w:after="240" w:line="360" w:lineRule="auto"/>
        <w:ind w:left="720" w:hanging="720"/>
        <w:jc w:val="both"/>
        <w:rPr>
          <w:rFonts w:ascii="Arial" w:hAnsi="Arial"/>
          <w:rtl/>
        </w:rPr>
      </w:pPr>
    </w:p>
    <w:p w14:paraId="5E696B55" w14:textId="77777777" w:rsidR="00505CF9" w:rsidRDefault="005F7964" w:rsidP="00505CF9">
      <w:pPr>
        <w:spacing w:after="240" w:line="360" w:lineRule="auto"/>
        <w:ind w:firstLine="720"/>
        <w:jc w:val="both"/>
        <w:rPr>
          <w:rFonts w:ascii="Arial" w:hAnsi="Arial"/>
          <w:rtl/>
        </w:rPr>
      </w:pPr>
      <w:bookmarkStart w:id="7" w:name="Nitan"/>
      <w:r>
        <w:rPr>
          <w:rFonts w:ascii="Arial" w:hAnsi="Arial"/>
          <w:rtl/>
        </w:rPr>
        <w:t xml:space="preserve">ניתן היום,  כ"ב שבט תשפ"ה, 20 פברואר 2025, במעמד הצדדים. </w:t>
      </w:r>
      <w:bookmarkEnd w:id="7"/>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505CF9" w14:paraId="0A84599F" w14:textId="77777777" w:rsidTr="00505CF9">
        <w:trPr>
          <w:trHeight w:val="316"/>
        </w:trPr>
        <w:tc>
          <w:tcPr>
            <w:tcW w:w="3936" w:type="dxa"/>
            <w:tcBorders>
              <w:top w:val="nil"/>
              <w:left w:val="nil"/>
              <w:bottom w:val="single" w:sz="4" w:space="0" w:color="auto"/>
              <w:right w:val="nil"/>
            </w:tcBorders>
            <w:shd w:val="clear" w:color="auto" w:fill="auto"/>
            <w:vAlign w:val="bottom"/>
          </w:tcPr>
          <w:p w14:paraId="0D477C9D" w14:textId="77777777" w:rsidR="00505CF9" w:rsidRPr="00505CF9" w:rsidRDefault="00505CF9" w:rsidP="00505CF9">
            <w:pPr>
              <w:jc w:val="both"/>
              <w:rPr>
                <w:rFonts w:cs="Times New Roman"/>
              </w:rPr>
            </w:pPr>
          </w:p>
        </w:tc>
      </w:tr>
      <w:tr w:rsidR="00505CF9" w14:paraId="6CD5D7DD" w14:textId="77777777" w:rsidTr="00505CF9">
        <w:trPr>
          <w:trHeight w:val="361"/>
        </w:trPr>
        <w:tc>
          <w:tcPr>
            <w:tcW w:w="3936" w:type="dxa"/>
            <w:tcBorders>
              <w:top w:val="single" w:sz="4" w:space="0" w:color="auto"/>
              <w:left w:val="nil"/>
              <w:bottom w:val="nil"/>
              <w:right w:val="nil"/>
            </w:tcBorders>
            <w:shd w:val="clear" w:color="auto" w:fill="auto"/>
          </w:tcPr>
          <w:p w14:paraId="126EE049" w14:textId="77777777" w:rsidR="00505CF9" w:rsidRPr="00505CF9" w:rsidRDefault="00505CF9" w:rsidP="00505CF9">
            <w:pPr>
              <w:jc w:val="center"/>
              <w:rPr>
                <w:rFonts w:ascii="David" w:hAnsi="David"/>
                <w:b/>
                <w:bCs/>
              </w:rPr>
            </w:pPr>
            <w:r w:rsidRPr="00505CF9">
              <w:rPr>
                <w:rFonts w:ascii="David" w:hAnsi="David"/>
                <w:b/>
                <w:bCs/>
                <w:rtl/>
              </w:rPr>
              <w:t>בני שגיא, שופט</w:t>
            </w:r>
          </w:p>
          <w:p w14:paraId="429F1AD9" w14:textId="77777777" w:rsidR="00505CF9" w:rsidRPr="00505CF9" w:rsidRDefault="00505CF9" w:rsidP="00505CF9">
            <w:pPr>
              <w:jc w:val="center"/>
              <w:rPr>
                <w:rFonts w:ascii="David" w:hAnsi="David"/>
                <w:b/>
                <w:bCs/>
                <w:rtl/>
              </w:rPr>
            </w:pPr>
            <w:r w:rsidRPr="00505CF9">
              <w:rPr>
                <w:rFonts w:ascii="David" w:hAnsi="David"/>
                <w:b/>
                <w:bCs/>
                <w:rtl/>
              </w:rPr>
              <w:t>נשיא (בפועל)</w:t>
            </w:r>
          </w:p>
        </w:tc>
      </w:tr>
    </w:tbl>
    <w:p w14:paraId="62C71BBD" w14:textId="77777777" w:rsidR="00505CF9" w:rsidRPr="005F7964" w:rsidRDefault="005F7964" w:rsidP="00505CF9">
      <w:pPr>
        <w:jc w:val="both"/>
        <w:rPr>
          <w:color w:val="FFFFFF"/>
          <w:sz w:val="2"/>
          <w:szCs w:val="2"/>
          <w:rtl/>
        </w:rPr>
      </w:pPr>
      <w:r w:rsidRPr="005F7964">
        <w:rPr>
          <w:color w:val="FFFFFF"/>
          <w:sz w:val="2"/>
          <w:szCs w:val="2"/>
          <w:rtl/>
        </w:rPr>
        <w:t>5129371</w:t>
      </w:r>
    </w:p>
    <w:p w14:paraId="0B801594" w14:textId="77777777" w:rsidR="00505CF9" w:rsidRPr="005F7964" w:rsidRDefault="005F7964" w:rsidP="00505CF9">
      <w:pPr>
        <w:jc w:val="both"/>
        <w:rPr>
          <w:rFonts w:ascii="Arial" w:hAnsi="Arial"/>
          <w:color w:val="FFFFFF"/>
          <w:sz w:val="2"/>
          <w:szCs w:val="2"/>
          <w:rtl/>
        </w:rPr>
      </w:pPr>
      <w:r w:rsidRPr="005F7964">
        <w:rPr>
          <w:color w:val="FFFFFF"/>
          <w:sz w:val="2"/>
          <w:szCs w:val="2"/>
          <w:rtl/>
        </w:rPr>
        <w:t>54678313</w:t>
      </w:r>
      <w:r w:rsidR="00505CF9" w:rsidRPr="005F7964">
        <w:rPr>
          <w:color w:val="FFFFFF"/>
          <w:sz w:val="2"/>
          <w:szCs w:val="2"/>
          <w:rtl/>
        </w:rPr>
        <w:t xml:space="preserve">   </w:t>
      </w:r>
      <w:r w:rsidR="00505CF9" w:rsidRPr="005F7964">
        <w:rPr>
          <w:color w:val="FFFFFF"/>
          <w:sz w:val="2"/>
          <w:szCs w:val="2"/>
          <w:rtl/>
        </w:rPr>
        <w:tab/>
      </w:r>
      <w:r w:rsidR="00505CF9" w:rsidRPr="005F7964">
        <w:rPr>
          <w:color w:val="FFFFFF"/>
          <w:sz w:val="2"/>
          <w:szCs w:val="2"/>
          <w:rtl/>
        </w:rPr>
        <w:tab/>
      </w:r>
      <w:r w:rsidR="00505CF9" w:rsidRPr="005F7964">
        <w:rPr>
          <w:color w:val="FFFFFF"/>
          <w:sz w:val="2"/>
          <w:szCs w:val="2"/>
          <w:rtl/>
        </w:rPr>
        <w:tab/>
      </w:r>
      <w:r w:rsidR="00505CF9" w:rsidRPr="005F7964">
        <w:rPr>
          <w:color w:val="FFFFFF"/>
          <w:sz w:val="2"/>
          <w:szCs w:val="2"/>
          <w:rtl/>
        </w:rPr>
        <w:tab/>
      </w:r>
      <w:r w:rsidR="00505CF9" w:rsidRPr="005F7964">
        <w:rPr>
          <w:color w:val="FFFFFF"/>
          <w:sz w:val="2"/>
          <w:szCs w:val="2"/>
          <w:rtl/>
        </w:rPr>
        <w:tab/>
      </w:r>
    </w:p>
    <w:p w14:paraId="4BC8822B" w14:textId="77777777" w:rsidR="00505CF9" w:rsidRDefault="00505CF9" w:rsidP="00505CF9">
      <w:pPr>
        <w:jc w:val="both"/>
        <w:rPr>
          <w:rFonts w:ascii="Arial" w:hAnsi="Arial"/>
          <w:rtl/>
        </w:rPr>
      </w:pPr>
    </w:p>
    <w:p w14:paraId="66367653" w14:textId="77777777" w:rsidR="00505CF9" w:rsidRDefault="00505CF9" w:rsidP="00505CF9">
      <w:pPr>
        <w:jc w:val="both"/>
        <w:rPr>
          <w:rtl/>
        </w:rPr>
      </w:pPr>
    </w:p>
    <w:p w14:paraId="52662BA9" w14:textId="77777777" w:rsidR="00505CF9" w:rsidRDefault="00505CF9" w:rsidP="00505CF9">
      <w:pPr>
        <w:pStyle w:val="a3"/>
        <w:jc w:val="both"/>
        <w:rPr>
          <w:rtl/>
        </w:rPr>
      </w:pPr>
    </w:p>
    <w:p w14:paraId="34A5E69C" w14:textId="77777777" w:rsidR="00505CF9" w:rsidRPr="00BC1759" w:rsidRDefault="00505CF9" w:rsidP="00505CF9">
      <w:pPr>
        <w:rPr>
          <w:rtl/>
        </w:rPr>
      </w:pPr>
    </w:p>
    <w:p w14:paraId="5B8CBDF2" w14:textId="77777777" w:rsidR="00226C9B" w:rsidRPr="005F7964" w:rsidRDefault="00226C9B" w:rsidP="005F7964">
      <w:pPr>
        <w:keepNext/>
        <w:rPr>
          <w:rFonts w:ascii="David" w:hAnsi="David"/>
          <w:color w:val="000000"/>
          <w:sz w:val="22"/>
          <w:szCs w:val="22"/>
          <w:rtl/>
        </w:rPr>
      </w:pPr>
    </w:p>
    <w:p w14:paraId="415FCD7F" w14:textId="77777777" w:rsidR="005F7964" w:rsidRPr="005F7964" w:rsidRDefault="005F7964" w:rsidP="005F7964">
      <w:pPr>
        <w:keepNext/>
        <w:rPr>
          <w:rFonts w:ascii="David" w:hAnsi="David"/>
          <w:color w:val="000000"/>
          <w:sz w:val="22"/>
          <w:szCs w:val="22"/>
          <w:rtl/>
        </w:rPr>
      </w:pPr>
      <w:r w:rsidRPr="005F7964">
        <w:rPr>
          <w:rFonts w:ascii="David" w:hAnsi="David"/>
          <w:color w:val="000000"/>
          <w:sz w:val="22"/>
          <w:szCs w:val="22"/>
          <w:rtl/>
        </w:rPr>
        <w:t>בני שגיא 54678313</w:t>
      </w:r>
    </w:p>
    <w:p w14:paraId="135B6026" w14:textId="77777777" w:rsidR="005F7964" w:rsidRDefault="005F7964" w:rsidP="005F7964">
      <w:r w:rsidRPr="005F7964">
        <w:rPr>
          <w:color w:val="000000"/>
          <w:rtl/>
        </w:rPr>
        <w:t>נוסח מסמך זה כפוף לשינויי ניסוח ועריכה</w:t>
      </w:r>
    </w:p>
    <w:p w14:paraId="33845192" w14:textId="77777777" w:rsidR="005F7964" w:rsidRDefault="005F7964" w:rsidP="005F7964">
      <w:pPr>
        <w:rPr>
          <w:rtl/>
        </w:rPr>
      </w:pPr>
    </w:p>
    <w:p w14:paraId="763A179E" w14:textId="77777777" w:rsidR="005F7964" w:rsidRDefault="005F7964" w:rsidP="005F7964">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2DA8F07A" w14:textId="77777777" w:rsidR="005F7964" w:rsidRPr="005F7964" w:rsidRDefault="005F7964" w:rsidP="005F7964">
      <w:pPr>
        <w:jc w:val="center"/>
        <w:rPr>
          <w:color w:val="0000FF"/>
          <w:u w:val="single"/>
        </w:rPr>
      </w:pPr>
    </w:p>
    <w:sectPr w:rsidR="005F7964" w:rsidRPr="005F7964" w:rsidSect="005F7964">
      <w:headerReference w:type="even" r:id="rId22"/>
      <w:headerReference w:type="default" r:id="rId23"/>
      <w:footerReference w:type="even" r:id="rId24"/>
      <w:footerReference w:type="default" r:id="rId25"/>
      <w:pgSz w:w="11907" w:h="16840" w:code="9"/>
      <w:pgMar w:top="1701" w:right="1080" w:bottom="851"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09075" w14:textId="77777777" w:rsidR="002B151D" w:rsidRDefault="002B151D" w:rsidP="009813E3">
      <w:r>
        <w:separator/>
      </w:r>
    </w:p>
  </w:endnote>
  <w:endnote w:type="continuationSeparator" w:id="0">
    <w:p w14:paraId="0E5BBF4D" w14:textId="77777777" w:rsidR="002B151D" w:rsidRDefault="002B151D" w:rsidP="0098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34A64" w14:textId="77777777" w:rsidR="005F7964" w:rsidRDefault="005F7964" w:rsidP="005F79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74799C5E" w14:textId="77777777" w:rsidR="00DA5095" w:rsidRPr="005F7964" w:rsidRDefault="005F7964" w:rsidP="005F79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77047" w14:textId="77777777" w:rsidR="005F7964" w:rsidRDefault="005F7964" w:rsidP="005F79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2159">
      <w:rPr>
        <w:rFonts w:ascii="FrankRuehl" w:hAnsi="FrankRuehl" w:cs="FrankRuehl"/>
        <w:noProof/>
        <w:rtl/>
      </w:rPr>
      <w:t>1</w:t>
    </w:r>
    <w:r>
      <w:rPr>
        <w:rFonts w:ascii="FrankRuehl" w:hAnsi="FrankRuehl" w:cs="FrankRuehl"/>
        <w:rtl/>
      </w:rPr>
      <w:fldChar w:fldCharType="end"/>
    </w:r>
  </w:p>
  <w:p w14:paraId="3C4B1129" w14:textId="77777777" w:rsidR="00DA5095" w:rsidRPr="005F7964" w:rsidRDefault="005F7964" w:rsidP="005F79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8AA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DAEDE" w14:textId="77777777" w:rsidR="002B151D" w:rsidRDefault="002B151D" w:rsidP="009813E3">
      <w:r>
        <w:separator/>
      </w:r>
    </w:p>
  </w:footnote>
  <w:footnote w:type="continuationSeparator" w:id="0">
    <w:p w14:paraId="6707B5CF" w14:textId="77777777" w:rsidR="002B151D" w:rsidRDefault="002B151D" w:rsidP="00981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7D880" w14:textId="77777777" w:rsidR="005F7964" w:rsidRPr="005F7964" w:rsidRDefault="005F7964" w:rsidP="005F796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75514-07-24</w:t>
    </w:r>
    <w:r>
      <w:rPr>
        <w:rFonts w:ascii="David" w:hAnsi="David"/>
        <w:color w:val="000000"/>
        <w:sz w:val="22"/>
        <w:szCs w:val="22"/>
        <w:rtl/>
      </w:rPr>
      <w:tab/>
      <w:t xml:space="preserve"> מדינת ישראל נ' אריק בקר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BF6B1" w14:textId="77777777" w:rsidR="005F7964" w:rsidRPr="005F7964" w:rsidRDefault="005F7964" w:rsidP="005F796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75514-07-24</w:t>
    </w:r>
    <w:r>
      <w:rPr>
        <w:rFonts w:ascii="David" w:hAnsi="David"/>
        <w:color w:val="000000"/>
        <w:sz w:val="22"/>
        <w:szCs w:val="22"/>
        <w:rtl/>
      </w:rPr>
      <w:tab/>
      <w:t xml:space="preserve"> מדינת ישראל נ' אריק בקר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5CF9"/>
    <w:rsid w:val="001A2159"/>
    <w:rsid w:val="00226C9B"/>
    <w:rsid w:val="002B151D"/>
    <w:rsid w:val="00301F73"/>
    <w:rsid w:val="00505CF9"/>
    <w:rsid w:val="005F7964"/>
    <w:rsid w:val="009813E3"/>
    <w:rsid w:val="00B43793"/>
    <w:rsid w:val="00B92735"/>
    <w:rsid w:val="00CA0164"/>
    <w:rsid w:val="00DA50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C8DB89"/>
  <w15:chartTrackingRefBased/>
  <w15:docId w15:val="{58BBB835-688F-4B8B-90AE-32763482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5CF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5CF9"/>
    <w:pPr>
      <w:tabs>
        <w:tab w:val="center" w:pos="4153"/>
        <w:tab w:val="right" w:pos="8306"/>
      </w:tabs>
    </w:pPr>
  </w:style>
  <w:style w:type="character" w:customStyle="1" w:styleId="a4">
    <w:name w:val="כותרת עליונה תו"/>
    <w:link w:val="a3"/>
    <w:rsid w:val="00505CF9"/>
    <w:rPr>
      <w:rFonts w:ascii="Times New Roman" w:eastAsia="Times New Roman" w:hAnsi="Times New Roman" w:cs="David"/>
      <w:sz w:val="24"/>
      <w:szCs w:val="24"/>
    </w:rPr>
  </w:style>
  <w:style w:type="paragraph" w:styleId="a5">
    <w:name w:val="footer"/>
    <w:basedOn w:val="a"/>
    <w:link w:val="a6"/>
    <w:rsid w:val="00505CF9"/>
    <w:pPr>
      <w:tabs>
        <w:tab w:val="center" w:pos="4153"/>
        <w:tab w:val="right" w:pos="8306"/>
      </w:tabs>
    </w:pPr>
  </w:style>
  <w:style w:type="character" w:customStyle="1" w:styleId="a6">
    <w:name w:val="כותרת תחתונה תו"/>
    <w:link w:val="a5"/>
    <w:rsid w:val="00505CF9"/>
    <w:rPr>
      <w:rFonts w:ascii="Times New Roman" w:eastAsia="Times New Roman" w:hAnsi="Times New Roman" w:cs="David"/>
      <w:sz w:val="24"/>
      <w:szCs w:val="24"/>
    </w:rPr>
  </w:style>
  <w:style w:type="table" w:styleId="a7">
    <w:name w:val="Table Grid"/>
    <w:basedOn w:val="a1"/>
    <w:rsid w:val="00505C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05CF9"/>
  </w:style>
  <w:style w:type="character" w:styleId="Hyperlink">
    <w:name w:val="Hyperlink"/>
    <w:rsid w:val="005F796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9591310" TargetMode="External"/><Relationship Id="rId18" Type="http://schemas.openxmlformats.org/officeDocument/2006/relationships/hyperlink" Target="http://www.nevo.co.il/case/25455685"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7.a.c" TargetMode="External"/><Relationship Id="rId12" Type="http://schemas.openxmlformats.org/officeDocument/2006/relationships/hyperlink" Target="http://www.nevo.co.il/case/5583249" TargetMode="External"/><Relationship Id="rId17" Type="http://schemas.openxmlformats.org/officeDocument/2006/relationships/hyperlink" Target="http://www.nevo.co.il/case/28278897"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9944352" TargetMode="External"/><Relationship Id="rId20" Type="http://schemas.openxmlformats.org/officeDocument/2006/relationships/hyperlink" Target="http://www.nevo.co.il/case/23580083"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c"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25535302" TargetMode="External"/><Relationship Id="rId23"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3889476"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2608626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1958</Words>
  <Characters>9791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11726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4128895</vt:i4>
      </vt:variant>
      <vt:variant>
        <vt:i4>42</vt:i4>
      </vt:variant>
      <vt:variant>
        <vt:i4>0</vt:i4>
      </vt:variant>
      <vt:variant>
        <vt:i4>5</vt:i4>
      </vt:variant>
      <vt:variant>
        <vt:lpwstr>http://www.nevo.co.il/case/23580083</vt:lpwstr>
      </vt:variant>
      <vt:variant>
        <vt:lpwstr/>
      </vt:variant>
      <vt:variant>
        <vt:i4>3407995</vt:i4>
      </vt:variant>
      <vt:variant>
        <vt:i4>39</vt:i4>
      </vt:variant>
      <vt:variant>
        <vt:i4>0</vt:i4>
      </vt:variant>
      <vt:variant>
        <vt:i4>5</vt:i4>
      </vt:variant>
      <vt:variant>
        <vt:lpwstr>http://www.nevo.co.il/case/23889476</vt:lpwstr>
      </vt:variant>
      <vt:variant>
        <vt:lpwstr/>
      </vt:variant>
      <vt:variant>
        <vt:i4>3866738</vt:i4>
      </vt:variant>
      <vt:variant>
        <vt:i4>36</vt:i4>
      </vt:variant>
      <vt:variant>
        <vt:i4>0</vt:i4>
      </vt:variant>
      <vt:variant>
        <vt:i4>5</vt:i4>
      </vt:variant>
      <vt:variant>
        <vt:lpwstr>http://www.nevo.co.il/case/25455685</vt:lpwstr>
      </vt:variant>
      <vt:variant>
        <vt:lpwstr/>
      </vt:variant>
      <vt:variant>
        <vt:i4>3211379</vt:i4>
      </vt:variant>
      <vt:variant>
        <vt:i4>33</vt:i4>
      </vt:variant>
      <vt:variant>
        <vt:i4>0</vt:i4>
      </vt:variant>
      <vt:variant>
        <vt:i4>5</vt:i4>
      </vt:variant>
      <vt:variant>
        <vt:lpwstr>http://www.nevo.co.il/case/28278897</vt:lpwstr>
      </vt:variant>
      <vt:variant>
        <vt:lpwstr/>
      </vt:variant>
      <vt:variant>
        <vt:i4>3801210</vt:i4>
      </vt:variant>
      <vt:variant>
        <vt:i4>30</vt:i4>
      </vt:variant>
      <vt:variant>
        <vt:i4>0</vt:i4>
      </vt:variant>
      <vt:variant>
        <vt:i4>5</vt:i4>
      </vt:variant>
      <vt:variant>
        <vt:lpwstr>http://www.nevo.co.il/case/29944352</vt:lpwstr>
      </vt:variant>
      <vt:variant>
        <vt:lpwstr/>
      </vt:variant>
      <vt:variant>
        <vt:i4>3276913</vt:i4>
      </vt:variant>
      <vt:variant>
        <vt:i4>27</vt:i4>
      </vt:variant>
      <vt:variant>
        <vt:i4>0</vt:i4>
      </vt:variant>
      <vt:variant>
        <vt:i4>5</vt:i4>
      </vt:variant>
      <vt:variant>
        <vt:lpwstr>http://www.nevo.co.il/case/25535302</vt:lpwstr>
      </vt:variant>
      <vt:variant>
        <vt:lpwstr/>
      </vt:variant>
      <vt:variant>
        <vt:i4>3276920</vt:i4>
      </vt:variant>
      <vt:variant>
        <vt:i4>24</vt:i4>
      </vt:variant>
      <vt:variant>
        <vt:i4>0</vt:i4>
      </vt:variant>
      <vt:variant>
        <vt:i4>5</vt:i4>
      </vt:variant>
      <vt:variant>
        <vt:lpwstr>http://www.nevo.co.il/case/26086266</vt:lpwstr>
      </vt:variant>
      <vt:variant>
        <vt:lpwstr/>
      </vt:variant>
      <vt:variant>
        <vt:i4>3604599</vt:i4>
      </vt:variant>
      <vt:variant>
        <vt:i4>21</vt:i4>
      </vt:variant>
      <vt:variant>
        <vt:i4>0</vt:i4>
      </vt:variant>
      <vt:variant>
        <vt:i4>5</vt:i4>
      </vt:variant>
      <vt:variant>
        <vt:lpwstr>http://www.nevo.co.il/case/29591310</vt:lpwstr>
      </vt:variant>
      <vt:variant>
        <vt:lpwstr/>
      </vt:variant>
      <vt:variant>
        <vt:i4>3539062</vt:i4>
      </vt:variant>
      <vt:variant>
        <vt:i4>18</vt:i4>
      </vt:variant>
      <vt:variant>
        <vt:i4>0</vt:i4>
      </vt:variant>
      <vt:variant>
        <vt:i4>5</vt:i4>
      </vt:variant>
      <vt:variant>
        <vt:lpwstr>http://www.nevo.co.il/case/5583249</vt:lpwstr>
      </vt:variant>
      <vt:variant>
        <vt:lpwstr/>
      </vt:variant>
      <vt:variant>
        <vt:i4>4915274</vt:i4>
      </vt:variant>
      <vt:variant>
        <vt:i4>15</vt:i4>
      </vt:variant>
      <vt:variant>
        <vt:i4>0</vt:i4>
      </vt:variant>
      <vt:variant>
        <vt:i4>5</vt:i4>
      </vt:variant>
      <vt:variant>
        <vt:lpwstr>http://www.nevo.co.il/law/4216/7.a.c</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5177418</vt:i4>
      </vt:variant>
      <vt:variant>
        <vt:i4>9</vt:i4>
      </vt:variant>
      <vt:variant>
        <vt:i4>0</vt:i4>
      </vt:variant>
      <vt:variant>
        <vt:i4>5</vt:i4>
      </vt:variant>
      <vt:variant>
        <vt:lpwstr>http://www.nevo.co.il/law/4216/13</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2025-04-22T21:32:00Z</dcterms:created>
  <dcterms:modified xsi:type="dcterms:W3CDTF">2025-04-22T21:32:00Z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75514</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אריק בקר</vt:lpwstr>
  </property>
  <property fmtid="{D5CDD505-2E9C-101B-9397-08002B2CF9AE}" pid="10" name="LAWYER">
    <vt:lpwstr>גאל נבון;צפריר יגור</vt:lpwstr>
  </property>
  <property fmtid="{D5CDD505-2E9C-101B-9397-08002B2CF9AE}" pid="11" name="JUDGE">
    <vt:lpwstr>בני שגיא</vt:lpwstr>
  </property>
  <property fmtid="{D5CDD505-2E9C-101B-9397-08002B2CF9AE}" pid="12" name="CITY">
    <vt:lpwstr>ב"ש</vt:lpwstr>
  </property>
  <property fmtid="{D5CDD505-2E9C-101B-9397-08002B2CF9AE}" pid="13" name="DATE">
    <vt:lpwstr>20250220</vt:lpwstr>
  </property>
  <property fmtid="{D5CDD505-2E9C-101B-9397-08002B2CF9AE}" pid="14" name="TYPE_N_DATE">
    <vt:lpwstr>39020250220</vt:lpwstr>
  </property>
  <property fmtid="{D5CDD505-2E9C-101B-9397-08002B2CF9AE}" pid="15" name="CASESLISTTMP1">
    <vt:lpwstr>5583249;29591310;26086266;25535302;29944352;28278897;25455685;23889476;23580083</vt:lpwstr>
  </property>
  <property fmtid="{D5CDD505-2E9C-101B-9397-08002B2CF9AE}" pid="16" name="WORDNUMPAGES">
    <vt:lpwstr>6</vt:lpwstr>
  </property>
  <property fmtid="{D5CDD505-2E9C-101B-9397-08002B2CF9AE}" pid="17" name="TYPE_ABS_DATE">
    <vt:lpwstr>390020250220</vt:lpwstr>
  </property>
  <property fmtid="{D5CDD505-2E9C-101B-9397-08002B2CF9AE}" pid="18" name="ISABSTRACT">
    <vt:lpwstr>Y</vt:lpwstr>
  </property>
  <property fmtid="{D5CDD505-2E9C-101B-9397-08002B2CF9AE}" pid="19" name="LAWLISTTMP1">
    <vt:lpwstr>4216/013;007.a.c</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