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A0D66" w:rsidRPr="008F2D38" w14:paraId="49E913FC" w14:textId="77777777" w:rsidTr="00707CC4">
        <w:trPr>
          <w:trHeight w:hRule="exact" w:val="418"/>
          <w:jc w:val="center"/>
        </w:trPr>
        <w:tc>
          <w:tcPr>
            <w:tcW w:w="8861" w:type="dxa"/>
            <w:gridSpan w:val="2"/>
          </w:tcPr>
          <w:p w14:paraId="22BD0EAF" w14:textId="77777777" w:rsidR="001A0D66" w:rsidRPr="008F2D38" w:rsidRDefault="001A0D66" w:rsidP="00707CC4">
            <w:pPr>
              <w:pStyle w:val="a3"/>
              <w:jc w:val="center"/>
              <w:rPr>
                <w:rFonts w:ascii="Tahoma" w:hAnsi="Tahoma"/>
                <w:color w:val="000080"/>
                <w:sz w:val="32"/>
                <w:szCs w:val="32"/>
                <w:rtl/>
              </w:rPr>
            </w:pPr>
            <w:r w:rsidRPr="008F2D38">
              <w:rPr>
                <w:rFonts w:ascii="Tahoma" w:hAnsi="Tahoma"/>
                <w:b/>
                <w:bCs/>
                <w:color w:val="000080"/>
                <w:sz w:val="32"/>
                <w:szCs w:val="32"/>
                <w:rtl/>
              </w:rPr>
              <w:t>בית המשפט המחוזי בבאר שבע</w:t>
            </w:r>
          </w:p>
        </w:tc>
      </w:tr>
      <w:tr w:rsidR="001A0D66" w:rsidRPr="008F2D38" w14:paraId="31E828B5" w14:textId="77777777" w:rsidTr="00707CC4">
        <w:trPr>
          <w:trHeight w:val="337"/>
          <w:jc w:val="center"/>
        </w:trPr>
        <w:tc>
          <w:tcPr>
            <w:tcW w:w="5131" w:type="dxa"/>
          </w:tcPr>
          <w:p w14:paraId="0DB07E2C" w14:textId="77777777" w:rsidR="001A0D66" w:rsidRPr="008F2D38" w:rsidRDefault="001A0D66" w:rsidP="00707CC4">
            <w:pPr>
              <w:rPr>
                <w:b/>
                <w:bCs/>
                <w:sz w:val="26"/>
                <w:szCs w:val="26"/>
                <w:rtl/>
              </w:rPr>
            </w:pPr>
            <w:r w:rsidRPr="008F2D38">
              <w:rPr>
                <w:b/>
                <w:bCs/>
                <w:sz w:val="26"/>
                <w:szCs w:val="26"/>
                <w:rtl/>
              </w:rPr>
              <w:t>ת"פ</w:t>
            </w:r>
            <w:r w:rsidRPr="008F2D38">
              <w:rPr>
                <w:rFonts w:hint="cs"/>
                <w:b/>
                <w:bCs/>
                <w:sz w:val="26"/>
                <w:szCs w:val="26"/>
                <w:rtl/>
              </w:rPr>
              <w:t xml:space="preserve"> </w:t>
            </w:r>
            <w:r w:rsidRPr="008F2D38">
              <w:rPr>
                <w:b/>
                <w:bCs/>
                <w:sz w:val="26"/>
                <w:szCs w:val="26"/>
                <w:rtl/>
              </w:rPr>
              <w:t>41832-08-24</w:t>
            </w:r>
            <w:r w:rsidRPr="008F2D38">
              <w:rPr>
                <w:rFonts w:hint="cs"/>
                <w:b/>
                <w:bCs/>
                <w:sz w:val="26"/>
                <w:szCs w:val="26"/>
                <w:rtl/>
              </w:rPr>
              <w:t xml:space="preserve"> </w:t>
            </w:r>
            <w:r w:rsidRPr="008F2D38">
              <w:rPr>
                <w:b/>
                <w:bCs/>
                <w:sz w:val="26"/>
                <w:szCs w:val="26"/>
                <w:rtl/>
              </w:rPr>
              <w:t>מדינת ישראל נ' סימונס</w:t>
            </w:r>
          </w:p>
          <w:p w14:paraId="46E5065F" w14:textId="77777777" w:rsidR="001A0D66" w:rsidRPr="008F2D38" w:rsidRDefault="001A0D66" w:rsidP="00707CC4">
            <w:pPr>
              <w:pStyle w:val="a3"/>
              <w:rPr>
                <w:rFonts w:cs="FrankRuehl"/>
                <w:sz w:val="28"/>
                <w:szCs w:val="28"/>
                <w:rtl/>
              </w:rPr>
            </w:pPr>
          </w:p>
        </w:tc>
        <w:tc>
          <w:tcPr>
            <w:tcW w:w="3730" w:type="dxa"/>
          </w:tcPr>
          <w:p w14:paraId="5B3240AE" w14:textId="77777777" w:rsidR="001A0D66" w:rsidRPr="008F2D38" w:rsidRDefault="001A0D66" w:rsidP="00707CC4">
            <w:pPr>
              <w:pStyle w:val="a3"/>
              <w:jc w:val="right"/>
              <w:rPr>
                <w:b/>
                <w:bCs/>
                <w:sz w:val="26"/>
                <w:szCs w:val="26"/>
                <w:rtl/>
              </w:rPr>
            </w:pPr>
            <w:r w:rsidRPr="008F2D38">
              <w:rPr>
                <w:rFonts w:hint="cs"/>
                <w:b/>
                <w:bCs/>
                <w:sz w:val="26"/>
                <w:szCs w:val="26"/>
                <w:rtl/>
              </w:rPr>
              <w:t>07 ינואר 2025</w:t>
            </w:r>
          </w:p>
        </w:tc>
      </w:tr>
    </w:tbl>
    <w:p w14:paraId="326E64E6" w14:textId="77777777" w:rsidR="001A0D66" w:rsidRPr="008F2D38" w:rsidRDefault="001A0D66" w:rsidP="001A0D66">
      <w:pPr>
        <w:pStyle w:val="a3"/>
        <w:rPr>
          <w:rtl/>
        </w:rPr>
      </w:pPr>
      <w:r w:rsidRPr="008F2D38">
        <w:rPr>
          <w:rFonts w:hint="cs"/>
          <w:rtl/>
        </w:rPr>
        <w:t xml:space="preserve"> </w:t>
      </w:r>
    </w:p>
    <w:p w14:paraId="5021876C" w14:textId="77777777" w:rsidR="001A0D66" w:rsidRPr="008F2D38" w:rsidRDefault="001A0D66" w:rsidP="001A0D66">
      <w:pPr>
        <w:rPr>
          <w:rtl/>
        </w:rPr>
      </w:pPr>
    </w:p>
    <w:p w14:paraId="31551918" w14:textId="77777777" w:rsidR="001A0D66" w:rsidRPr="008F2D38" w:rsidRDefault="001A0D66" w:rsidP="001A0D6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205"/>
        <w:gridCol w:w="3283"/>
      </w:tblGrid>
      <w:tr w:rsidR="001A0D66" w:rsidRPr="008F2D38" w14:paraId="1127758F" w14:textId="77777777" w:rsidTr="001A0D66">
        <w:trPr>
          <w:trHeight w:val="295"/>
          <w:jc w:val="center"/>
        </w:trPr>
        <w:tc>
          <w:tcPr>
            <w:tcW w:w="8820" w:type="dxa"/>
            <w:gridSpan w:val="3"/>
            <w:tcBorders>
              <w:top w:val="nil"/>
              <w:left w:val="nil"/>
              <w:bottom w:val="nil"/>
              <w:right w:val="nil"/>
            </w:tcBorders>
            <w:shd w:val="clear" w:color="auto" w:fill="auto"/>
          </w:tcPr>
          <w:p w14:paraId="28B085E9" w14:textId="77777777" w:rsidR="001A0D66" w:rsidRPr="008F2D38" w:rsidRDefault="001A0D66" w:rsidP="001A0D66">
            <w:pPr>
              <w:jc w:val="both"/>
              <w:rPr>
                <w:rFonts w:ascii="Arial" w:hAnsi="Arial"/>
                <w:b/>
                <w:bCs/>
                <w:sz w:val="26"/>
                <w:szCs w:val="26"/>
                <w:rtl/>
              </w:rPr>
            </w:pPr>
            <w:r w:rsidRPr="008F2D38">
              <w:rPr>
                <w:rFonts w:ascii="Arial" w:hAnsi="Arial" w:hint="cs"/>
                <w:b/>
                <w:bCs/>
                <w:sz w:val="26"/>
                <w:szCs w:val="26"/>
                <w:rtl/>
              </w:rPr>
              <w:t>ל</w:t>
            </w:r>
            <w:r w:rsidRPr="008F2D38">
              <w:rPr>
                <w:rFonts w:ascii="Arial" w:hAnsi="Arial"/>
                <w:b/>
                <w:bCs/>
                <w:sz w:val="26"/>
                <w:szCs w:val="26"/>
                <w:rtl/>
              </w:rPr>
              <w:t>פני</w:t>
            </w:r>
            <w:r w:rsidRPr="008F2D38">
              <w:rPr>
                <w:rFonts w:ascii="Arial" w:hAnsi="Arial" w:hint="cs"/>
                <w:b/>
                <w:bCs/>
                <w:sz w:val="26"/>
                <w:szCs w:val="26"/>
                <w:rtl/>
              </w:rPr>
              <w:t xml:space="preserve"> </w:t>
            </w:r>
            <w:r w:rsidRPr="008F2D38">
              <w:rPr>
                <w:rFonts w:ascii="Arial" w:hAnsi="Arial"/>
                <w:b/>
                <w:bCs/>
                <w:sz w:val="26"/>
                <w:szCs w:val="26"/>
                <w:rtl/>
              </w:rPr>
              <w:t>כב' ה</w:t>
            </w:r>
            <w:r w:rsidRPr="008F2D38">
              <w:rPr>
                <w:rFonts w:ascii="Arial" w:hAnsi="Arial" w:hint="cs"/>
                <w:b/>
                <w:bCs/>
                <w:sz w:val="26"/>
                <w:szCs w:val="26"/>
                <w:rtl/>
              </w:rPr>
              <w:t>נשיא, השופט</w:t>
            </w:r>
            <w:r w:rsidRPr="008F2D38">
              <w:rPr>
                <w:rFonts w:ascii="Arial" w:hAnsi="Arial"/>
                <w:b/>
                <w:bCs/>
                <w:sz w:val="26"/>
                <w:szCs w:val="26"/>
                <w:rtl/>
              </w:rPr>
              <w:t xml:space="preserve"> בני שגיא</w:t>
            </w:r>
          </w:p>
          <w:p w14:paraId="170E0D78" w14:textId="77777777" w:rsidR="001A0D66" w:rsidRPr="008F2D38" w:rsidRDefault="001A0D66" w:rsidP="001A0D66">
            <w:pPr>
              <w:jc w:val="both"/>
              <w:rPr>
                <w:rFonts w:ascii="Arial" w:hAnsi="Arial"/>
                <w:sz w:val="26"/>
                <w:szCs w:val="26"/>
              </w:rPr>
            </w:pPr>
          </w:p>
        </w:tc>
      </w:tr>
      <w:tr w:rsidR="001A0D66" w:rsidRPr="008F2D38" w14:paraId="656790D3" w14:textId="77777777" w:rsidTr="001A0D66">
        <w:trPr>
          <w:trHeight w:val="355"/>
          <w:jc w:val="center"/>
        </w:trPr>
        <w:tc>
          <w:tcPr>
            <w:tcW w:w="1332" w:type="dxa"/>
            <w:tcBorders>
              <w:top w:val="nil"/>
              <w:left w:val="nil"/>
              <w:bottom w:val="nil"/>
              <w:right w:val="nil"/>
            </w:tcBorders>
            <w:shd w:val="clear" w:color="auto" w:fill="auto"/>
          </w:tcPr>
          <w:p w14:paraId="31D5B4EF" w14:textId="77777777" w:rsidR="001A0D66" w:rsidRPr="008F2D38" w:rsidRDefault="001A0D66" w:rsidP="001A0D66">
            <w:pPr>
              <w:spacing w:line="360" w:lineRule="auto"/>
              <w:jc w:val="both"/>
              <w:rPr>
                <w:rFonts w:ascii="Arial" w:hAnsi="Arial"/>
                <w:b/>
                <w:bCs/>
                <w:sz w:val="26"/>
                <w:szCs w:val="26"/>
              </w:rPr>
            </w:pPr>
            <w:bookmarkStart w:id="0" w:name="FirstAppellant"/>
            <w:bookmarkStart w:id="1" w:name="FirstLawyer"/>
            <w:bookmarkStart w:id="2" w:name="LastJudge"/>
            <w:bookmarkEnd w:id="2"/>
            <w:r w:rsidRPr="008F2D38">
              <w:rPr>
                <w:rFonts w:ascii="Arial" w:hAnsi="Arial" w:hint="cs"/>
                <w:b/>
                <w:bCs/>
                <w:sz w:val="26"/>
                <w:szCs w:val="26"/>
                <w:rtl/>
              </w:rPr>
              <w:t>ה</w:t>
            </w:r>
            <w:r w:rsidRPr="008F2D38">
              <w:rPr>
                <w:rFonts w:ascii="Arial" w:hAnsi="Arial"/>
                <w:b/>
                <w:bCs/>
                <w:sz w:val="26"/>
                <w:szCs w:val="26"/>
                <w:rtl/>
              </w:rPr>
              <w:t>מאשימה</w:t>
            </w:r>
            <w:r w:rsidRPr="008F2D38">
              <w:rPr>
                <w:rFonts w:ascii="Arial" w:hAnsi="Arial" w:hint="cs"/>
                <w:b/>
                <w:bCs/>
                <w:sz w:val="26"/>
                <w:szCs w:val="26"/>
                <w:rtl/>
              </w:rPr>
              <w:t>:</w:t>
            </w:r>
          </w:p>
        </w:tc>
        <w:tc>
          <w:tcPr>
            <w:tcW w:w="4205" w:type="dxa"/>
            <w:tcBorders>
              <w:top w:val="nil"/>
              <w:left w:val="nil"/>
              <w:bottom w:val="nil"/>
              <w:right w:val="nil"/>
            </w:tcBorders>
            <w:shd w:val="clear" w:color="auto" w:fill="auto"/>
          </w:tcPr>
          <w:p w14:paraId="6E8B0153" w14:textId="77777777" w:rsidR="001A0D66" w:rsidRPr="008F2D38" w:rsidRDefault="001A0D66" w:rsidP="001A0D66">
            <w:pPr>
              <w:spacing w:line="360" w:lineRule="auto"/>
              <w:rPr>
                <w:b/>
                <w:bCs/>
                <w:sz w:val="26"/>
                <w:szCs w:val="26"/>
                <w:rtl/>
              </w:rPr>
            </w:pPr>
            <w:r w:rsidRPr="008F2D38">
              <w:rPr>
                <w:rFonts w:ascii="Arial" w:hAnsi="Arial"/>
                <w:b/>
                <w:bCs/>
                <w:sz w:val="26"/>
                <w:szCs w:val="26"/>
                <w:rtl/>
              </w:rPr>
              <w:t>מדינת ישראל</w:t>
            </w:r>
          </w:p>
          <w:p w14:paraId="65BEB873" w14:textId="77777777" w:rsidR="001A0D66" w:rsidRPr="008F2D38" w:rsidRDefault="001A0D66" w:rsidP="001A0D66">
            <w:pPr>
              <w:spacing w:line="360" w:lineRule="auto"/>
              <w:rPr>
                <w:b/>
                <w:bCs/>
                <w:sz w:val="26"/>
                <w:szCs w:val="26"/>
              </w:rPr>
            </w:pPr>
            <w:r w:rsidRPr="008F2D38">
              <w:rPr>
                <w:rFonts w:hint="cs"/>
                <w:b/>
                <w:bCs/>
                <w:sz w:val="26"/>
                <w:szCs w:val="26"/>
                <w:rtl/>
              </w:rPr>
              <w:t xml:space="preserve">ע"י ב"כ עו"ד גל אוסטריאק </w:t>
            </w:r>
          </w:p>
        </w:tc>
        <w:tc>
          <w:tcPr>
            <w:tcW w:w="3283" w:type="dxa"/>
            <w:tcBorders>
              <w:top w:val="nil"/>
              <w:left w:val="nil"/>
              <w:bottom w:val="nil"/>
              <w:right w:val="nil"/>
            </w:tcBorders>
            <w:shd w:val="clear" w:color="auto" w:fill="auto"/>
          </w:tcPr>
          <w:p w14:paraId="60B6F1D0" w14:textId="77777777" w:rsidR="001A0D66" w:rsidRPr="008F2D38" w:rsidRDefault="001A0D66" w:rsidP="001A0D66">
            <w:pPr>
              <w:spacing w:line="360" w:lineRule="auto"/>
              <w:jc w:val="both"/>
              <w:rPr>
                <w:rFonts w:ascii="Arial" w:hAnsi="Arial"/>
                <w:b/>
                <w:bCs/>
                <w:sz w:val="26"/>
                <w:szCs w:val="26"/>
              </w:rPr>
            </w:pPr>
          </w:p>
        </w:tc>
      </w:tr>
      <w:bookmarkEnd w:id="0"/>
      <w:bookmarkEnd w:id="1"/>
      <w:tr w:rsidR="001A0D66" w:rsidRPr="008F2D38" w14:paraId="0660A57B" w14:textId="77777777" w:rsidTr="001A0D66">
        <w:trPr>
          <w:trHeight w:val="355"/>
          <w:jc w:val="center"/>
        </w:trPr>
        <w:tc>
          <w:tcPr>
            <w:tcW w:w="1332" w:type="dxa"/>
            <w:tcBorders>
              <w:top w:val="nil"/>
              <w:left w:val="nil"/>
              <w:bottom w:val="nil"/>
              <w:right w:val="nil"/>
            </w:tcBorders>
            <w:shd w:val="clear" w:color="auto" w:fill="auto"/>
          </w:tcPr>
          <w:p w14:paraId="512BEDCE" w14:textId="77777777" w:rsidR="001A0D66" w:rsidRPr="008F2D38" w:rsidRDefault="001A0D66" w:rsidP="001A0D66">
            <w:pPr>
              <w:spacing w:line="360" w:lineRule="auto"/>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1D4EDB0B" w14:textId="77777777" w:rsidR="001A0D66" w:rsidRPr="008F2D38" w:rsidRDefault="001A0D66" w:rsidP="001A0D66">
            <w:pPr>
              <w:spacing w:line="360" w:lineRule="auto"/>
              <w:jc w:val="center"/>
              <w:rPr>
                <w:rFonts w:ascii="Arial" w:hAnsi="Arial"/>
                <w:b/>
                <w:bCs/>
                <w:sz w:val="26"/>
                <w:szCs w:val="26"/>
                <w:rtl/>
              </w:rPr>
            </w:pPr>
          </w:p>
          <w:p w14:paraId="7535FB5A" w14:textId="77777777" w:rsidR="001A0D66" w:rsidRPr="008F2D38" w:rsidRDefault="001A0D66" w:rsidP="001A0D66">
            <w:pPr>
              <w:spacing w:line="360" w:lineRule="auto"/>
              <w:rPr>
                <w:rFonts w:ascii="Arial" w:hAnsi="Arial"/>
                <w:b/>
                <w:bCs/>
                <w:sz w:val="26"/>
                <w:szCs w:val="26"/>
                <w:rtl/>
              </w:rPr>
            </w:pPr>
            <w:r w:rsidRPr="008F2D38">
              <w:rPr>
                <w:rFonts w:ascii="Arial" w:hAnsi="Arial" w:hint="cs"/>
                <w:b/>
                <w:bCs/>
                <w:sz w:val="26"/>
                <w:szCs w:val="26"/>
                <w:rtl/>
              </w:rPr>
              <w:t xml:space="preserve">                           </w:t>
            </w:r>
            <w:r w:rsidRPr="008F2D38">
              <w:rPr>
                <w:rFonts w:ascii="Arial" w:hAnsi="Arial"/>
                <w:b/>
                <w:bCs/>
                <w:sz w:val="26"/>
                <w:szCs w:val="26"/>
                <w:rtl/>
              </w:rPr>
              <w:t>נ</w:t>
            </w:r>
            <w:r w:rsidRPr="008F2D38">
              <w:rPr>
                <w:rFonts w:ascii="Arial" w:hAnsi="Arial" w:hint="cs"/>
                <w:b/>
                <w:bCs/>
                <w:sz w:val="26"/>
                <w:szCs w:val="26"/>
                <w:rtl/>
              </w:rPr>
              <w:t xml:space="preserve"> </w:t>
            </w:r>
            <w:r w:rsidRPr="008F2D38">
              <w:rPr>
                <w:rFonts w:ascii="Arial" w:hAnsi="Arial"/>
                <w:b/>
                <w:bCs/>
                <w:sz w:val="26"/>
                <w:szCs w:val="26"/>
                <w:rtl/>
              </w:rPr>
              <w:t>ג</w:t>
            </w:r>
            <w:r w:rsidRPr="008F2D38">
              <w:rPr>
                <w:rFonts w:ascii="Arial" w:hAnsi="Arial" w:hint="cs"/>
                <w:b/>
                <w:bCs/>
                <w:sz w:val="26"/>
                <w:szCs w:val="26"/>
                <w:rtl/>
              </w:rPr>
              <w:t xml:space="preserve"> </w:t>
            </w:r>
            <w:r w:rsidRPr="008F2D38">
              <w:rPr>
                <w:rFonts w:ascii="Arial" w:hAnsi="Arial"/>
                <w:b/>
                <w:bCs/>
                <w:sz w:val="26"/>
                <w:szCs w:val="26"/>
                <w:rtl/>
              </w:rPr>
              <w:t>ד</w:t>
            </w:r>
          </w:p>
          <w:p w14:paraId="32F89B0A" w14:textId="77777777" w:rsidR="001A0D66" w:rsidRPr="008F2D38" w:rsidRDefault="001A0D66" w:rsidP="001A0D66">
            <w:pPr>
              <w:spacing w:line="360" w:lineRule="auto"/>
              <w:jc w:val="both"/>
              <w:rPr>
                <w:rFonts w:ascii="Arial" w:hAnsi="Arial"/>
                <w:b/>
                <w:bCs/>
                <w:sz w:val="26"/>
                <w:szCs w:val="26"/>
              </w:rPr>
            </w:pPr>
          </w:p>
        </w:tc>
      </w:tr>
      <w:tr w:rsidR="001A0D66" w:rsidRPr="008F2D38" w14:paraId="2BD454D8" w14:textId="77777777" w:rsidTr="001A0D66">
        <w:trPr>
          <w:trHeight w:val="355"/>
          <w:jc w:val="center"/>
        </w:trPr>
        <w:tc>
          <w:tcPr>
            <w:tcW w:w="1332" w:type="dxa"/>
            <w:tcBorders>
              <w:top w:val="nil"/>
              <w:left w:val="nil"/>
              <w:bottom w:val="nil"/>
              <w:right w:val="nil"/>
            </w:tcBorders>
            <w:shd w:val="clear" w:color="auto" w:fill="auto"/>
          </w:tcPr>
          <w:p w14:paraId="44B900CD" w14:textId="77777777" w:rsidR="001A0D66" w:rsidRPr="008F2D38" w:rsidRDefault="001A0D66" w:rsidP="001A0D66">
            <w:pPr>
              <w:spacing w:line="360" w:lineRule="auto"/>
              <w:rPr>
                <w:rFonts w:ascii="Arial" w:hAnsi="Arial"/>
                <w:b/>
                <w:bCs/>
                <w:sz w:val="26"/>
                <w:szCs w:val="26"/>
                <w:rtl/>
              </w:rPr>
            </w:pPr>
            <w:r w:rsidRPr="008F2D38">
              <w:rPr>
                <w:rFonts w:ascii="Arial" w:hAnsi="Arial" w:hint="cs"/>
                <w:b/>
                <w:bCs/>
                <w:sz w:val="26"/>
                <w:szCs w:val="26"/>
                <w:rtl/>
              </w:rPr>
              <w:t>ה</w:t>
            </w:r>
            <w:r w:rsidRPr="008F2D38">
              <w:rPr>
                <w:rFonts w:ascii="Arial" w:hAnsi="Arial"/>
                <w:b/>
                <w:bCs/>
                <w:sz w:val="26"/>
                <w:szCs w:val="26"/>
                <w:rtl/>
              </w:rPr>
              <w:t>נאשם</w:t>
            </w:r>
            <w:r w:rsidRPr="008F2D38">
              <w:rPr>
                <w:rFonts w:ascii="Arial" w:hAnsi="Arial" w:hint="cs"/>
                <w:b/>
                <w:bCs/>
                <w:sz w:val="26"/>
                <w:szCs w:val="26"/>
                <w:rtl/>
              </w:rPr>
              <w:t>:</w:t>
            </w:r>
          </w:p>
        </w:tc>
        <w:tc>
          <w:tcPr>
            <w:tcW w:w="4205" w:type="dxa"/>
            <w:tcBorders>
              <w:top w:val="nil"/>
              <w:left w:val="nil"/>
              <w:bottom w:val="nil"/>
              <w:right w:val="nil"/>
            </w:tcBorders>
            <w:shd w:val="clear" w:color="auto" w:fill="auto"/>
          </w:tcPr>
          <w:p w14:paraId="08609D41" w14:textId="77777777" w:rsidR="001A0D66" w:rsidRPr="008F2D38" w:rsidRDefault="001A0D66" w:rsidP="001A0D66">
            <w:pPr>
              <w:spacing w:line="360" w:lineRule="auto"/>
              <w:rPr>
                <w:b/>
                <w:bCs/>
                <w:sz w:val="26"/>
                <w:szCs w:val="26"/>
                <w:rtl/>
              </w:rPr>
            </w:pPr>
            <w:r w:rsidRPr="008F2D38">
              <w:rPr>
                <w:rFonts w:ascii="Arial" w:hAnsi="Arial"/>
                <w:b/>
                <w:bCs/>
                <w:sz w:val="26"/>
                <w:szCs w:val="26"/>
                <w:rtl/>
              </w:rPr>
              <w:t>דניאל סימונס (עצ</w:t>
            </w:r>
            <w:r w:rsidRPr="008F2D38">
              <w:rPr>
                <w:rFonts w:ascii="Arial" w:hAnsi="Arial" w:hint="cs"/>
                <w:b/>
                <w:bCs/>
                <w:sz w:val="26"/>
                <w:szCs w:val="26"/>
                <w:rtl/>
              </w:rPr>
              <w:t>ו</w:t>
            </w:r>
            <w:r w:rsidRPr="008F2D38">
              <w:rPr>
                <w:rFonts w:ascii="Arial" w:hAnsi="Arial"/>
                <w:b/>
                <w:bCs/>
                <w:sz w:val="26"/>
                <w:szCs w:val="26"/>
                <w:rtl/>
              </w:rPr>
              <w:t>ר)</w:t>
            </w:r>
          </w:p>
          <w:p w14:paraId="7D7D85D9" w14:textId="77777777" w:rsidR="001A0D66" w:rsidRPr="008F2D38" w:rsidRDefault="001A0D66" w:rsidP="001A0D66">
            <w:pPr>
              <w:spacing w:line="360" w:lineRule="auto"/>
              <w:rPr>
                <w:b/>
                <w:bCs/>
                <w:sz w:val="26"/>
                <w:szCs w:val="26"/>
                <w:rtl/>
              </w:rPr>
            </w:pPr>
            <w:r w:rsidRPr="008F2D38">
              <w:rPr>
                <w:rFonts w:hint="cs"/>
                <w:b/>
                <w:bCs/>
                <w:sz w:val="26"/>
                <w:szCs w:val="26"/>
                <w:rtl/>
              </w:rPr>
              <w:t xml:space="preserve">ע"י ב"כ עו"ד יוסי בוקר </w:t>
            </w:r>
          </w:p>
        </w:tc>
        <w:tc>
          <w:tcPr>
            <w:tcW w:w="3283" w:type="dxa"/>
            <w:tcBorders>
              <w:top w:val="nil"/>
              <w:left w:val="nil"/>
              <w:bottom w:val="nil"/>
              <w:right w:val="nil"/>
            </w:tcBorders>
            <w:shd w:val="clear" w:color="auto" w:fill="auto"/>
          </w:tcPr>
          <w:p w14:paraId="5384E1B9" w14:textId="77777777" w:rsidR="001A0D66" w:rsidRPr="008F2D38" w:rsidRDefault="001A0D66" w:rsidP="001A0D66">
            <w:pPr>
              <w:spacing w:line="360" w:lineRule="auto"/>
              <w:jc w:val="right"/>
              <w:rPr>
                <w:rFonts w:ascii="Arial" w:hAnsi="Arial"/>
                <w:b/>
                <w:bCs/>
                <w:sz w:val="26"/>
                <w:szCs w:val="26"/>
              </w:rPr>
            </w:pPr>
          </w:p>
        </w:tc>
      </w:tr>
    </w:tbl>
    <w:p w14:paraId="0BC7A5C2" w14:textId="77777777" w:rsidR="008F2D38" w:rsidRPr="008F2D38" w:rsidRDefault="008F2D38" w:rsidP="008F2D38">
      <w:pPr>
        <w:spacing w:before="120" w:after="120" w:line="240" w:lineRule="exact"/>
        <w:ind w:left="283" w:hanging="283"/>
        <w:jc w:val="both"/>
        <w:rPr>
          <w:rFonts w:ascii="FrankRuehl" w:hAnsi="FrankRuehl" w:cs="FrankRuehl"/>
          <w:rtl/>
        </w:rPr>
      </w:pPr>
    </w:p>
    <w:p w14:paraId="052EBB4D" w14:textId="77777777" w:rsidR="001E42A6" w:rsidRPr="001E42A6" w:rsidRDefault="001E42A6" w:rsidP="001E42A6">
      <w:pPr>
        <w:spacing w:before="120" w:after="120" w:line="240" w:lineRule="exact"/>
        <w:ind w:left="283" w:hanging="283"/>
        <w:jc w:val="both"/>
        <w:rPr>
          <w:rFonts w:ascii="FrankRuehl" w:hAnsi="FrankRuehl" w:cs="FrankRuehl"/>
          <w:rtl/>
        </w:rPr>
      </w:pPr>
      <w:bookmarkStart w:id="3" w:name="LawTable"/>
      <w:bookmarkEnd w:id="3"/>
      <w:r w:rsidRPr="001E42A6">
        <w:rPr>
          <w:rFonts w:ascii="FrankRuehl" w:hAnsi="FrankRuehl" w:cs="FrankRuehl"/>
          <w:rtl/>
        </w:rPr>
        <w:t xml:space="preserve">חקיקה שאוזכרה: </w:t>
      </w:r>
    </w:p>
    <w:p w14:paraId="6CD438CF" w14:textId="77777777" w:rsidR="001E42A6" w:rsidRPr="001E42A6" w:rsidRDefault="001E42A6" w:rsidP="001E42A6">
      <w:pPr>
        <w:spacing w:before="120" w:after="120" w:line="240" w:lineRule="exact"/>
        <w:ind w:left="283" w:hanging="283"/>
        <w:jc w:val="both"/>
        <w:rPr>
          <w:rFonts w:ascii="FrankRuehl" w:hAnsi="FrankRuehl" w:cs="FrankRuehl"/>
          <w:color w:val="0000FF"/>
          <w:rtl/>
        </w:rPr>
      </w:pPr>
      <w:hyperlink r:id="rId6" w:history="1">
        <w:r w:rsidRPr="001E42A6">
          <w:rPr>
            <w:rStyle w:val="Hyperlink"/>
            <w:rFonts w:ascii="FrankRuehl" w:hAnsi="FrankRuehl" w:cs="FrankRuehl"/>
            <w:u w:val="none"/>
            <w:rtl/>
          </w:rPr>
          <w:t>חוק העונשין, תשל"ז-1977</w:t>
        </w:r>
      </w:hyperlink>
      <w:r w:rsidRPr="001E42A6">
        <w:rPr>
          <w:rFonts w:ascii="FrankRuehl" w:hAnsi="FrankRuehl" w:cs="FrankRuehl"/>
          <w:color w:val="0000FF"/>
          <w:rtl/>
        </w:rPr>
        <w:t xml:space="preserve">: סע'  </w:t>
      </w:r>
      <w:hyperlink r:id="rId7" w:history="1">
        <w:r w:rsidRPr="001E42A6">
          <w:rPr>
            <w:rStyle w:val="Hyperlink"/>
            <w:rFonts w:ascii="FrankRuehl" w:hAnsi="FrankRuehl" w:cs="FrankRuehl"/>
            <w:u w:val="none"/>
          </w:rPr>
          <w:t>144.</w:t>
        </w:r>
        <w:r w:rsidRPr="001E42A6">
          <w:rPr>
            <w:rStyle w:val="Hyperlink"/>
            <w:rFonts w:ascii="FrankRuehl" w:hAnsi="FrankRuehl" w:cs="FrankRuehl"/>
            <w:u w:val="none"/>
            <w:rtl/>
          </w:rPr>
          <w:t>א</w:t>
        </w:r>
        <w:r w:rsidRPr="001E42A6">
          <w:rPr>
            <w:rStyle w:val="Hyperlink"/>
            <w:rFonts w:ascii="FrankRuehl" w:hAnsi="FrankRuehl" w:cs="FrankRuehl"/>
            <w:u w:val="none"/>
          </w:rPr>
          <w:t>.</w:t>
        </w:r>
      </w:hyperlink>
      <w:r w:rsidRPr="001E42A6">
        <w:rPr>
          <w:rFonts w:ascii="FrankRuehl" w:hAnsi="FrankRuehl" w:cs="FrankRuehl"/>
          <w:color w:val="0000FF"/>
          <w:rtl/>
        </w:rPr>
        <w:t xml:space="preserve">, </w:t>
      </w:r>
      <w:hyperlink r:id="rId8" w:history="1">
        <w:r w:rsidRPr="001E42A6">
          <w:rPr>
            <w:rStyle w:val="Hyperlink"/>
            <w:rFonts w:ascii="FrankRuehl" w:hAnsi="FrankRuehl" w:cs="FrankRuehl"/>
            <w:u w:val="none"/>
          </w:rPr>
          <w:t>144</w:t>
        </w:r>
      </w:hyperlink>
      <w:r w:rsidRPr="001E42A6">
        <w:rPr>
          <w:rFonts w:ascii="FrankRuehl" w:hAnsi="FrankRuehl" w:cs="FrankRuehl"/>
          <w:color w:val="0000FF"/>
          <w:rtl/>
        </w:rPr>
        <w:t>(ב)</w:t>
      </w:r>
    </w:p>
    <w:p w14:paraId="2494541D" w14:textId="77777777" w:rsidR="001E42A6" w:rsidRPr="001E42A6" w:rsidRDefault="001E42A6" w:rsidP="001E42A6">
      <w:pPr>
        <w:spacing w:before="120" w:after="120" w:line="240" w:lineRule="exact"/>
        <w:ind w:left="283" w:hanging="283"/>
        <w:jc w:val="both"/>
        <w:rPr>
          <w:rFonts w:ascii="FrankRuehl" w:hAnsi="FrankRuehl" w:cs="FrankRuehl"/>
          <w:color w:val="0000FF"/>
          <w:rtl/>
        </w:rPr>
      </w:pPr>
      <w:hyperlink r:id="rId9" w:history="1">
        <w:r w:rsidRPr="001E42A6">
          <w:rPr>
            <w:rStyle w:val="Hyperlink"/>
            <w:rFonts w:ascii="FrankRuehl" w:hAnsi="FrankRuehl" w:cs="FrankRuehl"/>
            <w:u w:val="none"/>
            <w:rtl/>
          </w:rPr>
          <w:t>פקודת הסמים המסוכנים [נוסח חדש], תשל"ג-1973</w:t>
        </w:r>
      </w:hyperlink>
      <w:r w:rsidRPr="001E42A6">
        <w:rPr>
          <w:rFonts w:ascii="FrankRuehl" w:hAnsi="FrankRuehl" w:cs="FrankRuehl"/>
          <w:color w:val="0000FF"/>
          <w:rtl/>
        </w:rPr>
        <w:t xml:space="preserve">: סע'  </w:t>
      </w:r>
      <w:hyperlink r:id="rId10" w:history="1">
        <w:r w:rsidRPr="001E42A6">
          <w:rPr>
            <w:rStyle w:val="Hyperlink"/>
            <w:rFonts w:ascii="FrankRuehl" w:hAnsi="FrankRuehl" w:cs="FrankRuehl"/>
            <w:u w:val="none"/>
          </w:rPr>
          <w:t>7.</w:t>
        </w:r>
        <w:r w:rsidRPr="001E42A6">
          <w:rPr>
            <w:rStyle w:val="Hyperlink"/>
            <w:rFonts w:ascii="FrankRuehl" w:hAnsi="FrankRuehl" w:cs="FrankRuehl"/>
            <w:u w:val="none"/>
            <w:rtl/>
          </w:rPr>
          <w:t>א</w:t>
        </w:r>
        <w:r w:rsidRPr="001E42A6">
          <w:rPr>
            <w:rStyle w:val="Hyperlink"/>
            <w:rFonts w:ascii="FrankRuehl" w:hAnsi="FrankRuehl" w:cs="FrankRuehl"/>
            <w:u w:val="none"/>
          </w:rPr>
          <w:t>.</w:t>
        </w:r>
      </w:hyperlink>
      <w:r w:rsidRPr="001E42A6">
        <w:rPr>
          <w:rFonts w:ascii="FrankRuehl" w:hAnsi="FrankRuehl" w:cs="FrankRuehl"/>
          <w:color w:val="0000FF"/>
          <w:rtl/>
        </w:rPr>
        <w:t xml:space="preserve">, </w:t>
      </w:r>
      <w:hyperlink r:id="rId11" w:history="1">
        <w:r w:rsidRPr="001E42A6">
          <w:rPr>
            <w:rStyle w:val="Hyperlink"/>
            <w:rFonts w:ascii="FrankRuehl" w:hAnsi="FrankRuehl" w:cs="FrankRuehl"/>
            <w:u w:val="none"/>
          </w:rPr>
          <w:t>7.</w:t>
        </w:r>
        <w:r w:rsidRPr="001E42A6">
          <w:rPr>
            <w:rStyle w:val="Hyperlink"/>
            <w:rFonts w:ascii="FrankRuehl" w:hAnsi="FrankRuehl" w:cs="FrankRuehl"/>
            <w:u w:val="none"/>
            <w:rtl/>
          </w:rPr>
          <w:t>ג</w:t>
        </w:r>
      </w:hyperlink>
    </w:p>
    <w:p w14:paraId="696B9A33" w14:textId="77777777" w:rsidR="001A0D66" w:rsidRPr="001E42A6" w:rsidRDefault="001A0D66" w:rsidP="001E42A6">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0D66" w14:paraId="04CCFF3D" w14:textId="77777777" w:rsidTr="001A0D66">
        <w:trPr>
          <w:trHeight w:val="355"/>
          <w:jc w:val="center"/>
        </w:trPr>
        <w:tc>
          <w:tcPr>
            <w:tcW w:w="8820" w:type="dxa"/>
            <w:tcBorders>
              <w:top w:val="nil"/>
              <w:left w:val="nil"/>
              <w:bottom w:val="nil"/>
              <w:right w:val="nil"/>
            </w:tcBorders>
            <w:shd w:val="clear" w:color="auto" w:fill="auto"/>
          </w:tcPr>
          <w:p w14:paraId="6007832C" w14:textId="77777777" w:rsidR="008F2D38" w:rsidRPr="008F2D38" w:rsidRDefault="008F2D38" w:rsidP="008F2D38">
            <w:pPr>
              <w:jc w:val="center"/>
              <w:rPr>
                <w:rFonts w:ascii="Arial" w:hAnsi="Arial"/>
                <w:b/>
                <w:bCs/>
                <w:sz w:val="32"/>
                <w:szCs w:val="32"/>
                <w:u w:val="single"/>
                <w:rtl/>
              </w:rPr>
            </w:pPr>
            <w:bookmarkStart w:id="5" w:name="PsakDin" w:colFirst="0" w:colLast="0"/>
            <w:r w:rsidRPr="008F2D38">
              <w:rPr>
                <w:rFonts w:ascii="Arial" w:hAnsi="Arial"/>
                <w:b/>
                <w:bCs/>
                <w:sz w:val="32"/>
                <w:szCs w:val="32"/>
                <w:u w:val="single"/>
                <w:rtl/>
              </w:rPr>
              <w:t>גזר דין</w:t>
            </w:r>
          </w:p>
          <w:p w14:paraId="1B40175D" w14:textId="77777777" w:rsidR="001A0D66" w:rsidRPr="008F2D38" w:rsidRDefault="001A0D66" w:rsidP="008F2D38">
            <w:pPr>
              <w:jc w:val="center"/>
              <w:rPr>
                <w:rFonts w:ascii="Arial" w:hAnsi="Arial"/>
                <w:bCs/>
                <w:sz w:val="28"/>
                <w:szCs w:val="28"/>
                <w:u w:val="single"/>
                <w:rtl/>
              </w:rPr>
            </w:pPr>
          </w:p>
        </w:tc>
      </w:tr>
      <w:bookmarkEnd w:id="5"/>
    </w:tbl>
    <w:p w14:paraId="47688055" w14:textId="77777777" w:rsidR="001A0D66" w:rsidRPr="00B05847" w:rsidRDefault="001A0D66" w:rsidP="001A0D66">
      <w:pPr>
        <w:rPr>
          <w:rFonts w:ascii="Arial" w:hAnsi="Arial"/>
          <w:rtl/>
        </w:rPr>
      </w:pPr>
    </w:p>
    <w:p w14:paraId="0F100710" w14:textId="77777777" w:rsidR="001A0D66" w:rsidRDefault="001A0D66" w:rsidP="001A0D66">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בעבירה של נשיאת נשק ותחמושת, לפי </w:t>
      </w:r>
      <w:hyperlink r:id="rId12" w:history="1">
        <w:r w:rsidR="001E42A6" w:rsidRPr="001E42A6">
          <w:rPr>
            <w:rStyle w:val="Hyperlink"/>
            <w:rFonts w:ascii="David" w:hAnsi="David"/>
            <w:color w:val="0000FF"/>
            <w:rtl/>
          </w:rPr>
          <w:t>סעיף 144(ב)</w:t>
        </w:r>
      </w:hyperlink>
      <w:r>
        <w:rPr>
          <w:rFonts w:ascii="David" w:hAnsi="David"/>
          <w:rtl/>
        </w:rPr>
        <w:t xml:space="preserve"> רישא וסיפא </w:t>
      </w:r>
      <w:r>
        <w:rPr>
          <w:rFonts w:ascii="David" w:hAnsi="David"/>
          <w:rtl/>
        </w:rPr>
        <w:tab/>
        <w:t>ל</w:t>
      </w:r>
      <w:hyperlink r:id="rId13" w:history="1">
        <w:r w:rsidR="008F2D38" w:rsidRPr="008F2D38">
          <w:rPr>
            <w:rFonts w:ascii="David" w:hAnsi="David"/>
            <w:color w:val="0000FF"/>
            <w:u w:val="single"/>
            <w:rtl/>
          </w:rPr>
          <w:t>חוק העונשין</w:t>
        </w:r>
      </w:hyperlink>
      <w:r>
        <w:rPr>
          <w:rFonts w:ascii="David" w:hAnsi="David"/>
          <w:rtl/>
        </w:rPr>
        <w:t>, התשל"ז-1977</w:t>
      </w:r>
      <w:r>
        <w:rPr>
          <w:rFonts w:ascii="David" w:hAnsi="David" w:hint="cs"/>
          <w:rtl/>
        </w:rPr>
        <w:t xml:space="preserve"> </w:t>
      </w:r>
      <w:bookmarkStart w:id="7" w:name="ABSTRACT_END"/>
      <w:bookmarkEnd w:id="7"/>
      <w:r>
        <w:rPr>
          <w:rFonts w:ascii="David" w:hAnsi="David" w:hint="cs"/>
          <w:rtl/>
        </w:rPr>
        <w:t xml:space="preserve">(להלן - </w:t>
      </w:r>
      <w:r w:rsidRPr="00505231">
        <w:rPr>
          <w:rFonts w:ascii="David" w:hAnsi="David" w:hint="cs"/>
          <w:b/>
          <w:bCs/>
          <w:rtl/>
        </w:rPr>
        <w:t>חוק העונשין</w:t>
      </w:r>
      <w:r>
        <w:rPr>
          <w:rFonts w:ascii="David" w:hAnsi="David" w:hint="cs"/>
          <w:rtl/>
        </w:rPr>
        <w:t xml:space="preserve">).  </w:t>
      </w:r>
    </w:p>
    <w:p w14:paraId="74EB9D8B" w14:textId="77777777" w:rsidR="001A0D66" w:rsidRDefault="001A0D66" w:rsidP="001A0D66">
      <w:pPr>
        <w:spacing w:line="360" w:lineRule="auto"/>
        <w:jc w:val="both"/>
        <w:rPr>
          <w:rFonts w:ascii="David" w:hAnsi="David"/>
          <w:rtl/>
        </w:rPr>
      </w:pPr>
    </w:p>
    <w:p w14:paraId="0E07C833" w14:textId="77777777" w:rsidR="001A0D66" w:rsidRDefault="001A0D66" w:rsidP="001A0D66">
      <w:pPr>
        <w:spacing w:line="360" w:lineRule="auto"/>
        <w:ind w:left="720" w:hanging="720"/>
        <w:jc w:val="both"/>
        <w:rPr>
          <w:rFonts w:ascii="David" w:hAnsi="David"/>
          <w:rtl/>
        </w:rPr>
      </w:pPr>
      <w:r>
        <w:rPr>
          <w:rFonts w:ascii="David" w:hAnsi="David"/>
          <w:rtl/>
        </w:rPr>
        <w:t>2.</w:t>
      </w:r>
      <w:r>
        <w:rPr>
          <w:rFonts w:ascii="David" w:hAnsi="David"/>
          <w:rtl/>
        </w:rPr>
        <w:tab/>
        <w:t xml:space="preserve">על פי עובדות כתב האישום, ביום 25.7.24, בסמוך לשעה 16:35, נהג הנאשם ברכב שבבעלותו בכביש 12 לכיוון דרום, כשהוא נושא ומוביל עמו נשק שבכוחו להמית מסוג אקדח חצי אוטומטי </w:t>
      </w:r>
      <w:r>
        <w:rPr>
          <w:rFonts w:ascii="David" w:hAnsi="David"/>
        </w:rPr>
        <w:t>Glock</w:t>
      </w:r>
      <w:r>
        <w:rPr>
          <w:rFonts w:ascii="David" w:hAnsi="David"/>
          <w:rtl/>
        </w:rPr>
        <w:t xml:space="preserve"> מתוצרת אוסטריה, ובתוכו מחסנית המכילה שבעה כדורי תחמושת 9 מ"מ. במועד הנ"ל נתפסו הנשק והתחמושת מתחת למושב הנהג ברכב על ידי כוח משטרתי שביצע חסימה בכביש וערך חיפוש ברכב.</w:t>
      </w:r>
    </w:p>
    <w:p w14:paraId="5B97F2D0" w14:textId="77777777" w:rsidR="001A0D66" w:rsidRDefault="001A0D66" w:rsidP="001A0D66">
      <w:pPr>
        <w:spacing w:line="360" w:lineRule="auto"/>
        <w:ind w:left="720" w:hanging="720"/>
        <w:jc w:val="both"/>
        <w:rPr>
          <w:rFonts w:ascii="David" w:hAnsi="David"/>
          <w:rtl/>
        </w:rPr>
      </w:pPr>
    </w:p>
    <w:p w14:paraId="6F4B0ECB" w14:textId="77777777" w:rsidR="001A0D66" w:rsidRDefault="001A0D66" w:rsidP="001A0D66">
      <w:pPr>
        <w:spacing w:line="360" w:lineRule="auto"/>
        <w:jc w:val="both"/>
        <w:rPr>
          <w:rFonts w:ascii="David" w:hAnsi="David"/>
          <w:rtl/>
        </w:rPr>
      </w:pPr>
      <w:r>
        <w:rPr>
          <w:rFonts w:ascii="David" w:hAnsi="David"/>
          <w:rtl/>
        </w:rPr>
        <w:tab/>
      </w:r>
      <w:r>
        <w:rPr>
          <w:rFonts w:ascii="David" w:hAnsi="David" w:hint="cs"/>
          <w:rtl/>
        </w:rPr>
        <w:t xml:space="preserve">הודאת הנאשם ניתנה שלא במסגרת הסדר טיעון, למעט הסכמה כי בנוסף לרכיבי הענישה האחרים, יושת </w:t>
      </w:r>
      <w:r>
        <w:rPr>
          <w:rFonts w:ascii="David" w:hAnsi="David"/>
          <w:rtl/>
        </w:rPr>
        <w:tab/>
      </w:r>
      <w:r>
        <w:rPr>
          <w:rFonts w:ascii="David" w:hAnsi="David" w:hint="cs"/>
          <w:rtl/>
        </w:rPr>
        <w:t>על הנאשם עונש של פסילת רישיון על תנאי.</w:t>
      </w:r>
    </w:p>
    <w:p w14:paraId="2D837DE7" w14:textId="77777777" w:rsidR="001A0D66" w:rsidRDefault="001A0D66" w:rsidP="001A0D66">
      <w:pPr>
        <w:spacing w:line="360" w:lineRule="auto"/>
        <w:jc w:val="both"/>
        <w:rPr>
          <w:rFonts w:ascii="David" w:hAnsi="David"/>
          <w:rtl/>
        </w:rPr>
      </w:pPr>
    </w:p>
    <w:p w14:paraId="2881E002" w14:textId="77777777" w:rsidR="001A0D66" w:rsidRDefault="001A0D66" w:rsidP="001A0D66">
      <w:pPr>
        <w:spacing w:line="360" w:lineRule="auto"/>
        <w:jc w:val="both"/>
        <w:rPr>
          <w:rFonts w:ascii="David" w:hAnsi="David"/>
          <w:u w:val="single"/>
          <w:rtl/>
        </w:rPr>
      </w:pPr>
      <w:r>
        <w:rPr>
          <w:rFonts w:ascii="David" w:hAnsi="David"/>
          <w:rtl/>
        </w:rPr>
        <w:tab/>
      </w:r>
      <w:r>
        <w:rPr>
          <w:rFonts w:ascii="David" w:hAnsi="David"/>
          <w:u w:val="single"/>
          <w:rtl/>
        </w:rPr>
        <w:t xml:space="preserve">תסקיר שירות המבחן </w:t>
      </w:r>
    </w:p>
    <w:p w14:paraId="197B8572" w14:textId="77777777" w:rsidR="001A0D66" w:rsidRDefault="001A0D66" w:rsidP="001A0D66">
      <w:pPr>
        <w:spacing w:line="360" w:lineRule="auto"/>
        <w:jc w:val="both"/>
        <w:rPr>
          <w:rFonts w:ascii="David" w:hAnsi="David"/>
          <w:u w:val="single"/>
          <w:rtl/>
        </w:rPr>
      </w:pPr>
    </w:p>
    <w:p w14:paraId="32BB1C4A" w14:textId="77777777" w:rsidR="001A0D66" w:rsidRDefault="001A0D66" w:rsidP="001A0D66">
      <w:pPr>
        <w:spacing w:line="360" w:lineRule="auto"/>
        <w:jc w:val="both"/>
        <w:rPr>
          <w:rFonts w:ascii="David" w:hAnsi="David"/>
          <w:rtl/>
        </w:rPr>
      </w:pPr>
      <w:r>
        <w:rPr>
          <w:rFonts w:ascii="David" w:hAnsi="David"/>
          <w:rtl/>
        </w:rPr>
        <w:t>3.</w:t>
      </w:r>
      <w:r>
        <w:rPr>
          <w:rFonts w:ascii="David" w:hAnsi="David"/>
          <w:rtl/>
        </w:rPr>
        <w:tab/>
        <w:t xml:space="preserve">בעניינו של הנאשם נערך תסקיר שירות מבחן, ממנו עלו הפרטים הבאים: </w:t>
      </w:r>
    </w:p>
    <w:p w14:paraId="4F390D5C" w14:textId="77777777" w:rsidR="001A0D66" w:rsidRDefault="001A0D66" w:rsidP="001A0D66">
      <w:pPr>
        <w:spacing w:line="360" w:lineRule="auto"/>
        <w:jc w:val="both"/>
        <w:rPr>
          <w:rFonts w:ascii="David" w:hAnsi="David"/>
          <w:rtl/>
        </w:rPr>
      </w:pPr>
    </w:p>
    <w:p w14:paraId="5AC27164" w14:textId="77777777" w:rsidR="001A0D66" w:rsidRDefault="001A0D66" w:rsidP="001A0D66">
      <w:pPr>
        <w:spacing w:line="360" w:lineRule="auto"/>
        <w:ind w:left="720" w:hanging="720"/>
        <w:jc w:val="both"/>
        <w:rPr>
          <w:rFonts w:ascii="David" w:hAnsi="David"/>
          <w:rtl/>
        </w:rPr>
      </w:pPr>
      <w:r>
        <w:rPr>
          <w:rFonts w:ascii="David" w:hAnsi="David"/>
          <w:rtl/>
        </w:rPr>
        <w:tab/>
        <w:t>הנאשם, בן 37, גרוש ללא ילדים ובזוגיות מזה 4 שנים. טרם מעצרו התגורר עם בת זוגו והיה עצמאי בתחום גיזום העצים.</w:t>
      </w:r>
      <w:r>
        <w:rPr>
          <w:rFonts w:ascii="David" w:hAnsi="David" w:hint="cs"/>
          <w:rtl/>
        </w:rPr>
        <w:t xml:space="preserve"> </w:t>
      </w:r>
      <w:r>
        <w:rPr>
          <w:rFonts w:ascii="David" w:hAnsi="David"/>
          <w:rtl/>
        </w:rPr>
        <w:t xml:space="preserve">בשנה האחרונה אובחן על הרצף האוטיסטי, חווה במעצרו התקפי אפילפסיה </w:t>
      </w:r>
      <w:r>
        <w:rPr>
          <w:rFonts w:ascii="David" w:hAnsi="David"/>
          <w:rtl/>
        </w:rPr>
        <w:lastRenderedPageBreak/>
        <w:t xml:space="preserve">ואובחנו אצלו ממצאים סרטניים בעקבותיהם צפוי לעבור הליך רפואי. הוריו של הנאשם התגרשו כשהיה בן שנתיים, והנאשם לא בקשר עם אביו. אימו נישאה והתגרשה בשנית, כשהנאשם תאר את סכסוך הגירושין כדבר שהשפיע עליו לרעה, מלווה באירועי אלימות מצד בן זוגה של אימו, ואף </w:t>
      </w:r>
      <w:r>
        <w:rPr>
          <w:rFonts w:ascii="David" w:hAnsi="David" w:hint="cs"/>
          <w:rtl/>
        </w:rPr>
        <w:t>הוביל</w:t>
      </w:r>
      <w:r>
        <w:rPr>
          <w:rFonts w:ascii="David" w:hAnsi="David"/>
          <w:rtl/>
        </w:rPr>
        <w:t xml:space="preserve"> </w:t>
      </w:r>
      <w:r>
        <w:rPr>
          <w:rFonts w:ascii="David" w:hAnsi="David" w:hint="cs"/>
          <w:rtl/>
        </w:rPr>
        <w:t>ל</w:t>
      </w:r>
      <w:r>
        <w:rPr>
          <w:rFonts w:ascii="David" w:hAnsi="David"/>
          <w:rtl/>
        </w:rPr>
        <w:t>צו הרחקה מבן הזוג</w:t>
      </w:r>
      <w:r>
        <w:rPr>
          <w:rFonts w:ascii="David" w:hAnsi="David" w:hint="cs"/>
          <w:rtl/>
        </w:rPr>
        <w:t xml:space="preserve"> שהוצא כלפי הנאשם</w:t>
      </w:r>
      <w:r>
        <w:rPr>
          <w:rFonts w:ascii="David" w:hAnsi="David"/>
          <w:rtl/>
        </w:rPr>
        <w:t xml:space="preserve"> בעקבות אירוע אלים בו לדבריו ניסה להפריד בניהם.</w:t>
      </w:r>
    </w:p>
    <w:p w14:paraId="7084E38A" w14:textId="77777777" w:rsidR="001A0D66" w:rsidRDefault="001A0D66" w:rsidP="001A0D66">
      <w:pPr>
        <w:spacing w:line="360" w:lineRule="auto"/>
        <w:ind w:left="720" w:hanging="720"/>
        <w:jc w:val="both"/>
        <w:rPr>
          <w:rFonts w:ascii="David" w:hAnsi="David"/>
          <w:rtl/>
        </w:rPr>
      </w:pPr>
    </w:p>
    <w:p w14:paraId="351A19A6" w14:textId="77777777" w:rsidR="001A0D66" w:rsidRDefault="001A0D66" w:rsidP="001A0D66">
      <w:pPr>
        <w:spacing w:line="360" w:lineRule="auto"/>
        <w:ind w:left="720" w:hanging="720"/>
        <w:jc w:val="both"/>
        <w:rPr>
          <w:rFonts w:ascii="David" w:hAnsi="David"/>
          <w:rtl/>
        </w:rPr>
      </w:pPr>
      <w:r>
        <w:rPr>
          <w:rFonts w:ascii="David" w:hAnsi="David"/>
          <w:rtl/>
        </w:rPr>
        <w:tab/>
        <w:t xml:space="preserve">מתיאוריו וממידע קודם בעניינו עלה כי הנאשם השלים 11 שנות לימוד. מגיל צעיר גילה בעייתיות במישור הלימודי ובמישור ההתנהגותי שכן החל להשתמש בסמים, התרועע עם חברה שולית והסתבך בפלילים. הנאשם היה מוכר לשרות המבחן לנוער, ובמסגרת הקשר </w:t>
      </w:r>
      <w:r>
        <w:rPr>
          <w:rFonts w:ascii="David" w:hAnsi="David" w:hint="cs"/>
          <w:rtl/>
        </w:rPr>
        <w:t>עמו</w:t>
      </w:r>
      <w:r>
        <w:rPr>
          <w:rFonts w:ascii="David" w:hAnsi="David"/>
          <w:rtl/>
        </w:rPr>
        <w:t xml:space="preserve"> חלה הפחתה בשימוש בסמים והוא גויס לשרות צבאי במסלול לקידום אוכלוסיות מיוחדות (מקא"מ). עם זאת, בתום זמן קצר פוטר מהשירות הצבאי על רקע אי התאמה בשל מצבו האישי ובעיות התמכרות. במסגרת הקשר עם שרות המבחן, בשנת 201</w:t>
      </w:r>
      <w:r>
        <w:rPr>
          <w:rFonts w:ascii="David" w:hAnsi="David" w:hint="cs"/>
          <w:rtl/>
        </w:rPr>
        <w:t xml:space="preserve">3, </w:t>
      </w:r>
      <w:r>
        <w:rPr>
          <w:rFonts w:ascii="David" w:hAnsi="David"/>
          <w:rtl/>
        </w:rPr>
        <w:t>שולב הנאשם בטיפול בקהילה להתמכרויות "בית אור אביבה" אותו סיים בהצלחה. בעקבות התרשמות משינוי חיובי ומשמעותי שערך, המליץ שירות המבחן דאז על הטלת ענישה שיקומית. בפגישה הנוכחית עם שרות המבחן הכיר הנאשם בכך שטיפול זה סייע לו בשיקום חייו, לאחריו נמנע מצריכת חומרים משני תודעה במשך שנים רבות ותאר אורח חיים מיטיב. לדברי הנאשם לפני כשנה חווה משבר רגשי, ותאר החמרה משמעותית במצבו הנפשי שהובילה לצריכה מחודשת של חומרים פסיכו-אקטיביים</w:t>
      </w:r>
      <w:r>
        <w:rPr>
          <w:rFonts w:ascii="David" w:hAnsi="David" w:hint="cs"/>
          <w:rtl/>
        </w:rPr>
        <w:t>. המשבר התפתח</w:t>
      </w:r>
      <w:r>
        <w:rPr>
          <w:rFonts w:ascii="David" w:hAnsi="David"/>
          <w:rtl/>
        </w:rPr>
        <w:t xml:space="preserve"> על רקע שני אירועים שאירעו בסמיכות: פטירת אמו והפלה טבעית אותה עברו הוא ובת זוגו. הנאשם ביטא הכרה ונזקקות טיפולית בכל הנוגע להתמכרויות, תקשורת והתנהלות חברתית ושליטה בכעסים.</w:t>
      </w:r>
    </w:p>
    <w:p w14:paraId="4556BA2A" w14:textId="77777777" w:rsidR="001A0D66" w:rsidRDefault="001A0D66" w:rsidP="001A0D66">
      <w:pPr>
        <w:spacing w:line="360" w:lineRule="auto"/>
        <w:ind w:left="720" w:hanging="720"/>
        <w:jc w:val="both"/>
        <w:rPr>
          <w:rFonts w:ascii="David" w:hAnsi="David"/>
          <w:rtl/>
        </w:rPr>
      </w:pPr>
    </w:p>
    <w:p w14:paraId="2B30B453" w14:textId="77777777" w:rsidR="001A0D66" w:rsidRDefault="001A0D66" w:rsidP="001A0D66">
      <w:pPr>
        <w:spacing w:line="360" w:lineRule="auto"/>
        <w:ind w:left="720" w:hanging="720"/>
        <w:jc w:val="both"/>
        <w:rPr>
          <w:rFonts w:ascii="David" w:hAnsi="David"/>
          <w:rtl/>
        </w:rPr>
      </w:pPr>
      <w:r>
        <w:rPr>
          <w:rFonts w:ascii="David" w:hAnsi="David"/>
          <w:rtl/>
        </w:rPr>
        <w:tab/>
        <w:t xml:space="preserve">לחובתו של הנאשם 5 הרשעות קודמות בין השנים 2013-2003 בגין עבירות רכוש, אלימות, נשק וסמים. בגין אלו נידון בעבר לצו מבחן, צו של״צ ומאסר. בהתייחסו לאירוע העבירה מסר כי ברקע מצבו הנפשי המעורער, שלל כוונה לעשות שימוש בנשק, ביטא חרטה והכיר בחומרת מעשיו. ממידע שנתקבל מגורמי הטיפול במרכז הכליאה עלה כי הנאשם מכיר בהתמכרותו ומבטא נזקקות טיפולית, לא נרשמו לחובותיו עבירות משמעתיות ובדיקה לאיתור שרידי סם שבוצעה בו נמצאה ללא שרידי סם. הנאשם מצוי במעקב פסיכיאטרי, עומד בקשר עם עובדת סוציאלית, ושולב בתכנית הכנה לגמילה ממנה הודח ומאז מביע רצון להשתלבות חזרה בתכנית כשהנושא בבחינה.  </w:t>
      </w:r>
    </w:p>
    <w:p w14:paraId="0682B08B" w14:textId="77777777" w:rsidR="001A0D66" w:rsidRDefault="001A0D66" w:rsidP="001A0D66">
      <w:pPr>
        <w:spacing w:line="360" w:lineRule="auto"/>
        <w:ind w:left="720" w:hanging="720"/>
        <w:jc w:val="both"/>
        <w:rPr>
          <w:rFonts w:ascii="David" w:hAnsi="David"/>
          <w:rtl/>
        </w:rPr>
      </w:pPr>
    </w:p>
    <w:p w14:paraId="5EBB768C" w14:textId="77777777" w:rsidR="001A0D66" w:rsidRDefault="001A0D66" w:rsidP="001A0D66">
      <w:pPr>
        <w:spacing w:line="360" w:lineRule="auto"/>
        <w:ind w:left="720"/>
        <w:jc w:val="both"/>
        <w:rPr>
          <w:rFonts w:ascii="David" w:hAnsi="David"/>
          <w:rtl/>
        </w:rPr>
      </w:pPr>
      <w:r>
        <w:rPr>
          <w:rFonts w:ascii="David" w:hAnsi="David"/>
          <w:rtl/>
        </w:rPr>
        <w:t xml:space="preserve">על אף התרשמות שירות המבחן מנזקקות טיפולית, לאור מצבו הבריאותי של הנאשם, מאפייניו האישיותיים והערכת הסיכון בעניינו בשים לב לחומרת העבירה אותה ביצע, הגיע שירות המבחן לכלל מסקנה כי לא ניתן להמליץ בעניינו של הנאשם על חלופות ענישה. </w:t>
      </w:r>
    </w:p>
    <w:p w14:paraId="58BFBF96" w14:textId="77777777" w:rsidR="001A0D66" w:rsidRDefault="001A0D66" w:rsidP="001A0D66">
      <w:pPr>
        <w:spacing w:line="360" w:lineRule="auto"/>
        <w:ind w:left="720"/>
        <w:jc w:val="both"/>
        <w:rPr>
          <w:rFonts w:ascii="David" w:hAnsi="David"/>
          <w:rtl/>
        </w:rPr>
      </w:pPr>
    </w:p>
    <w:p w14:paraId="4F25B874" w14:textId="77777777" w:rsidR="001A0D66" w:rsidRDefault="001A0D66" w:rsidP="001A0D66">
      <w:pPr>
        <w:spacing w:line="360" w:lineRule="auto"/>
        <w:ind w:left="720" w:hanging="720"/>
        <w:jc w:val="both"/>
        <w:rPr>
          <w:rFonts w:ascii="David" w:hAnsi="David"/>
          <w:u w:val="single"/>
          <w:rtl/>
        </w:rPr>
      </w:pPr>
      <w:r>
        <w:rPr>
          <w:rFonts w:ascii="David" w:hAnsi="David"/>
          <w:rtl/>
        </w:rPr>
        <w:tab/>
      </w:r>
      <w:r>
        <w:rPr>
          <w:rFonts w:ascii="David" w:hAnsi="David"/>
          <w:u w:val="single"/>
          <w:rtl/>
        </w:rPr>
        <w:t>ראיות לעונש</w:t>
      </w:r>
    </w:p>
    <w:p w14:paraId="7522279C" w14:textId="77777777" w:rsidR="001A0D66" w:rsidRDefault="001A0D66" w:rsidP="001A0D66">
      <w:pPr>
        <w:spacing w:line="360" w:lineRule="auto"/>
        <w:ind w:left="720" w:hanging="720"/>
        <w:jc w:val="both"/>
        <w:rPr>
          <w:rFonts w:ascii="David" w:hAnsi="David"/>
          <w:u w:val="single"/>
          <w:rtl/>
        </w:rPr>
      </w:pPr>
    </w:p>
    <w:p w14:paraId="3A5673F9" w14:textId="77777777" w:rsidR="001A0D66" w:rsidRDefault="001A0D66" w:rsidP="001A0D66">
      <w:pPr>
        <w:spacing w:line="360" w:lineRule="auto"/>
        <w:ind w:left="720" w:hanging="720"/>
        <w:jc w:val="both"/>
        <w:rPr>
          <w:rFonts w:ascii="David" w:hAnsi="David"/>
          <w:rtl/>
        </w:rPr>
      </w:pPr>
      <w:r>
        <w:rPr>
          <w:rFonts w:ascii="David" w:hAnsi="David"/>
          <w:rtl/>
        </w:rPr>
        <w:t>4.</w:t>
      </w:r>
      <w:r>
        <w:rPr>
          <w:rFonts w:ascii="David" w:hAnsi="David"/>
          <w:rtl/>
        </w:rPr>
        <w:tab/>
        <w:t xml:space="preserve">במסגרת הראיות לעונש מטעם ההגנה, הוגשו תעודת פטירה של אימו של הנאשם, וחוו"ד המאבחנת את הנאשם על הרצף האוטיסטי. כמו כן, לזכותו של הנאשם העידו בת זוגתו, גב' ליליאן שפר ואחותו גב׳ בר טסה. </w:t>
      </w:r>
    </w:p>
    <w:p w14:paraId="21ABEB4E" w14:textId="77777777" w:rsidR="001A0D66" w:rsidRDefault="001A0D66" w:rsidP="001A0D66">
      <w:pPr>
        <w:spacing w:line="360" w:lineRule="auto"/>
        <w:ind w:left="720" w:hanging="720"/>
        <w:jc w:val="both"/>
        <w:rPr>
          <w:rFonts w:ascii="David" w:hAnsi="David"/>
          <w:rtl/>
        </w:rPr>
      </w:pPr>
    </w:p>
    <w:p w14:paraId="5B6ECCA0" w14:textId="77777777" w:rsidR="001A0D66" w:rsidRDefault="001A0D66" w:rsidP="001A0D66">
      <w:pPr>
        <w:spacing w:line="360" w:lineRule="auto"/>
        <w:ind w:left="720" w:hanging="720"/>
        <w:jc w:val="both"/>
        <w:rPr>
          <w:rFonts w:ascii="David" w:hAnsi="David"/>
          <w:u w:val="single"/>
          <w:rtl/>
        </w:rPr>
      </w:pPr>
      <w:r>
        <w:rPr>
          <w:rFonts w:ascii="David" w:hAnsi="David"/>
          <w:rtl/>
        </w:rPr>
        <w:tab/>
      </w:r>
      <w:r>
        <w:rPr>
          <w:rFonts w:ascii="David" w:hAnsi="David"/>
          <w:u w:val="single"/>
          <w:rtl/>
        </w:rPr>
        <w:t>טיעוני הצדדים לעונש</w:t>
      </w:r>
    </w:p>
    <w:p w14:paraId="44AD064B" w14:textId="77777777" w:rsidR="001A0D66" w:rsidRDefault="001A0D66" w:rsidP="001A0D66">
      <w:pPr>
        <w:spacing w:line="360" w:lineRule="auto"/>
        <w:ind w:left="720" w:hanging="720"/>
        <w:jc w:val="both"/>
        <w:rPr>
          <w:rFonts w:ascii="David" w:hAnsi="David"/>
          <w:u w:val="single"/>
          <w:rtl/>
        </w:rPr>
      </w:pPr>
    </w:p>
    <w:p w14:paraId="3CD741DD" w14:textId="77777777" w:rsidR="001A0D66" w:rsidRDefault="001A0D66" w:rsidP="001A0D66">
      <w:pPr>
        <w:spacing w:line="360" w:lineRule="auto"/>
        <w:ind w:left="720" w:hanging="720"/>
        <w:jc w:val="both"/>
        <w:rPr>
          <w:rFonts w:ascii="David" w:hAnsi="David"/>
          <w:rtl/>
        </w:rPr>
      </w:pPr>
      <w:r>
        <w:rPr>
          <w:rFonts w:ascii="David" w:hAnsi="David"/>
          <w:rtl/>
        </w:rPr>
        <w:lastRenderedPageBreak/>
        <w:t>5.</w:t>
      </w:r>
      <w:r>
        <w:rPr>
          <w:rFonts w:ascii="David" w:hAnsi="David"/>
          <w:rtl/>
        </w:rPr>
        <w:tab/>
        <w:t>ב"כ התביעה, עו"ד גל אוסטריאק, עמדה בטיעוניה על חומרת העבירה אותה עבר הנאשם, עוצמת הפגיעה בערכים המוגנים, נסיבות ביצוע העבירה ומדיניות הענישה הנוהגת. על בסיס אלו, ובשים לב ל</w:t>
      </w:r>
      <w:r>
        <w:rPr>
          <w:rFonts w:ascii="David" w:hAnsi="David" w:hint="cs"/>
          <w:rtl/>
        </w:rPr>
        <w:t>עונש המזערי למבצעי עבירות נשק אשר נקבע בהוראת שעה במסגרת</w:t>
      </w:r>
      <w:r>
        <w:rPr>
          <w:rFonts w:ascii="David" w:hAnsi="David"/>
          <w:rtl/>
        </w:rPr>
        <w:t xml:space="preserve"> </w:t>
      </w:r>
      <w:hyperlink r:id="rId14" w:history="1">
        <w:r w:rsidR="008F2D38" w:rsidRPr="008F2D38">
          <w:rPr>
            <w:rFonts w:ascii="David" w:hAnsi="David"/>
            <w:color w:val="0000FF"/>
            <w:u w:val="single"/>
            <w:rtl/>
          </w:rPr>
          <w:t>חוק העונשין</w:t>
        </w:r>
      </w:hyperlink>
      <w:r>
        <w:rPr>
          <w:rFonts w:ascii="David" w:hAnsi="David"/>
          <w:rtl/>
        </w:rPr>
        <w:t xml:space="preserve"> (תיקון מס' 140 - הוראת שעה), התשפ"ב-2021, עתרה התביעה לקביעת מתחם ענישה הנע בין 28 ל- 52 חודשי מאסר, לצד ענישה נלווית. </w:t>
      </w:r>
    </w:p>
    <w:p w14:paraId="2906943A" w14:textId="77777777" w:rsidR="001A0D66" w:rsidRDefault="001A0D66" w:rsidP="001A0D66">
      <w:pPr>
        <w:spacing w:line="360" w:lineRule="auto"/>
        <w:ind w:left="720" w:hanging="720"/>
        <w:jc w:val="both"/>
        <w:rPr>
          <w:rFonts w:ascii="David" w:hAnsi="David"/>
          <w:rtl/>
        </w:rPr>
      </w:pPr>
    </w:p>
    <w:p w14:paraId="7C713FD8" w14:textId="77777777" w:rsidR="001A0D66" w:rsidRDefault="001A0D66" w:rsidP="001A0D66">
      <w:pPr>
        <w:spacing w:line="360" w:lineRule="auto"/>
        <w:ind w:left="720" w:hanging="720"/>
        <w:jc w:val="both"/>
        <w:rPr>
          <w:rFonts w:ascii="David" w:hAnsi="David"/>
          <w:rtl/>
        </w:rPr>
      </w:pPr>
      <w:r>
        <w:rPr>
          <w:rFonts w:ascii="David" w:hAnsi="David"/>
          <w:rtl/>
        </w:rPr>
        <w:tab/>
        <w:t xml:space="preserve">התביעה לקחה בחשבון את הודאתו המוקדמת של הנאשם בכתב האישום; העובדה שחסך בזמן ציבורי; נתוניו האישיים; העובדה כי לחובתו עבר פלילי בין היתר בעבירות נשק, אלימות ורכוש; שיקולי הרתעת הרבים והרתעת היחיד. בשים לב לאלו, עתרה התביעה למקם את הנאשם בחלקו העליון של השליש האמצעי של המתחם ולהשית על הנאשם עונש של 45 חודשי מאסר בפועל, פסילה בפועל שלא תפחת מ- 10 שנים, קנס משמעותי וחילוט הרכב ששימש לביצוע העבירה. בנוסף עתרה התביעה להשית על הנאשם פסילה על תנאי תחת נהיגה בשכרות, עונש עליו הסכימו הצדדים שיושת על הנאשם בין יתר העונשים. </w:t>
      </w:r>
    </w:p>
    <w:p w14:paraId="1FAB4C50" w14:textId="77777777" w:rsidR="001A0D66" w:rsidRDefault="001A0D66" w:rsidP="001A0D66">
      <w:pPr>
        <w:spacing w:line="360" w:lineRule="auto"/>
        <w:ind w:left="720" w:hanging="720"/>
        <w:jc w:val="both"/>
        <w:rPr>
          <w:rFonts w:ascii="David" w:hAnsi="David"/>
          <w:rtl/>
        </w:rPr>
      </w:pPr>
    </w:p>
    <w:p w14:paraId="099B62DF" w14:textId="77777777" w:rsidR="001A0D66" w:rsidRDefault="001A0D66" w:rsidP="001A0D66">
      <w:pPr>
        <w:spacing w:line="360" w:lineRule="auto"/>
        <w:ind w:left="720" w:hanging="720"/>
        <w:jc w:val="both"/>
        <w:rPr>
          <w:rFonts w:ascii="David" w:hAnsi="David"/>
          <w:rtl/>
        </w:rPr>
      </w:pPr>
      <w:r>
        <w:rPr>
          <w:rFonts w:ascii="David" w:hAnsi="David"/>
          <w:rtl/>
        </w:rPr>
        <w:t>6.</w:t>
      </w:r>
      <w:r>
        <w:rPr>
          <w:rFonts w:ascii="David" w:hAnsi="David"/>
          <w:rtl/>
        </w:rPr>
        <w:tab/>
        <w:t xml:space="preserve">ב"כ הנאשם, עו"ד יוסי בוקר, התייחס </w:t>
      </w:r>
      <w:r>
        <w:rPr>
          <w:rFonts w:ascii="David" w:hAnsi="David" w:hint="cs"/>
          <w:rtl/>
        </w:rPr>
        <w:t xml:space="preserve">בטיעוניו </w:t>
      </w:r>
      <w:r>
        <w:rPr>
          <w:rFonts w:ascii="David" w:hAnsi="David"/>
          <w:rtl/>
        </w:rPr>
        <w:t>לנסיבות הנוגעות לביצוע העבירה, כשלטענתו בזמן החיפוש הנאשם הודה בהזדמנות הראשונה בשטח ולא ניסה להתחמק ממעשיו. נטען כי הנאשם מבין שמדובר בעבירה חמורה ושמעשיו פסולים</w:t>
      </w:r>
      <w:r>
        <w:rPr>
          <w:rFonts w:ascii="David" w:hAnsi="David" w:hint="cs"/>
          <w:rtl/>
        </w:rPr>
        <w:t>.</w:t>
      </w:r>
      <w:r>
        <w:rPr>
          <w:rFonts w:ascii="David" w:hAnsi="David"/>
          <w:rtl/>
        </w:rPr>
        <w:t xml:space="preserve"> בנוסף התייחס הסנגור לנסיבות חייו המורכבות של הנאשם כפי שאלו פורטו בתסקיר שירות המבחן, כשהדגיש כי על אף אירועי חייו הלא פשוטים, בחר הנאשם לטפל ולשקם עצמו</w:t>
      </w:r>
      <w:r>
        <w:rPr>
          <w:rFonts w:ascii="David" w:hAnsi="David" w:hint="cs"/>
          <w:rtl/>
        </w:rPr>
        <w:t xml:space="preserve"> בשנת 2013,</w:t>
      </w:r>
      <w:r>
        <w:rPr>
          <w:rFonts w:ascii="David" w:hAnsi="David"/>
          <w:rtl/>
        </w:rPr>
        <w:t xml:space="preserve"> והוא אף מבין כי עליו להמשיך לשקם את חייו גם בתקופת המאסר</w:t>
      </w:r>
      <w:r>
        <w:rPr>
          <w:rFonts w:ascii="David" w:hAnsi="David" w:hint="cs"/>
          <w:rtl/>
        </w:rPr>
        <w:t xml:space="preserve"> הנוכחי</w:t>
      </w:r>
      <w:r>
        <w:rPr>
          <w:rFonts w:ascii="David" w:hAnsi="David"/>
          <w:rtl/>
        </w:rPr>
        <w:t xml:space="preserve">. עוד טען הסנגור כי יש לתת משקל להתנהלות המטיבה של הנאשם בכלא על מנת לאפשר לו להשתקם ולחזור למסלול חיים נורמטיבי, שכן </w:t>
      </w:r>
      <w:r w:rsidRPr="00331496">
        <w:rPr>
          <w:rFonts w:ascii="David" w:hAnsi="David"/>
          <w:rtl/>
        </w:rPr>
        <w:t>כפי שתואר בתסקיר שירות המבחן</w:t>
      </w:r>
      <w:r>
        <w:rPr>
          <w:rFonts w:ascii="David" w:hAnsi="David"/>
          <w:rtl/>
        </w:rPr>
        <w:t xml:space="preserve">, לנאשם אין בעיות משמעת והבדיקות שעובר מראות שאינו משתמש בסמים. הסנגור קיבל את עמדת שירות המבחן לגבי קיומה של מסוכנות, אך סבר כי המסוכנות בענייננו נמוכה. </w:t>
      </w:r>
    </w:p>
    <w:p w14:paraId="292CB544" w14:textId="77777777" w:rsidR="001A0D66" w:rsidRDefault="001A0D66" w:rsidP="001A0D66">
      <w:pPr>
        <w:spacing w:line="360" w:lineRule="auto"/>
        <w:ind w:left="720" w:hanging="720"/>
        <w:jc w:val="both"/>
        <w:rPr>
          <w:rFonts w:ascii="David" w:hAnsi="David"/>
          <w:rtl/>
        </w:rPr>
      </w:pPr>
    </w:p>
    <w:p w14:paraId="3332CAA5" w14:textId="77777777" w:rsidR="001A0D66" w:rsidRDefault="001A0D66" w:rsidP="001A0D66">
      <w:pPr>
        <w:spacing w:line="360" w:lineRule="auto"/>
        <w:ind w:left="720" w:hanging="720"/>
        <w:jc w:val="both"/>
        <w:rPr>
          <w:rFonts w:ascii="David" w:hAnsi="David"/>
          <w:rtl/>
        </w:rPr>
      </w:pPr>
      <w:r>
        <w:rPr>
          <w:rFonts w:ascii="David" w:hAnsi="David"/>
          <w:rtl/>
        </w:rPr>
        <w:tab/>
        <w:t xml:space="preserve">לטענת הסנגור, מדובר בעבירת נשיאה </w:t>
      </w:r>
      <w:r>
        <w:rPr>
          <w:rFonts w:ascii="David" w:hAnsi="David" w:hint="cs"/>
          <w:rtl/>
        </w:rPr>
        <w:t>הקרובה בנסיבותיה לעבירת ההחזקה</w:t>
      </w:r>
      <w:r>
        <w:rPr>
          <w:rFonts w:ascii="David" w:hAnsi="David"/>
          <w:rtl/>
        </w:rPr>
        <w:t>. על כן, לאחר שהפנה לפסיקה רלוונטית, עתר הסנגור לקביעת מתחם ענישה הנע בין 18 ל- 36 חודשי מאסר. הסנגור עתר למקם את הנאשם ברף התחתון של המתחם ולהשית עליו 18 חודשי מאסר. בנוסף טען הסנגור כי בניגוד לעמדת התביעה אין להטיל על הנאשם פסילה בפועל, שכן לטענתו רכיב זה אינו מתכתב עם הפסיקה.</w:t>
      </w:r>
    </w:p>
    <w:p w14:paraId="3E94E6B8" w14:textId="77777777" w:rsidR="001A0D66" w:rsidRDefault="001A0D66" w:rsidP="001A0D66">
      <w:pPr>
        <w:spacing w:line="360" w:lineRule="auto"/>
        <w:ind w:left="720" w:hanging="720"/>
        <w:jc w:val="both"/>
        <w:rPr>
          <w:rFonts w:ascii="David" w:hAnsi="David"/>
          <w:rtl/>
        </w:rPr>
      </w:pPr>
    </w:p>
    <w:p w14:paraId="71640552" w14:textId="77777777" w:rsidR="001A0D66" w:rsidRDefault="001A0D66" w:rsidP="001A0D66">
      <w:pPr>
        <w:spacing w:line="360" w:lineRule="auto"/>
        <w:ind w:left="720" w:hanging="720"/>
        <w:jc w:val="both"/>
        <w:rPr>
          <w:rFonts w:ascii="David" w:hAnsi="David"/>
          <w:rtl/>
        </w:rPr>
      </w:pPr>
      <w:r>
        <w:rPr>
          <w:rFonts w:ascii="David" w:hAnsi="David"/>
          <w:rtl/>
        </w:rPr>
        <w:t>7.</w:t>
      </w:r>
      <w:r>
        <w:rPr>
          <w:rFonts w:ascii="David" w:hAnsi="David"/>
          <w:rtl/>
        </w:rPr>
        <w:tab/>
        <w:t>הנאשם בדברו האחרון אמר: ״</w:t>
      </w:r>
      <w:r>
        <w:rPr>
          <w:rFonts w:ascii="David" w:hAnsi="David"/>
          <w:b/>
          <w:bCs/>
          <w:rtl/>
        </w:rPr>
        <w:t>אני שמח שאני יכול לדבר. חשוב לי לעשות שיקום בתוך בית הסוהר. אני יודע שעבירה היא חמורה, זה לא משהו שאחזור עליו. אני לא הייתי אני באותו היום. הייתי על סף אובדנות. הייתי על כמויות גדולות של קוקאין. יש לי מה להפסיד, אני רוצה לחזור לחברה הנורמטיבית. יש לי בעיית התמכרות ואני הולך לקבוצות, זה חשוב לי. אני מקווה לכמה שפחות ענישה, בכדי שלא תעכב לי את התהליך ואוכל לחזור לחיים נורמטיביים</w:t>
      </w:r>
      <w:r>
        <w:rPr>
          <w:rFonts w:ascii="David" w:hAnsi="David"/>
          <w:rtl/>
        </w:rPr>
        <w:t xml:space="preserve">״ (פרו׳ עמ׳ 6, ש׳ 3). </w:t>
      </w:r>
    </w:p>
    <w:p w14:paraId="252D0AE2" w14:textId="77777777" w:rsidR="001A0D66" w:rsidRDefault="001A0D66" w:rsidP="001A0D66">
      <w:pPr>
        <w:spacing w:line="360" w:lineRule="auto"/>
        <w:ind w:left="720" w:hanging="720"/>
        <w:jc w:val="both"/>
        <w:rPr>
          <w:rFonts w:ascii="David" w:hAnsi="David"/>
          <w:rtl/>
        </w:rPr>
      </w:pPr>
    </w:p>
    <w:p w14:paraId="4C074FC0" w14:textId="77777777" w:rsidR="001A0D66" w:rsidRDefault="001A0D66" w:rsidP="001A0D66">
      <w:pPr>
        <w:spacing w:line="360" w:lineRule="auto"/>
        <w:ind w:left="720" w:hanging="720"/>
        <w:jc w:val="both"/>
        <w:rPr>
          <w:rFonts w:ascii="David" w:hAnsi="David"/>
          <w:u w:val="single"/>
          <w:rtl/>
        </w:rPr>
      </w:pPr>
      <w:r>
        <w:rPr>
          <w:rFonts w:ascii="David" w:hAnsi="David"/>
          <w:rtl/>
        </w:rPr>
        <w:tab/>
      </w:r>
      <w:r>
        <w:rPr>
          <w:rFonts w:ascii="David" w:hAnsi="David"/>
          <w:u w:val="single"/>
          <w:rtl/>
        </w:rPr>
        <w:t>דיון והכרעה</w:t>
      </w:r>
      <w:r>
        <w:rPr>
          <w:rFonts w:ascii="David" w:hAnsi="David"/>
          <w:rtl/>
        </w:rPr>
        <w:t xml:space="preserve"> </w:t>
      </w:r>
    </w:p>
    <w:p w14:paraId="4F8B55CF" w14:textId="77777777" w:rsidR="001A0D66" w:rsidRDefault="001A0D66" w:rsidP="001A0D66">
      <w:pPr>
        <w:spacing w:line="360" w:lineRule="auto"/>
        <w:ind w:left="720" w:hanging="720"/>
        <w:jc w:val="both"/>
        <w:rPr>
          <w:rFonts w:ascii="David" w:hAnsi="David"/>
          <w:u w:val="single"/>
          <w:rtl/>
        </w:rPr>
      </w:pPr>
    </w:p>
    <w:p w14:paraId="2F67D6F8" w14:textId="77777777" w:rsidR="001A0D66" w:rsidRDefault="001A0D66" w:rsidP="001A0D66">
      <w:pPr>
        <w:spacing w:line="360" w:lineRule="auto"/>
        <w:ind w:left="720" w:hanging="720"/>
        <w:jc w:val="both"/>
        <w:rPr>
          <w:rFonts w:ascii="David" w:hAnsi="David"/>
          <w:rtl/>
        </w:rPr>
      </w:pPr>
      <w:r>
        <w:rPr>
          <w:rFonts w:ascii="David" w:hAnsi="David"/>
          <w:rtl/>
        </w:rPr>
        <w:t>8.</w:t>
      </w:r>
      <w:r>
        <w:rPr>
          <w:rFonts w:ascii="David" w:hAnsi="David"/>
          <w:rtl/>
        </w:rPr>
        <w:tab/>
        <w:t xml:space="preserve">על החומרה הרבה הגלומה בעבירות הנשק, ועל הצורך בהחמרת הענישה בעבירות אלו עמד בית המשפט העליון בשורה ארוכה של פסקי דין. עבירות הנשק פוגעות פגיעה קשה בערכים מוגנים רבים ובניהם שמירה על חיי אדם ושלמות גופו, כמו גם שמירה על שלום הציבור ובטחונו. </w:t>
      </w:r>
    </w:p>
    <w:p w14:paraId="3DAEA9BB" w14:textId="77777777" w:rsidR="001A0D66" w:rsidRDefault="001A0D66" w:rsidP="001A0D66">
      <w:pPr>
        <w:spacing w:line="360" w:lineRule="auto"/>
        <w:ind w:left="720" w:hanging="720"/>
        <w:jc w:val="both"/>
        <w:rPr>
          <w:rFonts w:ascii="David" w:hAnsi="David"/>
          <w:rtl/>
        </w:rPr>
      </w:pPr>
    </w:p>
    <w:p w14:paraId="70B24944" w14:textId="77777777" w:rsidR="001A0D66" w:rsidRDefault="001A0D66" w:rsidP="001A0D66">
      <w:pPr>
        <w:spacing w:line="360" w:lineRule="auto"/>
        <w:ind w:left="720" w:hanging="720"/>
        <w:jc w:val="both"/>
        <w:rPr>
          <w:rFonts w:ascii="David" w:hAnsi="David"/>
          <w:rtl/>
        </w:rPr>
      </w:pPr>
      <w:r>
        <w:rPr>
          <w:rFonts w:ascii="David" w:hAnsi="David"/>
          <w:rtl/>
        </w:rPr>
        <w:tab/>
        <w:t>וכך נקבע בין היתר: "</w:t>
      </w:r>
      <w:r>
        <w:rPr>
          <w:rFonts w:ascii="David" w:hAnsi="David"/>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w:t>
      </w:r>
      <w:r>
        <w:rPr>
          <w:rFonts w:ascii="David" w:hAnsi="David" w:hint="cs"/>
          <w:b/>
          <w:bCs/>
          <w:rtl/>
        </w:rPr>
        <w:t xml:space="preserve"> [</w:t>
      </w:r>
      <w:r>
        <w:rPr>
          <w:rFonts w:ascii="David" w:hAnsi="David"/>
          <w:b/>
          <w:bCs/>
          <w:rtl/>
        </w:rPr>
        <w:t>...</w:t>
      </w:r>
      <w:r>
        <w:rPr>
          <w:rFonts w:ascii="David" w:hAnsi="David" w:hint="cs"/>
          <w:b/>
          <w:bCs/>
          <w:rtl/>
        </w:rPr>
        <w:t>]</w:t>
      </w:r>
      <w:r>
        <w:rPr>
          <w:rFonts w:ascii="David" w:hAnsi="David"/>
          <w:b/>
          <w:bCs/>
          <w:rtl/>
        </w:rPr>
        <w:t xml:space="preserve">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rtl/>
        </w:rPr>
        <w:t>" [</w:t>
      </w:r>
      <w:hyperlink r:id="rId15" w:history="1">
        <w:r w:rsidR="008F2D38" w:rsidRPr="008F2D38">
          <w:rPr>
            <w:rFonts w:ascii="David" w:hAnsi="David"/>
            <w:color w:val="0000FF"/>
            <w:u w:val="single"/>
            <w:rtl/>
          </w:rPr>
          <w:t>ע"פ 147/21</w:t>
        </w:r>
      </w:hyperlink>
      <w:r>
        <w:rPr>
          <w:rFonts w:ascii="David" w:hAnsi="David"/>
          <w:rtl/>
        </w:rPr>
        <w:t xml:space="preserve"> </w:t>
      </w:r>
      <w:r>
        <w:rPr>
          <w:rFonts w:ascii="David" w:hAnsi="David"/>
          <w:b/>
          <w:bCs/>
          <w:rtl/>
        </w:rPr>
        <w:t>מדינת ישראל נ' ביטון</w:t>
      </w:r>
      <w:r>
        <w:rPr>
          <w:rFonts w:ascii="David" w:hAnsi="David"/>
          <w:rtl/>
        </w:rPr>
        <w:t xml:space="preserve">, פסקה 7 לפסק דינו של כב' השופט שטיין (14.2.2021)].  </w:t>
      </w:r>
    </w:p>
    <w:p w14:paraId="02B1A9D9" w14:textId="77777777" w:rsidR="001A0D66" w:rsidRDefault="001A0D66" w:rsidP="001A0D66">
      <w:pPr>
        <w:spacing w:line="360" w:lineRule="auto"/>
        <w:ind w:left="720" w:hanging="720"/>
        <w:jc w:val="both"/>
        <w:rPr>
          <w:rFonts w:ascii="David" w:hAnsi="David"/>
          <w:rtl/>
        </w:rPr>
      </w:pPr>
    </w:p>
    <w:p w14:paraId="74CD8BEC" w14:textId="77777777" w:rsidR="001A0D66" w:rsidRDefault="001A0D66" w:rsidP="001A0D66">
      <w:pPr>
        <w:spacing w:line="360" w:lineRule="auto"/>
        <w:ind w:left="720" w:hanging="720"/>
        <w:jc w:val="both"/>
        <w:rPr>
          <w:rFonts w:ascii="David" w:hAnsi="David"/>
          <w:rtl/>
        </w:rPr>
      </w:pPr>
      <w:r>
        <w:rPr>
          <w:rFonts w:ascii="David" w:hAnsi="David"/>
          <w:rtl/>
        </w:rPr>
        <w:tab/>
        <w:t>לעניין זה יפים אף דבריו של כב' השופט הנדל ב</w:t>
      </w:r>
      <w:hyperlink r:id="rId16" w:history="1">
        <w:r w:rsidR="008F2D38" w:rsidRPr="008F2D38">
          <w:rPr>
            <w:rFonts w:ascii="David" w:hAnsi="David"/>
            <w:color w:val="0000FF"/>
            <w:u w:val="single"/>
            <w:rtl/>
          </w:rPr>
          <w:t>ע"פ 2101/21</w:t>
        </w:r>
      </w:hyperlink>
      <w:r>
        <w:rPr>
          <w:rFonts w:ascii="David" w:hAnsi="David"/>
          <w:rtl/>
        </w:rPr>
        <w:t xml:space="preserve"> </w:t>
      </w:r>
      <w:r>
        <w:rPr>
          <w:rFonts w:ascii="David" w:hAnsi="David"/>
          <w:b/>
          <w:bCs/>
          <w:rtl/>
        </w:rPr>
        <w:t xml:space="preserve">טוביה נ' מדינת ישראל </w:t>
      </w:r>
      <w:r>
        <w:rPr>
          <w:rFonts w:ascii="David" w:hAnsi="David"/>
          <w:rtl/>
        </w:rPr>
        <w:t>(29.7.2021): "</w:t>
      </w:r>
      <w:r>
        <w:rPr>
          <w:rFonts w:ascii="David" w:hAnsi="David"/>
          <w:b/>
          <w:bCs/>
          <w:rtl/>
        </w:rPr>
        <w:t>יש להחמיר בענישה בגין עבירות נשק ש'יעדו הסופי' אינו נהיר. לצערנו, בשנים האחרונות מורגשת עליה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w:t>
      </w:r>
      <w:r>
        <w:rPr>
          <w:rFonts w:ascii="David" w:hAnsi="David" w:hint="cs"/>
          <w:b/>
          <w:bCs/>
          <w:rtl/>
        </w:rPr>
        <w:t>ך</w:t>
      </w:r>
      <w:r>
        <w:rPr>
          <w:rFonts w:ascii="David" w:hAnsi="David"/>
          <w:b/>
          <w:bCs/>
          <w:rtl/>
        </w:rPr>
        <w:t xml:space="preserve"> את המרחב הציבורי למקום מסוכן יותר ובטוח פחות</w:t>
      </w:r>
      <w:r>
        <w:rPr>
          <w:rFonts w:ascii="David" w:hAnsi="David"/>
          <w:rtl/>
        </w:rPr>
        <w:t xml:space="preserve">". </w:t>
      </w:r>
    </w:p>
    <w:p w14:paraId="0C7DCF61" w14:textId="77777777" w:rsidR="001A0D66" w:rsidRDefault="001A0D66" w:rsidP="001A0D66">
      <w:pPr>
        <w:spacing w:line="360" w:lineRule="auto"/>
        <w:ind w:left="720" w:hanging="720"/>
        <w:jc w:val="both"/>
        <w:rPr>
          <w:rFonts w:ascii="David" w:hAnsi="David"/>
          <w:rtl/>
        </w:rPr>
      </w:pPr>
    </w:p>
    <w:p w14:paraId="51898358" w14:textId="77777777" w:rsidR="001A0D66" w:rsidRDefault="001A0D66" w:rsidP="001A0D66">
      <w:pPr>
        <w:spacing w:line="360" w:lineRule="auto"/>
        <w:ind w:left="720" w:hanging="720"/>
        <w:jc w:val="both"/>
        <w:rPr>
          <w:rFonts w:ascii="David" w:hAnsi="David"/>
          <w:rtl/>
        </w:rPr>
      </w:pPr>
      <w:r>
        <w:rPr>
          <w:rFonts w:ascii="David" w:hAnsi="David"/>
          <w:rtl/>
        </w:rPr>
        <w:tab/>
        <w:t xml:space="preserve">עוד נקבע בפסיקת בית המשפט העליון כי המתחם הראוי ביחס לעבירה של נשיאת נשק "רגילה", צריך לנוע בין 30 ל- 42 חודשי מאסר, לצד רכיבי ענישה נלווים [ראה </w:t>
      </w:r>
      <w:hyperlink r:id="rId17" w:history="1">
        <w:r w:rsidR="008F2D38" w:rsidRPr="008F2D38">
          <w:rPr>
            <w:rFonts w:ascii="David" w:hAnsi="David"/>
            <w:color w:val="0000FF"/>
            <w:u w:val="single"/>
            <w:rtl/>
          </w:rPr>
          <w:t>ע"פ 5602/22</w:t>
        </w:r>
      </w:hyperlink>
      <w:r>
        <w:rPr>
          <w:rFonts w:ascii="David" w:hAnsi="David"/>
          <w:rtl/>
        </w:rPr>
        <w:t xml:space="preserve"> </w:t>
      </w:r>
      <w:r>
        <w:rPr>
          <w:rFonts w:ascii="David" w:hAnsi="David"/>
          <w:b/>
          <w:bCs/>
          <w:rtl/>
        </w:rPr>
        <w:t xml:space="preserve">מדינת ישראל נ' פלוני </w:t>
      </w:r>
      <w:r>
        <w:rPr>
          <w:rFonts w:ascii="David" w:hAnsi="David"/>
          <w:rtl/>
        </w:rPr>
        <w:t>(8.9.2022</w:t>
      </w:r>
      <w:r>
        <w:rPr>
          <w:rFonts w:ascii="David" w:hAnsi="David" w:hint="cs"/>
          <w:rtl/>
        </w:rPr>
        <w:t>)].</w:t>
      </w:r>
    </w:p>
    <w:p w14:paraId="2380AF45" w14:textId="77777777" w:rsidR="001A0D66" w:rsidRDefault="001A0D66" w:rsidP="001A0D66">
      <w:pPr>
        <w:spacing w:line="360" w:lineRule="auto"/>
        <w:ind w:left="720" w:hanging="720"/>
        <w:jc w:val="both"/>
        <w:rPr>
          <w:rFonts w:ascii="David" w:hAnsi="David"/>
          <w:rtl/>
        </w:rPr>
      </w:pPr>
    </w:p>
    <w:p w14:paraId="1AD0BDEA" w14:textId="77777777" w:rsidR="001A0D66" w:rsidRDefault="001A0D66" w:rsidP="001A0D66">
      <w:pPr>
        <w:pStyle w:val="a9"/>
        <w:spacing w:line="360" w:lineRule="auto"/>
        <w:jc w:val="both"/>
        <w:rPr>
          <w:rFonts w:ascii="David" w:hAnsi="David" w:cs="David"/>
          <w:sz w:val="24"/>
          <w:szCs w:val="24"/>
          <w:rtl/>
        </w:rPr>
      </w:pPr>
      <w:r>
        <w:rPr>
          <w:rFonts w:ascii="David" w:hAnsi="David" w:cs="David"/>
          <w:sz w:val="24"/>
          <w:szCs w:val="24"/>
          <w:rtl/>
        </w:rPr>
        <w:t>בהקשר זה יש לציין כי ההחמרה בענישה בעבירות הנשק בשנים האחרונות באה לידי ביטוי אף בחקיקה, עת המחוקק קבע עונש מינימום בעבירות נשק, כך שהעונש שיושת בגין עבירות אלו יתחיל מרבע מהעונש המרבי הקבוע לצד העבירה (תיקון 140 - הוראת שעה, התשפ"ב - 2021). הוראת שעה זו אינה עומדת בתוקף כיום, אך יש לראות בה כמבטאת את מדיניות ההחמרה הנהוגה בפסיקה ובחקיקה בעניין עבירות הנשק.</w:t>
      </w:r>
    </w:p>
    <w:p w14:paraId="5512774C" w14:textId="77777777" w:rsidR="001A0D66" w:rsidRDefault="001A0D66" w:rsidP="001A0D66">
      <w:pPr>
        <w:pStyle w:val="a9"/>
        <w:spacing w:line="360" w:lineRule="auto"/>
        <w:jc w:val="both"/>
        <w:rPr>
          <w:rFonts w:ascii="David" w:hAnsi="David" w:cs="David"/>
          <w:sz w:val="24"/>
          <w:szCs w:val="24"/>
          <w:rtl/>
        </w:rPr>
      </w:pPr>
    </w:p>
    <w:p w14:paraId="40778EC7" w14:textId="77777777" w:rsidR="001A0D66" w:rsidRDefault="001A0D66" w:rsidP="001A0D66">
      <w:pPr>
        <w:pStyle w:val="a9"/>
        <w:spacing w:line="360" w:lineRule="auto"/>
        <w:jc w:val="both"/>
        <w:rPr>
          <w:rFonts w:ascii="David" w:hAnsi="David" w:cs="David"/>
          <w:sz w:val="24"/>
          <w:szCs w:val="24"/>
          <w:rtl/>
        </w:rPr>
      </w:pPr>
      <w:r>
        <w:rPr>
          <w:rFonts w:ascii="David" w:hAnsi="David" w:cs="David" w:hint="cs"/>
          <w:sz w:val="24"/>
          <w:szCs w:val="24"/>
          <w:rtl/>
        </w:rPr>
        <w:t>מידת</w:t>
      </w:r>
      <w:r w:rsidRPr="004F607A">
        <w:rPr>
          <w:rFonts w:ascii="David" w:hAnsi="David" w:cs="David"/>
          <w:sz w:val="24"/>
          <w:szCs w:val="24"/>
          <w:rtl/>
        </w:rPr>
        <w:t xml:space="preserve"> הפגיעה בערכים המוגני</w:t>
      </w:r>
      <w:r>
        <w:rPr>
          <w:rFonts w:ascii="David" w:hAnsi="David" w:cs="David"/>
          <w:sz w:val="24"/>
          <w:szCs w:val="24"/>
          <w:rtl/>
        </w:rPr>
        <w:t>ם</w:t>
      </w:r>
      <w:r>
        <w:rPr>
          <w:rFonts w:ascii="David" w:hAnsi="David" w:cs="David" w:hint="cs"/>
          <w:sz w:val="24"/>
          <w:szCs w:val="24"/>
          <w:rtl/>
        </w:rPr>
        <w:t xml:space="preserve"> תלויה בנסיבות המקרה, ובענייננו - </w:t>
      </w:r>
      <w:r w:rsidRPr="004F607A">
        <w:rPr>
          <w:rFonts w:ascii="David" w:hAnsi="David" w:cs="David"/>
          <w:sz w:val="24"/>
          <w:szCs w:val="24"/>
          <w:rtl/>
        </w:rPr>
        <w:t xml:space="preserve">הנאשם נסע ברכבו ובו </w:t>
      </w:r>
      <w:r w:rsidRPr="004F607A">
        <w:rPr>
          <w:rFonts w:ascii="David" w:hAnsi="David" w:cs="David"/>
          <w:sz w:val="24"/>
          <w:szCs w:val="24"/>
          <w:u w:val="single"/>
          <w:rtl/>
        </w:rPr>
        <w:t>אקדח טעון</w:t>
      </w:r>
      <w:r w:rsidRPr="004F607A">
        <w:rPr>
          <w:rFonts w:ascii="David" w:hAnsi="David" w:cs="David"/>
          <w:sz w:val="24"/>
          <w:szCs w:val="24"/>
          <w:rtl/>
        </w:rPr>
        <w:t xml:space="preserve"> בתחמושת מתאימה, כשלא ברור לאן נסע ומה צפוי היה לעשות </w:t>
      </w:r>
      <w:r>
        <w:rPr>
          <w:rFonts w:ascii="David" w:hAnsi="David" w:cs="David" w:hint="cs"/>
          <w:sz w:val="24"/>
          <w:szCs w:val="24"/>
          <w:rtl/>
        </w:rPr>
        <w:t>עמו</w:t>
      </w:r>
      <w:r w:rsidRPr="004F607A">
        <w:rPr>
          <w:rFonts w:ascii="David" w:hAnsi="David" w:cs="David"/>
          <w:sz w:val="24"/>
          <w:szCs w:val="24"/>
          <w:rtl/>
        </w:rPr>
        <w:t xml:space="preserve">. על כן, הפגיעה בערכים המוגנים היא בעוצמה </w:t>
      </w:r>
      <w:r>
        <w:rPr>
          <w:rFonts w:ascii="David" w:hAnsi="David" w:cs="David" w:hint="cs"/>
          <w:sz w:val="24"/>
          <w:szCs w:val="24"/>
          <w:rtl/>
        </w:rPr>
        <w:t>שאינה קלה</w:t>
      </w:r>
      <w:r w:rsidRPr="004F607A">
        <w:rPr>
          <w:rFonts w:ascii="David" w:hAnsi="David" w:cs="David"/>
          <w:sz w:val="24"/>
          <w:szCs w:val="24"/>
          <w:rtl/>
        </w:rPr>
        <w:t>.</w:t>
      </w:r>
    </w:p>
    <w:p w14:paraId="45AD3EE9" w14:textId="77777777" w:rsidR="001A0D66" w:rsidRDefault="001A0D66" w:rsidP="001A0D66">
      <w:pPr>
        <w:pStyle w:val="a9"/>
        <w:spacing w:after="0" w:line="360" w:lineRule="auto"/>
        <w:jc w:val="both"/>
        <w:rPr>
          <w:rFonts w:ascii="David" w:hAnsi="David" w:cs="David"/>
          <w:sz w:val="24"/>
          <w:szCs w:val="24"/>
          <w:rtl/>
        </w:rPr>
      </w:pPr>
    </w:p>
    <w:p w14:paraId="22534996" w14:textId="77777777" w:rsidR="001A0D66" w:rsidRPr="00DA0A7E" w:rsidRDefault="001A0D66" w:rsidP="001A0D66">
      <w:pPr>
        <w:spacing w:line="360" w:lineRule="auto"/>
        <w:ind w:left="720" w:hanging="720"/>
        <w:jc w:val="both"/>
        <w:rPr>
          <w:rFonts w:ascii="David" w:hAnsi="David"/>
          <w:rtl/>
        </w:rPr>
      </w:pPr>
      <w:r>
        <w:rPr>
          <w:rFonts w:ascii="David" w:hAnsi="David" w:hint="cs"/>
          <w:rtl/>
        </w:rPr>
        <w:t>9.</w:t>
      </w:r>
      <w:r>
        <w:rPr>
          <w:rFonts w:ascii="David" w:hAnsi="David"/>
          <w:rtl/>
        </w:rPr>
        <w:tab/>
      </w:r>
      <w:r w:rsidRPr="00DA0A7E">
        <w:rPr>
          <w:rFonts w:ascii="David" w:hAnsi="David"/>
          <w:rtl/>
        </w:rPr>
        <w:t xml:space="preserve">בבחינת מדיניות הענישה הנוהגת ראיתי להפנות לפסקי הדין הבאים:  </w:t>
      </w:r>
    </w:p>
    <w:p w14:paraId="703ACA45" w14:textId="77777777" w:rsidR="001A0D66" w:rsidRDefault="001A0D66" w:rsidP="001A0D66">
      <w:pPr>
        <w:spacing w:line="360" w:lineRule="auto"/>
        <w:ind w:left="720" w:hanging="720"/>
        <w:jc w:val="both"/>
        <w:rPr>
          <w:rFonts w:ascii="David" w:hAnsi="David"/>
          <w:rtl/>
        </w:rPr>
      </w:pPr>
    </w:p>
    <w:p w14:paraId="1A6E9D8C" w14:textId="77777777" w:rsidR="001A0D66" w:rsidRDefault="001A0D66" w:rsidP="001A0D66">
      <w:pPr>
        <w:spacing w:line="360" w:lineRule="auto"/>
        <w:ind w:left="720" w:hanging="720"/>
        <w:jc w:val="both"/>
        <w:rPr>
          <w:rFonts w:ascii="David" w:hAnsi="David"/>
          <w:rtl/>
        </w:rPr>
      </w:pPr>
      <w:r>
        <w:rPr>
          <w:rFonts w:ascii="David" w:hAnsi="David"/>
          <w:rtl/>
        </w:rPr>
        <w:tab/>
      </w:r>
      <w:hyperlink r:id="rId18" w:history="1">
        <w:r w:rsidR="008F2D38" w:rsidRPr="008F2D38">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xml:space="preserve"> (20.12.2023) - הנאשם הורשע על יסוד הודאתו, בעבירות של החזקה ונשיאה בנשק לפי </w:t>
      </w:r>
      <w:hyperlink r:id="rId19" w:history="1">
        <w:r w:rsidR="001E42A6" w:rsidRPr="001E42A6">
          <w:rPr>
            <w:rStyle w:val="Hyperlink"/>
            <w:rFonts w:ascii="David" w:hAnsi="David"/>
            <w:color w:val="0000FF"/>
            <w:rtl/>
          </w:rPr>
          <w:t>סעיף 144(א)+(ב)</w:t>
        </w:r>
      </w:hyperlink>
      <w:r>
        <w:rPr>
          <w:rFonts w:ascii="David" w:hAnsi="David"/>
          <w:rtl/>
        </w:rPr>
        <w:t xml:space="preserve"> ל</w:t>
      </w:r>
      <w:hyperlink r:id="rId20" w:history="1">
        <w:r w:rsidR="008F2D38" w:rsidRPr="008F2D38">
          <w:rPr>
            <w:rFonts w:ascii="David" w:hAnsi="David"/>
            <w:color w:val="0000FF"/>
            <w:u w:val="single"/>
            <w:rtl/>
          </w:rPr>
          <w:t>חוק העונשין</w:t>
        </w:r>
      </w:hyperlink>
      <w:r>
        <w:rPr>
          <w:rFonts w:ascii="David" w:hAnsi="David"/>
          <w:rtl/>
        </w:rPr>
        <w:t>, בכך שהחזיק אקדח מוסב, אשר ביכולתו להמית אדם, טעון במחסנית ובתוכה 6 כדורים. הנאשם יצא מביתו, כשהוא מחזיק ונושא את האקדח טעון במחסנית ובכדורים מוסתר בבגדיו, יחד עם אשתו לכיוון רכבו. שוטרים שהיו בתצפית יזומה על הנאשם הבחינו בו. לאחר שהנאשם זיהה את השוטרים הוא פתח במנוסה</w:t>
      </w:r>
      <w:r>
        <w:rPr>
          <w:rFonts w:ascii="David" w:hAnsi="David" w:hint="cs"/>
          <w:rtl/>
        </w:rPr>
        <w:t>, במהלכה הוציא</w:t>
      </w:r>
      <w:r>
        <w:rPr>
          <w:rFonts w:ascii="David" w:hAnsi="David"/>
          <w:rtl/>
        </w:rPr>
        <w:t xml:space="preserve"> את האקדח והחזיק אותו בידו. השוטרים השיגו את הנאשם ואחד השוטרים דרך את נשקו האישי, כיוון אל הנאשם והורה לו להשליך את האקדח לרצפה. לאחר מכן הנאשם נעצר. בית המשפט המחוזי קבע </w:t>
      </w:r>
      <w:r>
        <w:rPr>
          <w:rFonts w:ascii="David" w:hAnsi="David"/>
          <w:b/>
          <w:bCs/>
          <w:rtl/>
        </w:rPr>
        <w:t>מתחם עונש הולם הנע בין 24 חודשים ל-50 חודשי מאסר</w:t>
      </w:r>
      <w:r>
        <w:rPr>
          <w:rFonts w:ascii="David" w:hAnsi="David"/>
          <w:rtl/>
        </w:rPr>
        <w:t xml:space="preserve">, וגזר על הנאשם </w:t>
      </w:r>
      <w:r>
        <w:rPr>
          <w:rFonts w:ascii="David" w:hAnsi="David"/>
          <w:b/>
          <w:bCs/>
          <w:rtl/>
        </w:rPr>
        <w:t>35 חודשי מאסר</w:t>
      </w:r>
      <w:r>
        <w:rPr>
          <w:rFonts w:ascii="David" w:hAnsi="David"/>
          <w:rtl/>
        </w:rPr>
        <w:t xml:space="preserve"> וענישה נלווית. ערעור שהוגש לבית המשפט העליון על חומרת העונש נדחה.  </w:t>
      </w:r>
    </w:p>
    <w:p w14:paraId="209ECDAA" w14:textId="77777777" w:rsidR="001A0D66" w:rsidRDefault="001A0D66" w:rsidP="001A0D66">
      <w:pPr>
        <w:spacing w:line="360" w:lineRule="auto"/>
        <w:ind w:left="720" w:hanging="720"/>
        <w:jc w:val="both"/>
        <w:rPr>
          <w:rFonts w:ascii="David" w:hAnsi="David"/>
          <w:rtl/>
        </w:rPr>
      </w:pPr>
    </w:p>
    <w:p w14:paraId="0744C961" w14:textId="77777777" w:rsidR="001A0D66" w:rsidRDefault="001A0D66" w:rsidP="001A0D66">
      <w:pPr>
        <w:spacing w:line="360" w:lineRule="auto"/>
        <w:ind w:left="720" w:hanging="720"/>
        <w:jc w:val="both"/>
        <w:rPr>
          <w:rFonts w:ascii="David" w:hAnsi="David"/>
          <w:rtl/>
        </w:rPr>
      </w:pPr>
      <w:r>
        <w:rPr>
          <w:rFonts w:ascii="David" w:hAnsi="David"/>
          <w:rtl/>
        </w:rPr>
        <w:tab/>
      </w:r>
      <w:hyperlink r:id="rId21" w:history="1">
        <w:r w:rsidR="008F2D38" w:rsidRPr="008F2D38">
          <w:rPr>
            <w:rFonts w:ascii="David" w:hAnsi="David"/>
            <w:color w:val="0000FF"/>
            <w:u w:val="single"/>
            <w:rtl/>
          </w:rPr>
          <w:t>ע"פ 3851/23</w:t>
        </w:r>
      </w:hyperlink>
      <w:r>
        <w:rPr>
          <w:rFonts w:ascii="David" w:hAnsi="David"/>
          <w:rtl/>
        </w:rPr>
        <w:t xml:space="preserve"> </w:t>
      </w:r>
      <w:r>
        <w:rPr>
          <w:rFonts w:ascii="David" w:hAnsi="David"/>
          <w:b/>
          <w:bCs/>
          <w:rtl/>
        </w:rPr>
        <w:t>בוהדנה נ' מדינת ישראל</w:t>
      </w:r>
      <w:r>
        <w:rPr>
          <w:rFonts w:ascii="David" w:hAnsi="David"/>
          <w:rtl/>
        </w:rPr>
        <w:t xml:space="preserve"> (13.6.2023) - הנאשם הורשע על יסוד הודאתו במסגרת הסדר טיעון בעבירות נשק (החזקה, נשיאה והובלה), לפי </w:t>
      </w:r>
      <w:hyperlink r:id="rId22" w:history="1">
        <w:r w:rsidR="001E42A6" w:rsidRPr="001E42A6">
          <w:rPr>
            <w:rStyle w:val="Hyperlink"/>
            <w:rFonts w:ascii="David" w:hAnsi="David"/>
            <w:color w:val="0000FF"/>
            <w:rtl/>
          </w:rPr>
          <w:t>סעיף 144(א)</w:t>
        </w:r>
      </w:hyperlink>
      <w:r>
        <w:rPr>
          <w:rFonts w:ascii="David" w:hAnsi="David"/>
          <w:rtl/>
        </w:rPr>
        <w:t xml:space="preserve"> ריש</w:t>
      </w:r>
      <w:r>
        <w:rPr>
          <w:rFonts w:ascii="David" w:hAnsi="David" w:hint="cs"/>
          <w:rtl/>
        </w:rPr>
        <w:t>א</w:t>
      </w:r>
      <w:r>
        <w:rPr>
          <w:rFonts w:ascii="David" w:hAnsi="David"/>
          <w:rtl/>
        </w:rPr>
        <w:t xml:space="preserve"> וסיפא + </w:t>
      </w:r>
      <w:hyperlink r:id="rId23" w:history="1">
        <w:r w:rsidR="001E42A6" w:rsidRPr="001E42A6">
          <w:rPr>
            <w:rStyle w:val="Hyperlink"/>
            <w:rFonts w:ascii="David" w:hAnsi="David"/>
            <w:color w:val="0000FF"/>
            <w:rtl/>
          </w:rPr>
          <w:t>סעיף 144(ב)</w:t>
        </w:r>
      </w:hyperlink>
      <w:r>
        <w:rPr>
          <w:rFonts w:ascii="David" w:hAnsi="David"/>
          <w:rtl/>
        </w:rPr>
        <w:t xml:space="preserve"> רישא וסיפא ל</w:t>
      </w:r>
      <w:hyperlink r:id="rId24" w:history="1">
        <w:r w:rsidR="008F2D38" w:rsidRPr="008F2D38">
          <w:rPr>
            <w:rFonts w:ascii="David" w:hAnsi="David"/>
            <w:color w:val="0000FF"/>
            <w:u w:val="single"/>
            <w:rtl/>
          </w:rPr>
          <w:t>חוק העונשין</w:t>
        </w:r>
      </w:hyperlink>
      <w:r>
        <w:rPr>
          <w:rFonts w:ascii="David" w:hAnsi="David"/>
          <w:rtl/>
        </w:rPr>
        <w:t xml:space="preserve">, וכן עבירת החזקת סם מסוכן לצריכה עצמית, עבירה לפי </w:t>
      </w:r>
      <w:hyperlink r:id="rId25" w:history="1">
        <w:r w:rsidR="001E42A6" w:rsidRPr="001E42A6">
          <w:rPr>
            <w:rStyle w:val="Hyperlink"/>
            <w:rFonts w:ascii="David" w:hAnsi="David"/>
            <w:color w:val="0000FF"/>
            <w:rtl/>
          </w:rPr>
          <w:t>סעיף 7(א)+(ג)</w:t>
        </w:r>
      </w:hyperlink>
      <w:r>
        <w:rPr>
          <w:rFonts w:ascii="David" w:hAnsi="David"/>
          <w:rtl/>
        </w:rPr>
        <w:t xml:space="preserve"> ל</w:t>
      </w:r>
      <w:hyperlink r:id="rId26" w:history="1">
        <w:r w:rsidR="008F2D38" w:rsidRPr="008F2D38">
          <w:rPr>
            <w:rFonts w:ascii="David" w:hAnsi="David"/>
            <w:color w:val="0000FF"/>
            <w:u w:val="single"/>
            <w:rtl/>
          </w:rPr>
          <w:t>פקודת הסמים המסוכנים</w:t>
        </w:r>
      </w:hyperlink>
      <w:r>
        <w:rPr>
          <w:rFonts w:ascii="David" w:hAnsi="David"/>
          <w:rtl/>
        </w:rPr>
        <w:t xml:space="preserve">. הנאשם נסע ברכב שבשימושו ובשליטתו כשישב במושב שליד הנהג. ברווח שבין המושב ליד הנהג ובין ידית ההילוכים ברכב נמצא אקדח חצי אוטומטי מסוג </w:t>
      </w:r>
      <w:r>
        <w:rPr>
          <w:rFonts w:ascii="David" w:hAnsi="David"/>
        </w:rPr>
        <w:t>ZAGROS</w:t>
      </w:r>
      <w:r>
        <w:rPr>
          <w:rFonts w:ascii="David" w:hAnsi="David"/>
          <w:rtl/>
        </w:rPr>
        <w:t xml:space="preserve"> תוצרת אזרבייג'ן, מודל </w:t>
      </w:r>
      <w:r>
        <w:rPr>
          <w:rFonts w:ascii="David" w:hAnsi="David"/>
        </w:rPr>
        <w:t>K</w:t>
      </w:r>
      <w:r>
        <w:rPr>
          <w:rFonts w:ascii="David" w:hAnsi="David"/>
          <w:rtl/>
        </w:rPr>
        <w:t xml:space="preserve">-16 קליבר 9 מ"מ ובתוכו מחסנית תואמת שהכילה 15 כדורים. במהלך מעצרו נמצא עליו סם מסוכן מסוג חשיש בכמות של 2.87 גרם ומסוג קנבוס בכמות של 0.55 גרם. בית המשפט המחוזי קבע </w:t>
      </w:r>
      <w:r>
        <w:rPr>
          <w:rFonts w:ascii="David" w:hAnsi="David"/>
          <w:b/>
          <w:bCs/>
          <w:rtl/>
        </w:rPr>
        <w:t>מתחם ענישה הנע בין 30 ל-48 חודשי מאסר</w:t>
      </w:r>
      <w:r>
        <w:rPr>
          <w:rFonts w:ascii="David" w:hAnsi="David"/>
          <w:rtl/>
        </w:rPr>
        <w:t xml:space="preserve">, וגזר על הנאשם </w:t>
      </w:r>
      <w:r>
        <w:rPr>
          <w:rFonts w:ascii="David" w:hAnsi="David"/>
          <w:b/>
          <w:bCs/>
          <w:rtl/>
        </w:rPr>
        <w:t xml:space="preserve">42 חודשי מאסר </w:t>
      </w:r>
      <w:r>
        <w:rPr>
          <w:rFonts w:ascii="David" w:hAnsi="David"/>
          <w:rtl/>
        </w:rPr>
        <w:t xml:space="preserve">לצדי ענישה נלווית. ערעור שהוגש לבית המשפט העליון נדחה. </w:t>
      </w:r>
    </w:p>
    <w:p w14:paraId="74EE40D0" w14:textId="77777777" w:rsidR="001A0D66" w:rsidRDefault="001A0D66" w:rsidP="001A0D66">
      <w:pPr>
        <w:spacing w:line="360" w:lineRule="auto"/>
        <w:ind w:left="720" w:hanging="720"/>
        <w:jc w:val="both"/>
        <w:rPr>
          <w:rFonts w:ascii="David" w:hAnsi="David"/>
          <w:rtl/>
        </w:rPr>
      </w:pPr>
    </w:p>
    <w:p w14:paraId="73395CB4" w14:textId="77777777" w:rsidR="001A0D66" w:rsidRDefault="001A0D66" w:rsidP="001A0D66">
      <w:pPr>
        <w:spacing w:line="360" w:lineRule="auto"/>
        <w:ind w:left="720" w:hanging="720"/>
        <w:jc w:val="both"/>
        <w:rPr>
          <w:rFonts w:ascii="David" w:hAnsi="David"/>
          <w:rtl/>
        </w:rPr>
      </w:pPr>
      <w:r>
        <w:rPr>
          <w:rFonts w:ascii="David" w:hAnsi="David"/>
          <w:rtl/>
        </w:rPr>
        <w:tab/>
      </w:r>
      <w:hyperlink r:id="rId27" w:history="1">
        <w:r w:rsidR="008F2D38" w:rsidRPr="008F2D38">
          <w:rPr>
            <w:rFonts w:ascii="David" w:hAnsi="David"/>
            <w:color w:val="0000FF"/>
            <w:u w:val="single"/>
            <w:rtl/>
          </w:rPr>
          <w:t>ע"פ 6498/22</w:t>
        </w:r>
      </w:hyperlink>
      <w:r>
        <w:rPr>
          <w:rFonts w:ascii="David" w:hAnsi="David"/>
          <w:rtl/>
        </w:rPr>
        <w:t xml:space="preserve"> </w:t>
      </w:r>
      <w:r>
        <w:rPr>
          <w:rFonts w:ascii="David" w:hAnsi="David"/>
          <w:b/>
          <w:bCs/>
          <w:rtl/>
        </w:rPr>
        <w:t>בוהדנה נ' מדינת ישראל</w:t>
      </w:r>
      <w:r>
        <w:rPr>
          <w:rFonts w:ascii="David" w:hAnsi="David"/>
          <w:rtl/>
        </w:rPr>
        <w:t xml:space="preserve"> (20.2.2023) - נאשם 1 הורשע על יסוד הודאתו בעבירות בנשק</w:t>
      </w:r>
      <w:r>
        <w:rPr>
          <w:rFonts w:ascii="David" w:hAnsi="David"/>
        </w:rPr>
        <w:t xml:space="preserve"> </w:t>
      </w:r>
      <w:r>
        <w:rPr>
          <w:rFonts w:ascii="David" w:hAnsi="David"/>
          <w:rtl/>
        </w:rPr>
        <w:t xml:space="preserve">(נשיאה והובלה) לפי </w:t>
      </w:r>
      <w:hyperlink r:id="rId28" w:history="1">
        <w:r w:rsidR="001E42A6" w:rsidRPr="001E42A6">
          <w:rPr>
            <w:rStyle w:val="Hyperlink"/>
            <w:rFonts w:ascii="David" w:hAnsi="David"/>
            <w:color w:val="0000FF"/>
            <w:rtl/>
          </w:rPr>
          <w:t>סעיף 144 (ב)</w:t>
        </w:r>
      </w:hyperlink>
      <w:r>
        <w:rPr>
          <w:rFonts w:ascii="David" w:hAnsi="David"/>
          <w:rtl/>
        </w:rPr>
        <w:t xml:space="preserve"> רישא וסיפא ל</w:t>
      </w:r>
      <w:hyperlink r:id="rId29" w:history="1">
        <w:r w:rsidR="008F2D38" w:rsidRPr="008F2D38">
          <w:rPr>
            <w:rFonts w:ascii="David" w:hAnsi="David"/>
            <w:color w:val="0000FF"/>
            <w:u w:val="single"/>
            <w:rtl/>
          </w:rPr>
          <w:t>חוק העונשין</w:t>
        </w:r>
      </w:hyperlink>
      <w:r>
        <w:rPr>
          <w:rFonts w:ascii="David" w:hAnsi="David"/>
          <w:rtl/>
        </w:rPr>
        <w:t xml:space="preserve">. ממועד שאינו ידוע למאשימה ועד יום 30.6.21 החזיק הנאשם באקדח יריחו עם מחסנית. ביום 30.6.21 נסע נאשם 1 יחד עם נאשם 2 ברכב, כשנאשם 1 יושב במושב האחורי וברשותו כלי הנשק כשהוא דרוך, כדור נמצא בקנה ובמחסנית שני כדורים נוספים. הנאשמים נתקלו במחסום משטרתי </w:t>
      </w:r>
      <w:r>
        <w:rPr>
          <w:rFonts w:ascii="David" w:hAnsi="David" w:hint="cs"/>
          <w:rtl/>
        </w:rPr>
        <w:t>ו</w:t>
      </w:r>
      <w:r>
        <w:rPr>
          <w:rFonts w:ascii="David" w:hAnsi="David"/>
          <w:rtl/>
        </w:rPr>
        <w:t>החלו להתרחק מהאזור בנסיעה מהירה.</w:t>
      </w:r>
      <w:r>
        <w:rPr>
          <w:rFonts w:ascii="David" w:hAnsi="David" w:hint="cs"/>
          <w:rtl/>
        </w:rPr>
        <w:t xml:space="preserve"> ה</w:t>
      </w:r>
      <w:r>
        <w:rPr>
          <w:rFonts w:ascii="David" w:hAnsi="David"/>
          <w:rtl/>
        </w:rPr>
        <w:t xml:space="preserve">שוטרים רדפו אחרי הנאשמים, </w:t>
      </w:r>
      <w:r>
        <w:rPr>
          <w:rFonts w:ascii="David" w:hAnsi="David" w:hint="cs"/>
          <w:rtl/>
        </w:rPr>
        <w:t>וכש</w:t>
      </w:r>
      <w:r>
        <w:rPr>
          <w:rFonts w:ascii="David" w:hAnsi="David"/>
          <w:rtl/>
        </w:rPr>
        <w:t xml:space="preserve">לבסוף נעצרו על ידם יצא נאשם 1 מהרכב והניח את כלי הנשק על הכביש מתחת לרכב ועליו הניח כפפה שחורה. בית המשפט המחוזי </w:t>
      </w:r>
      <w:r>
        <w:rPr>
          <w:rFonts w:ascii="David" w:hAnsi="David"/>
          <w:b/>
          <w:bCs/>
          <w:rtl/>
        </w:rPr>
        <w:t>קבע מתחם עונש הולם הנע בין 24 ל-48 חודשי מאסר</w:t>
      </w:r>
      <w:r>
        <w:rPr>
          <w:rFonts w:ascii="David" w:hAnsi="David"/>
          <w:rtl/>
        </w:rPr>
        <w:t xml:space="preserve">, וגזר על הנאשם </w:t>
      </w:r>
      <w:r>
        <w:rPr>
          <w:rFonts w:ascii="David" w:hAnsi="David"/>
          <w:b/>
          <w:bCs/>
          <w:rtl/>
        </w:rPr>
        <w:t>30 חודשי מאסר</w:t>
      </w:r>
      <w:r>
        <w:rPr>
          <w:rFonts w:ascii="David" w:hAnsi="David"/>
          <w:rtl/>
        </w:rPr>
        <w:t xml:space="preserve"> בגין האירועים נשוא תיק זה. ערעור שהוגש לבית המשפט העליון נדחה.</w:t>
      </w:r>
    </w:p>
    <w:p w14:paraId="7AA64A04" w14:textId="77777777" w:rsidR="001A0D66" w:rsidRDefault="001A0D66" w:rsidP="001A0D66">
      <w:pPr>
        <w:spacing w:line="360" w:lineRule="auto"/>
        <w:ind w:left="720" w:hanging="720"/>
        <w:jc w:val="both"/>
        <w:rPr>
          <w:rFonts w:ascii="David" w:hAnsi="David"/>
          <w:rtl/>
        </w:rPr>
      </w:pPr>
    </w:p>
    <w:p w14:paraId="5872798E" w14:textId="77777777" w:rsidR="001A0D66" w:rsidRDefault="001A0D66" w:rsidP="001A0D66">
      <w:pPr>
        <w:spacing w:line="360" w:lineRule="auto"/>
        <w:ind w:left="720" w:hanging="720"/>
        <w:jc w:val="both"/>
        <w:rPr>
          <w:rFonts w:ascii="David" w:hAnsi="David"/>
          <w:rtl/>
        </w:rPr>
      </w:pPr>
      <w:r>
        <w:rPr>
          <w:rFonts w:ascii="David" w:hAnsi="David"/>
          <w:rtl/>
        </w:rPr>
        <w:tab/>
      </w:r>
      <w:hyperlink r:id="rId30" w:history="1">
        <w:r w:rsidR="008F2D38" w:rsidRPr="008F2D38">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(14.9.2022) - הנאשם הורשע על יסוד הודאתו במסגרת הסדר טיעון בעבירות של נשיאת נשק לפי </w:t>
      </w:r>
      <w:hyperlink r:id="rId31" w:history="1">
        <w:r w:rsidR="001E42A6" w:rsidRPr="001E42A6">
          <w:rPr>
            <w:rStyle w:val="Hyperlink"/>
            <w:rFonts w:ascii="David" w:hAnsi="David"/>
            <w:color w:val="0000FF"/>
            <w:rtl/>
          </w:rPr>
          <w:t>סעיף 144(ב)</w:t>
        </w:r>
      </w:hyperlink>
      <w:r>
        <w:rPr>
          <w:rFonts w:ascii="David" w:hAnsi="David"/>
          <w:rtl/>
        </w:rPr>
        <w:t xml:space="preserve"> רישא וסיפא, הפרעה לשוטר במילוי תפקידו ושהייה בישראל בניגוד לחוק. הנאשם תושב ג'נין שאינו מורשה כניסה לישראל, שהה ברכב אשר נסע ברחבי העיר אום אל פאחם כשהוא נושא על גופו אקדח חצי אוטומטי עם מחסנית וכדורים תואמים. כשנהג הרכב התבקש לעצור לבדיקת שוטרים, יצא הנאשם מהרכב כשהוא נושא עמו את הנשק והחל להימלט, וכשנתפס נאבק בשוטר. בית המשפט המחוזי קבע בעניינו מתחם הנע בין 16 ל-40 חודשי מאסר והטיל עליו עונש של 18 חודשים לצד ענישה נלווית. בית המשפט העליון קבע כי </w:t>
      </w:r>
      <w:r>
        <w:rPr>
          <w:rFonts w:ascii="David" w:hAnsi="David"/>
          <w:b/>
          <w:bCs/>
          <w:rtl/>
        </w:rPr>
        <w:t>"בית משפט שמקל בעונשו של עבריין נשק מכביד על החברה שנאלצת להגן על עצמה -</w:t>
      </w:r>
      <w:r>
        <w:rPr>
          <w:rFonts w:ascii="David" w:hAnsi="David" w:hint="cs"/>
          <w:b/>
          <w:bCs/>
          <w:rtl/>
        </w:rPr>
        <w:t xml:space="preserve"> </w:t>
      </w:r>
      <w:r>
        <w:rPr>
          <w:rFonts w:ascii="David" w:hAnsi="David"/>
          <w:b/>
          <w:bCs/>
          <w:rtl/>
        </w:rPr>
        <w:t>על כל בניה ובנותיה - מעברייני נשק</w:t>
      </w:r>
      <w:r>
        <w:rPr>
          <w:rFonts w:ascii="David" w:hAnsi="David"/>
          <w:rtl/>
        </w:rPr>
        <w:t xml:space="preserve">" וכי מתחם הענישה הרגיל שראוי לקבוע לנאשם בגיר בגין </w:t>
      </w:r>
      <w:r>
        <w:rPr>
          <w:rFonts w:ascii="David" w:hAnsi="David"/>
          <w:b/>
          <w:bCs/>
          <w:rtl/>
        </w:rPr>
        <w:t>נשיאה בלתי חוקית של נשק חם במרחב הציבורי נע בין 30 ל-42 חודשי מאסר</w:t>
      </w:r>
      <w:r>
        <w:rPr>
          <w:rFonts w:ascii="David" w:hAnsi="David"/>
          <w:rtl/>
        </w:rPr>
        <w:t xml:space="preserve"> בין סורג ובריח (לצד עונשים נלווים </w:t>
      </w:r>
      <w:r>
        <w:rPr>
          <w:rFonts w:ascii="David" w:hAnsi="David" w:hint="cs"/>
          <w:rtl/>
        </w:rPr>
        <w:t xml:space="preserve">של </w:t>
      </w:r>
      <w:r>
        <w:rPr>
          <w:rFonts w:ascii="David" w:hAnsi="David"/>
          <w:rtl/>
        </w:rPr>
        <w:t>מאסר</w:t>
      </w:r>
      <w:r>
        <w:rPr>
          <w:rFonts w:ascii="David" w:hAnsi="David" w:hint="cs"/>
          <w:rtl/>
        </w:rPr>
        <w:t xml:space="preserve"> </w:t>
      </w:r>
      <w:r>
        <w:rPr>
          <w:rFonts w:ascii="David" w:hAnsi="David"/>
          <w:rtl/>
        </w:rPr>
        <w:t>על</w:t>
      </w:r>
      <w:r>
        <w:rPr>
          <w:rFonts w:ascii="David" w:hAnsi="David" w:hint="cs"/>
          <w:rtl/>
        </w:rPr>
        <w:t xml:space="preserve"> </w:t>
      </w:r>
      <w:r>
        <w:rPr>
          <w:rFonts w:ascii="David" w:hAnsi="David"/>
          <w:rtl/>
        </w:rPr>
        <w:t xml:space="preserve">תנאי וקנס). לאור האמור, ומשום שערכאת הערעור אינה ממצה את הדין, החמיר בית המשפט העליון את עונשו </w:t>
      </w:r>
      <w:r>
        <w:rPr>
          <w:rFonts w:ascii="David" w:hAnsi="David"/>
          <w:b/>
          <w:bCs/>
          <w:rtl/>
        </w:rPr>
        <w:t>ל</w:t>
      </w:r>
      <w:r>
        <w:rPr>
          <w:rFonts w:ascii="David" w:hAnsi="David" w:hint="cs"/>
          <w:b/>
          <w:bCs/>
          <w:rtl/>
        </w:rPr>
        <w:t>-</w:t>
      </w:r>
      <w:r>
        <w:rPr>
          <w:rFonts w:ascii="David" w:hAnsi="David"/>
          <w:b/>
          <w:bCs/>
          <w:rtl/>
        </w:rPr>
        <w:t>28 חודשי מאסר</w:t>
      </w:r>
      <w:r>
        <w:rPr>
          <w:rFonts w:ascii="David" w:hAnsi="David"/>
          <w:rtl/>
        </w:rPr>
        <w:t xml:space="preserve">. </w:t>
      </w:r>
    </w:p>
    <w:p w14:paraId="3AAE3166" w14:textId="77777777" w:rsidR="001A0D66" w:rsidRDefault="001A0D66" w:rsidP="001A0D66">
      <w:pPr>
        <w:spacing w:line="360" w:lineRule="auto"/>
        <w:ind w:left="720" w:hanging="720"/>
        <w:jc w:val="both"/>
        <w:rPr>
          <w:rFonts w:ascii="David" w:hAnsi="David"/>
          <w:rtl/>
        </w:rPr>
      </w:pPr>
      <w:r>
        <w:rPr>
          <w:rFonts w:ascii="David" w:hAnsi="David"/>
          <w:rtl/>
        </w:rPr>
        <w:tab/>
      </w:r>
    </w:p>
    <w:p w14:paraId="47A9F6B6" w14:textId="77777777" w:rsidR="001A0D66" w:rsidRDefault="001A0D66" w:rsidP="001A0D66">
      <w:pPr>
        <w:spacing w:line="360" w:lineRule="auto"/>
        <w:ind w:left="720" w:hanging="720"/>
        <w:jc w:val="both"/>
        <w:rPr>
          <w:rFonts w:ascii="David" w:hAnsi="David"/>
          <w:rtl/>
        </w:rPr>
      </w:pPr>
      <w:r>
        <w:rPr>
          <w:rFonts w:ascii="David" w:hAnsi="David"/>
          <w:rtl/>
        </w:rPr>
        <w:tab/>
      </w:r>
      <w:hyperlink r:id="rId32" w:history="1">
        <w:r w:rsidR="008F2D38" w:rsidRPr="008F2D38">
          <w:rPr>
            <w:rFonts w:ascii="David" w:hAnsi="David"/>
            <w:color w:val="0000FF"/>
            <w:u w:val="single"/>
            <w:rtl/>
          </w:rPr>
          <w:t>ע"פ 4303/22</w:t>
        </w:r>
      </w:hyperlink>
      <w:r>
        <w:rPr>
          <w:rFonts w:ascii="David" w:hAnsi="David"/>
          <w:rtl/>
        </w:rPr>
        <w:t xml:space="preserve"> </w:t>
      </w:r>
      <w:r>
        <w:rPr>
          <w:rFonts w:ascii="David" w:hAnsi="David"/>
          <w:b/>
          <w:bCs/>
          <w:rtl/>
        </w:rPr>
        <w:t xml:space="preserve">אבו גאנם נ' מדינת ישראל </w:t>
      </w:r>
      <w:r>
        <w:rPr>
          <w:rFonts w:ascii="David" w:hAnsi="David"/>
          <w:rtl/>
        </w:rPr>
        <w:t xml:space="preserve">(6.12.2022) - הנאשם הורשע על יסוד הודאתו במסגרת הסדר טיעון בעבירות נשק (הובלה ונשיאה) לפי </w:t>
      </w:r>
      <w:hyperlink r:id="rId33" w:history="1">
        <w:r w:rsidR="001E42A6" w:rsidRPr="001E42A6">
          <w:rPr>
            <w:rStyle w:val="Hyperlink"/>
            <w:rFonts w:ascii="David" w:hAnsi="David"/>
            <w:color w:val="0000FF"/>
            <w:rtl/>
          </w:rPr>
          <w:t>סעיף 144(ב)</w:t>
        </w:r>
      </w:hyperlink>
      <w:r>
        <w:rPr>
          <w:rFonts w:ascii="David" w:hAnsi="David"/>
          <w:rtl/>
        </w:rPr>
        <w:t xml:space="preserve"> רישא וסיפא ל</w:t>
      </w:r>
      <w:hyperlink r:id="rId34" w:history="1">
        <w:r w:rsidR="008F2D38" w:rsidRPr="008F2D38">
          <w:rPr>
            <w:rFonts w:ascii="David" w:hAnsi="David"/>
            <w:color w:val="0000FF"/>
            <w:u w:val="single"/>
            <w:rtl/>
          </w:rPr>
          <w:t>חוק העונשין</w:t>
        </w:r>
      </w:hyperlink>
      <w:r>
        <w:rPr>
          <w:rFonts w:ascii="David" w:hAnsi="David"/>
          <w:rtl/>
        </w:rPr>
        <w:t xml:space="preserve">. הנאשם נסע יחד עם אחר אשר נהג ברכב, ונעצר ע"י המשטרה בעודו נושא ומוביל אקדח חצי אוטומטי ובתוכו מחסנית ריקה, כשהם מוסלקים בבד תקרת הרכב מעל מושב הנוסע. במסגרת הסדר הטיעון התביעה טענה לעונש ראוי של 31 חודשי מאסר, וההגנה טענה באופן חופשי. בית המשפט המחוזי קבע כי בשים לב לחומרת העבירה, נסיבות ביצועה ועברו הפלילי המכביד והרלוונטי של הנאשם, ענישה הכוללת 31 חודשי מאסר הינה עונש הולם. ערעור הוגש לבית המשפט העליון על חומרת העונש נדחה. </w:t>
      </w:r>
    </w:p>
    <w:p w14:paraId="5E6A8A18" w14:textId="77777777" w:rsidR="001A0D66" w:rsidRDefault="001A0D66" w:rsidP="001A0D66">
      <w:pPr>
        <w:spacing w:line="360" w:lineRule="auto"/>
        <w:ind w:left="720" w:hanging="720"/>
        <w:jc w:val="both"/>
        <w:rPr>
          <w:rFonts w:ascii="David" w:hAnsi="David"/>
          <w:rtl/>
        </w:rPr>
      </w:pPr>
    </w:p>
    <w:p w14:paraId="38409CBA" w14:textId="77777777" w:rsidR="001A0D66" w:rsidRDefault="001A0D66" w:rsidP="001A0D66">
      <w:pPr>
        <w:spacing w:line="360" w:lineRule="auto"/>
        <w:ind w:left="720" w:hanging="720"/>
        <w:jc w:val="both"/>
        <w:rPr>
          <w:rFonts w:ascii="David" w:hAnsi="David"/>
          <w:rtl/>
        </w:rPr>
      </w:pPr>
      <w:r>
        <w:rPr>
          <w:rFonts w:ascii="David" w:hAnsi="David"/>
          <w:rtl/>
        </w:rPr>
        <w:tab/>
        <w:t xml:space="preserve">על יסוד האמור לעיל, ראיתי לקבל את עתירת התביעה ולקבוע מתחם עונש הנע בין </w:t>
      </w:r>
      <w:r>
        <w:rPr>
          <w:rFonts w:ascii="David" w:hAnsi="David" w:hint="cs"/>
          <w:b/>
          <w:bCs/>
          <w:rtl/>
        </w:rPr>
        <w:t>28</w:t>
      </w:r>
      <w:r>
        <w:rPr>
          <w:rFonts w:ascii="David" w:hAnsi="David"/>
          <w:b/>
          <w:bCs/>
          <w:rtl/>
        </w:rPr>
        <w:t xml:space="preserve"> חודשים ל-</w:t>
      </w:r>
      <w:r>
        <w:rPr>
          <w:rFonts w:ascii="David" w:hAnsi="David" w:hint="cs"/>
          <w:b/>
          <w:bCs/>
          <w:rtl/>
        </w:rPr>
        <w:t>52</w:t>
      </w:r>
      <w:r>
        <w:rPr>
          <w:rFonts w:ascii="David" w:hAnsi="David"/>
          <w:b/>
          <w:bCs/>
          <w:rtl/>
        </w:rPr>
        <w:t xml:space="preserve"> חודשי מאסר</w:t>
      </w:r>
      <w:r>
        <w:rPr>
          <w:rFonts w:ascii="David" w:hAnsi="David"/>
          <w:rtl/>
        </w:rPr>
        <w:t xml:space="preserve">. </w:t>
      </w:r>
    </w:p>
    <w:p w14:paraId="21C95587" w14:textId="77777777" w:rsidR="001A0D66" w:rsidRDefault="001A0D66" w:rsidP="001A0D66">
      <w:pPr>
        <w:spacing w:line="360" w:lineRule="auto"/>
        <w:ind w:left="720" w:hanging="720"/>
        <w:jc w:val="both"/>
        <w:rPr>
          <w:rFonts w:ascii="David" w:hAnsi="David"/>
          <w:rtl/>
        </w:rPr>
      </w:pPr>
    </w:p>
    <w:p w14:paraId="43E2DA3C" w14:textId="77777777" w:rsidR="001A0D66" w:rsidRDefault="001A0D66" w:rsidP="001A0D66">
      <w:pPr>
        <w:spacing w:line="360" w:lineRule="auto"/>
        <w:ind w:left="720" w:hanging="720"/>
        <w:jc w:val="both"/>
        <w:rPr>
          <w:rFonts w:ascii="David" w:hAnsi="David"/>
          <w:rtl/>
        </w:rPr>
      </w:pPr>
      <w:r>
        <w:rPr>
          <w:rFonts w:ascii="David" w:hAnsi="David"/>
          <w:rtl/>
        </w:rPr>
        <w:t>1</w:t>
      </w:r>
      <w:r>
        <w:rPr>
          <w:rFonts w:ascii="David" w:hAnsi="David" w:hint="cs"/>
          <w:rtl/>
        </w:rPr>
        <w:t>0</w:t>
      </w:r>
      <w:r>
        <w:rPr>
          <w:rFonts w:ascii="David" w:hAnsi="David"/>
          <w:rtl/>
        </w:rPr>
        <w:t>.</w:t>
      </w:r>
      <w:r>
        <w:rPr>
          <w:rFonts w:ascii="David" w:hAnsi="David"/>
          <w:rtl/>
        </w:rPr>
        <w:tab/>
        <w:t>בקביעת מיקומו של הנאשם בתוך מתחם הענישה שנקבע, ראיתי להתייחס למאפיינים הבאים:</w:t>
      </w:r>
    </w:p>
    <w:p w14:paraId="70DB007E" w14:textId="77777777" w:rsidR="001A0D66" w:rsidRDefault="001A0D66" w:rsidP="001A0D66">
      <w:pPr>
        <w:spacing w:line="360" w:lineRule="auto"/>
        <w:ind w:left="720" w:hanging="720"/>
        <w:jc w:val="both"/>
        <w:rPr>
          <w:rFonts w:ascii="David" w:hAnsi="David"/>
          <w:rtl/>
        </w:rPr>
      </w:pPr>
    </w:p>
    <w:p w14:paraId="1CAED3AB" w14:textId="77777777" w:rsidR="001A0D66" w:rsidRDefault="001A0D66" w:rsidP="001A0D66">
      <w:pPr>
        <w:spacing w:line="360" w:lineRule="auto"/>
        <w:ind w:left="720" w:hanging="720"/>
        <w:jc w:val="both"/>
        <w:rPr>
          <w:rFonts w:ascii="David" w:hAnsi="David"/>
          <w:rtl/>
        </w:rPr>
      </w:pPr>
      <w:r>
        <w:rPr>
          <w:rFonts w:ascii="David" w:hAnsi="David"/>
          <w:rtl/>
        </w:rPr>
        <w:tab/>
      </w:r>
      <w:r>
        <w:rPr>
          <w:rFonts w:ascii="David" w:hAnsi="David"/>
          <w:b/>
          <w:bCs/>
          <w:rtl/>
        </w:rPr>
        <w:t>הודאה וקבלת האחריות</w:t>
      </w:r>
      <w:r>
        <w:rPr>
          <w:rFonts w:ascii="David" w:hAnsi="David"/>
          <w:rtl/>
        </w:rPr>
        <w:t xml:space="preserve"> - הנאשם הודה מיד בתחילתו של ההליך, בכתב האישום המקורי ללא הסדר לעניין העונש (למעט רכיב של פסילה על תנאי) או תיקונים בכתב האישום. בעשותו כן, חסך זמן ציבורי יקר ונראה כי הפנים את הפסול במעשיו. יש בנתון זה כדי להצדיק הקלה מסוימת בעונש.</w:t>
      </w:r>
    </w:p>
    <w:p w14:paraId="79FAFE31" w14:textId="77777777" w:rsidR="001A0D66" w:rsidRDefault="001A0D66" w:rsidP="001A0D66">
      <w:pPr>
        <w:spacing w:line="360" w:lineRule="auto"/>
        <w:ind w:left="720" w:hanging="720"/>
        <w:jc w:val="both"/>
        <w:rPr>
          <w:rFonts w:ascii="David" w:hAnsi="David"/>
          <w:rtl/>
        </w:rPr>
      </w:pPr>
    </w:p>
    <w:p w14:paraId="2CF68B0C" w14:textId="77777777" w:rsidR="001A0D66" w:rsidRDefault="001A0D66" w:rsidP="001A0D66">
      <w:pPr>
        <w:spacing w:line="360" w:lineRule="auto"/>
        <w:ind w:left="720" w:hanging="720"/>
        <w:jc w:val="both"/>
        <w:rPr>
          <w:rFonts w:ascii="David" w:hAnsi="David"/>
          <w:rtl/>
        </w:rPr>
      </w:pPr>
      <w:r>
        <w:rPr>
          <w:rFonts w:ascii="David" w:hAnsi="David"/>
          <w:b/>
          <w:bCs/>
          <w:rtl/>
        </w:rPr>
        <w:tab/>
        <w:t xml:space="preserve">עבר פלילי </w:t>
      </w:r>
      <w:r>
        <w:rPr>
          <w:rFonts w:ascii="David" w:hAnsi="David"/>
          <w:rtl/>
        </w:rPr>
        <w:t xml:space="preserve">- </w:t>
      </w:r>
      <w:r>
        <w:rPr>
          <w:rFonts w:ascii="David" w:hAnsi="David" w:hint="cs"/>
          <w:rtl/>
        </w:rPr>
        <w:t>לחובתו של הנאשם</w:t>
      </w:r>
      <w:r>
        <w:rPr>
          <w:rFonts w:ascii="David" w:hAnsi="David"/>
          <w:rtl/>
        </w:rPr>
        <w:t xml:space="preserve"> 5 הרשעות קודמות בעבירות נשק, אלימות וסמים, אם כי הרשעתו האחרונה היא משנת 2013. </w:t>
      </w:r>
      <w:r>
        <w:rPr>
          <w:rFonts w:ascii="David" w:hAnsi="David" w:hint="cs"/>
          <w:rtl/>
        </w:rPr>
        <w:t>הנאשם ריצה בעבר עונש מאסר שהושת עליו בגין עבירת נשק, אך היה זה בשנת 2011, לפני כ-14 שנים.</w:t>
      </w:r>
      <w:r>
        <w:rPr>
          <w:rFonts w:ascii="David" w:hAnsi="David"/>
          <w:rtl/>
        </w:rPr>
        <w:t xml:space="preserve"> מדובר בעבירות שהתיישנו, כך שהשפעת עברו הפלילי של הנאשם על מיקומו במתחם הענישה אינ</w:t>
      </w:r>
      <w:r>
        <w:rPr>
          <w:rFonts w:ascii="David" w:hAnsi="David" w:hint="cs"/>
          <w:rtl/>
        </w:rPr>
        <w:t>ה</w:t>
      </w:r>
      <w:r>
        <w:rPr>
          <w:rFonts w:ascii="David" w:hAnsi="David"/>
          <w:rtl/>
        </w:rPr>
        <w:t xml:space="preserve"> </w:t>
      </w:r>
      <w:r>
        <w:rPr>
          <w:rFonts w:ascii="David" w:hAnsi="David" w:hint="cs"/>
          <w:rtl/>
        </w:rPr>
        <w:t>דרמטית</w:t>
      </w:r>
      <w:r>
        <w:rPr>
          <w:rFonts w:ascii="David" w:hAnsi="David"/>
          <w:rtl/>
        </w:rPr>
        <w:t xml:space="preserve">. </w:t>
      </w:r>
    </w:p>
    <w:p w14:paraId="09411EE8" w14:textId="77777777" w:rsidR="001A0D66" w:rsidRDefault="001A0D66" w:rsidP="001A0D66">
      <w:pPr>
        <w:spacing w:line="360" w:lineRule="auto"/>
        <w:ind w:left="720" w:hanging="720"/>
        <w:jc w:val="both"/>
        <w:rPr>
          <w:rFonts w:ascii="David" w:hAnsi="David"/>
          <w:rtl/>
        </w:rPr>
      </w:pPr>
    </w:p>
    <w:p w14:paraId="224B7211" w14:textId="77777777" w:rsidR="001A0D66" w:rsidRDefault="001A0D66" w:rsidP="001A0D66">
      <w:pPr>
        <w:spacing w:line="360" w:lineRule="auto"/>
        <w:ind w:left="720" w:hanging="720"/>
        <w:jc w:val="both"/>
        <w:rPr>
          <w:rFonts w:ascii="David" w:hAnsi="David"/>
          <w:rtl/>
        </w:rPr>
      </w:pPr>
      <w:r>
        <w:rPr>
          <w:rFonts w:ascii="David" w:hAnsi="David"/>
          <w:b/>
          <w:bCs/>
          <w:rtl/>
        </w:rPr>
        <w:tab/>
        <w:t xml:space="preserve">נסיבות אישיות </w:t>
      </w:r>
      <w:r>
        <w:rPr>
          <w:rFonts w:ascii="David" w:hAnsi="David"/>
          <w:rtl/>
        </w:rPr>
        <w:t>-  נסיבות חייו המורכבות של הנאשם לצד מצבו הרפואי כפי שאלו עולים מתסקיר שירות המבחן, מהווים נסיבות לקולא אותן לקחתי בחשבון במיקומו בתוך מתחם הענישה.</w:t>
      </w:r>
      <w:r>
        <w:rPr>
          <w:rFonts w:ascii="David" w:hAnsi="David" w:hint="cs"/>
          <w:rtl/>
        </w:rPr>
        <w:t xml:space="preserve"> </w:t>
      </w:r>
    </w:p>
    <w:p w14:paraId="4363AA1A" w14:textId="77777777" w:rsidR="001A0D66" w:rsidRDefault="001A0D66" w:rsidP="001A0D66">
      <w:pPr>
        <w:spacing w:line="360" w:lineRule="auto"/>
        <w:ind w:left="720" w:hanging="720"/>
        <w:jc w:val="both"/>
        <w:rPr>
          <w:rFonts w:ascii="David" w:hAnsi="David"/>
          <w:rtl/>
        </w:rPr>
      </w:pPr>
    </w:p>
    <w:p w14:paraId="61817C90" w14:textId="77777777" w:rsidR="001A0D66" w:rsidRPr="004925E9" w:rsidRDefault="001A0D66" w:rsidP="001A0D66">
      <w:pPr>
        <w:spacing w:line="360" w:lineRule="auto"/>
        <w:ind w:left="720" w:hanging="720"/>
        <w:jc w:val="both"/>
        <w:rPr>
          <w:rFonts w:ascii="David" w:hAnsi="David"/>
          <w:rtl/>
        </w:rPr>
      </w:pPr>
      <w:r>
        <w:rPr>
          <w:rFonts w:ascii="David" w:hAnsi="David"/>
          <w:rtl/>
        </w:rPr>
        <w:tab/>
      </w:r>
      <w:r>
        <w:rPr>
          <w:rFonts w:ascii="David" w:hAnsi="David" w:hint="cs"/>
          <w:rtl/>
        </w:rPr>
        <w:t>אפנה בהקשר זה גם לעדות בת הזוג של הנאשם, הגב' ליליאן שפר: "</w:t>
      </w:r>
      <w:r>
        <w:rPr>
          <w:rFonts w:ascii="David" w:hAnsi="David" w:hint="cs"/>
          <w:b/>
          <w:bCs/>
          <w:rtl/>
        </w:rPr>
        <w:t>אני והנאשם היינו פרודים בסביבות 7 חודשים, אז חלה התדרדרות במצבו הנפשי והתדרדרות לשימוש בסמים. כל זה קרה סביב המוות של אמו, שהייתה חולת אלצהיימר צעירים, וכבר בגיל 60 הייתה במצב סיעודי... היא נפטרה לו בידיים, לצערי הרב, ומשם החלה התדרדרות אישית שלו, שהובילה אותו לשימוש בסמים... היו לנו בעיות בתקשורת ושמתי לב שמשהו לא כשורה, אני לא יודעת להצביע וביקשתי שיעשה אבחון והוא אובחן על הספקטרום האוטיסטי...</w:t>
      </w:r>
      <w:r w:rsidRPr="005F25C0">
        <w:rPr>
          <w:rFonts w:ascii="David" w:hAnsi="David" w:hint="cs"/>
          <w:rtl/>
        </w:rPr>
        <w:t>"</w:t>
      </w:r>
      <w:r>
        <w:rPr>
          <w:rFonts w:ascii="David" w:hAnsi="David" w:hint="cs"/>
          <w:rtl/>
        </w:rPr>
        <w:t xml:space="preserve"> (פרו' עמ' 2, ש' 8).</w:t>
      </w:r>
    </w:p>
    <w:p w14:paraId="3F948757" w14:textId="77777777" w:rsidR="001A0D66" w:rsidRDefault="001A0D66" w:rsidP="001A0D66">
      <w:pPr>
        <w:spacing w:line="360" w:lineRule="auto"/>
        <w:ind w:left="720" w:hanging="720"/>
        <w:jc w:val="both"/>
        <w:rPr>
          <w:rFonts w:ascii="David" w:hAnsi="David"/>
          <w:b/>
          <w:bCs/>
          <w:rtl/>
        </w:rPr>
      </w:pPr>
    </w:p>
    <w:p w14:paraId="4018E514" w14:textId="77777777" w:rsidR="001A0D66" w:rsidRPr="00341F8B" w:rsidRDefault="001A0D66" w:rsidP="001A0D66">
      <w:pPr>
        <w:spacing w:line="360" w:lineRule="auto"/>
        <w:ind w:left="720" w:hanging="720"/>
        <w:jc w:val="both"/>
        <w:rPr>
          <w:rFonts w:ascii="David" w:hAnsi="David"/>
          <w:rtl/>
        </w:rPr>
      </w:pPr>
      <w:r>
        <w:rPr>
          <w:rFonts w:ascii="David" w:hAnsi="David"/>
          <w:b/>
          <w:bCs/>
          <w:rtl/>
        </w:rPr>
        <w:tab/>
      </w:r>
      <w:r>
        <w:rPr>
          <w:rFonts w:ascii="David" w:hAnsi="David" w:hint="cs"/>
          <w:rtl/>
        </w:rPr>
        <w:t>אפנה גם לעדות אחותו למחצה של הנאשם, הגב' בר טסה: "</w:t>
      </w:r>
      <w:r>
        <w:rPr>
          <w:rFonts w:ascii="David" w:hAnsi="David" w:hint="cs"/>
          <w:b/>
          <w:bCs/>
          <w:rtl/>
        </w:rPr>
        <w:t>בשום מקום לא הצליחו להכיל אותו בגלל הבעיות שהיו לו, של התקשורת. לימים אנחנו מבינים למה זה קרה ושיש לכך סיבה רפואית, אך כל החיים הוא היה ילד אבוד ומצא עצמו לבסוף בחברה לא טובה, כי שם קיבלו אותו, וזה גם מה שהוביל אותו לסמים, לפשע ולכל הדברים הקשים שעבר. בעשר השנים האחרונות התמודדנו בתור משפחה עם חוויה מאוד לא פשוטה, איבדנו את אמא שלנו... הוא לקח על עצמו באופן ישיר את הטיפול באמא... הוא היה על דרך מאוד טובה... ופשוט מה שקרה עם אמא כנראה שבר אותו ונוסיף על זה מה שקרה עם ליליאן והאובדן של העובר...</w:t>
      </w:r>
      <w:r w:rsidRPr="008670FC">
        <w:rPr>
          <w:rFonts w:ascii="David" w:hAnsi="David" w:hint="cs"/>
          <w:rtl/>
        </w:rPr>
        <w:t>"</w:t>
      </w:r>
      <w:r>
        <w:rPr>
          <w:rFonts w:ascii="David" w:hAnsi="David" w:hint="cs"/>
          <w:b/>
          <w:bCs/>
          <w:rtl/>
        </w:rPr>
        <w:t xml:space="preserve"> </w:t>
      </w:r>
      <w:r>
        <w:rPr>
          <w:rFonts w:ascii="David" w:hAnsi="David" w:hint="cs"/>
          <w:rtl/>
        </w:rPr>
        <w:t>(פרו עמ' 3, ש' 4).</w:t>
      </w:r>
    </w:p>
    <w:p w14:paraId="16190D41" w14:textId="77777777" w:rsidR="001A0D66" w:rsidRDefault="001A0D66" w:rsidP="001A0D66">
      <w:pPr>
        <w:spacing w:line="360" w:lineRule="auto"/>
        <w:ind w:left="720" w:hanging="720"/>
        <w:jc w:val="both"/>
        <w:rPr>
          <w:rFonts w:ascii="David" w:hAnsi="David"/>
          <w:rtl/>
        </w:rPr>
      </w:pPr>
    </w:p>
    <w:p w14:paraId="5A1E3A0C" w14:textId="77777777" w:rsidR="001A0D66" w:rsidRDefault="001A0D66" w:rsidP="001A0D66">
      <w:pPr>
        <w:spacing w:line="360" w:lineRule="auto"/>
        <w:jc w:val="both"/>
        <w:rPr>
          <w:rFonts w:ascii="David" w:hAnsi="David"/>
          <w:rtl/>
        </w:rPr>
      </w:pPr>
      <w:r>
        <w:rPr>
          <w:rFonts w:ascii="David" w:hAnsi="David"/>
          <w:rtl/>
        </w:rPr>
        <w:t>1</w:t>
      </w:r>
      <w:r>
        <w:rPr>
          <w:rFonts w:ascii="David" w:hAnsi="David" w:hint="cs"/>
          <w:rtl/>
        </w:rPr>
        <w:t>1</w:t>
      </w:r>
      <w:r>
        <w:rPr>
          <w:rFonts w:ascii="David" w:hAnsi="David"/>
          <w:rtl/>
        </w:rPr>
        <w:t>.</w:t>
      </w:r>
      <w:r>
        <w:rPr>
          <w:rFonts w:ascii="David" w:hAnsi="David"/>
          <w:rtl/>
        </w:rPr>
        <w:tab/>
        <w:t>לאור כל האמור לעיל, אני מטיל על הנאשם את העונשים הבאים:</w:t>
      </w:r>
    </w:p>
    <w:p w14:paraId="54A5CA7B" w14:textId="77777777" w:rsidR="001A0D66" w:rsidRDefault="001A0D66" w:rsidP="001A0D66">
      <w:pPr>
        <w:spacing w:line="360" w:lineRule="auto"/>
        <w:jc w:val="both"/>
        <w:rPr>
          <w:rFonts w:ascii="David" w:hAnsi="David"/>
          <w:rtl/>
        </w:rPr>
      </w:pPr>
    </w:p>
    <w:p w14:paraId="7755AEA4" w14:textId="77777777" w:rsidR="001A0D66" w:rsidRDefault="001A0D66" w:rsidP="001A0D66">
      <w:pPr>
        <w:spacing w:line="360" w:lineRule="auto"/>
        <w:jc w:val="both"/>
        <w:rPr>
          <w:rFonts w:ascii="David" w:hAnsi="David"/>
          <w:rtl/>
        </w:rPr>
      </w:pPr>
      <w:r>
        <w:rPr>
          <w:rFonts w:ascii="David" w:hAnsi="David" w:hint="cs"/>
          <w:rtl/>
        </w:rPr>
        <w:t>א.</w:t>
      </w:r>
      <w:r>
        <w:rPr>
          <w:rFonts w:ascii="David" w:hAnsi="David"/>
          <w:rtl/>
        </w:rPr>
        <w:tab/>
      </w:r>
      <w:r>
        <w:rPr>
          <w:rFonts w:ascii="David" w:hAnsi="David" w:hint="cs"/>
          <w:b/>
          <w:bCs/>
          <w:rtl/>
        </w:rPr>
        <w:t>32</w:t>
      </w:r>
      <w:r w:rsidRPr="00DB1704">
        <w:rPr>
          <w:rFonts w:ascii="David" w:hAnsi="David" w:hint="cs"/>
          <w:b/>
          <w:bCs/>
          <w:rtl/>
        </w:rPr>
        <w:t xml:space="preserve"> </w:t>
      </w:r>
      <w:r w:rsidRPr="00DB1704">
        <w:rPr>
          <w:rFonts w:ascii="David" w:hAnsi="David"/>
          <w:b/>
          <w:bCs/>
          <w:rtl/>
        </w:rPr>
        <w:t>חודשי מאסר</w:t>
      </w:r>
      <w:r>
        <w:rPr>
          <w:rFonts w:ascii="David" w:hAnsi="David"/>
          <w:rtl/>
        </w:rPr>
        <w:t xml:space="preserve"> לריצוי בפועל, החל מיום מעצרו </w:t>
      </w:r>
      <w:r>
        <w:rPr>
          <w:rFonts w:ascii="David" w:hAnsi="David" w:hint="cs"/>
          <w:rtl/>
        </w:rPr>
        <w:t>-</w:t>
      </w:r>
      <w:r>
        <w:rPr>
          <w:rFonts w:ascii="David" w:hAnsi="David"/>
          <w:rtl/>
        </w:rPr>
        <w:t xml:space="preserve"> 15.7.24. </w:t>
      </w:r>
    </w:p>
    <w:p w14:paraId="2D19C13D" w14:textId="77777777" w:rsidR="001A0D66" w:rsidRDefault="001A0D66" w:rsidP="001A0D66">
      <w:pPr>
        <w:spacing w:line="360" w:lineRule="auto"/>
        <w:jc w:val="both"/>
        <w:rPr>
          <w:rFonts w:ascii="David" w:hAnsi="David"/>
          <w:rtl/>
        </w:rPr>
      </w:pPr>
    </w:p>
    <w:p w14:paraId="50171E25" w14:textId="77777777" w:rsidR="001A0D66" w:rsidRDefault="001A0D66" w:rsidP="001A0D66">
      <w:pPr>
        <w:spacing w:line="360" w:lineRule="auto"/>
        <w:jc w:val="both"/>
        <w:rPr>
          <w:rFonts w:ascii="David" w:hAnsi="David"/>
          <w:rtl/>
        </w:rPr>
      </w:pPr>
    </w:p>
    <w:p w14:paraId="21EC5B3E" w14:textId="77777777" w:rsidR="001A0D66" w:rsidRDefault="001A0D66" w:rsidP="001A0D66">
      <w:pPr>
        <w:spacing w:line="360" w:lineRule="auto"/>
        <w:ind w:left="720" w:hanging="720"/>
        <w:jc w:val="both"/>
        <w:rPr>
          <w:rFonts w:ascii="David" w:hAnsi="David"/>
          <w:rtl/>
        </w:rPr>
      </w:pPr>
      <w:r>
        <w:rPr>
          <w:rFonts w:ascii="David" w:hAnsi="David" w:hint="cs"/>
          <w:rtl/>
        </w:rPr>
        <w:t>ב.</w:t>
      </w:r>
      <w:r>
        <w:rPr>
          <w:rFonts w:ascii="David" w:hAnsi="David"/>
          <w:rtl/>
        </w:rPr>
        <w:tab/>
      </w:r>
      <w:r>
        <w:rPr>
          <w:rFonts w:ascii="David" w:hAnsi="David" w:hint="cs"/>
          <w:rtl/>
        </w:rPr>
        <w:t>9 חודשי מאסר אולם הנאשם לא יישא עונש זה אלא אם יעבור תוך 3 שנים מיום שחרורו עבירת נשק, או עבירת אלימות נגד הגוף מסוג פשע.</w:t>
      </w:r>
    </w:p>
    <w:p w14:paraId="03751F49" w14:textId="77777777" w:rsidR="001A0D66" w:rsidRDefault="001A0D66" w:rsidP="001A0D66">
      <w:pPr>
        <w:spacing w:line="360" w:lineRule="auto"/>
        <w:ind w:left="720" w:hanging="720"/>
        <w:jc w:val="both"/>
        <w:rPr>
          <w:rFonts w:ascii="David" w:hAnsi="David"/>
          <w:rtl/>
        </w:rPr>
      </w:pPr>
    </w:p>
    <w:p w14:paraId="3F3DEB1E" w14:textId="77777777" w:rsidR="001A0D66" w:rsidRDefault="001A0D66" w:rsidP="001A0D66">
      <w:pPr>
        <w:spacing w:line="360" w:lineRule="auto"/>
        <w:ind w:left="720" w:hanging="720"/>
        <w:jc w:val="both"/>
        <w:rPr>
          <w:rFonts w:ascii="David" w:hAnsi="David"/>
          <w:rtl/>
        </w:rPr>
      </w:pPr>
      <w:r>
        <w:rPr>
          <w:rFonts w:ascii="David" w:hAnsi="David" w:hint="cs"/>
          <w:rtl/>
        </w:rPr>
        <w:t>ג.</w:t>
      </w:r>
      <w:r>
        <w:rPr>
          <w:rFonts w:ascii="David" w:hAnsi="David"/>
          <w:rtl/>
        </w:rPr>
        <w:tab/>
      </w:r>
      <w:r>
        <w:rPr>
          <w:rFonts w:ascii="David" w:hAnsi="David" w:hint="cs"/>
          <w:rtl/>
        </w:rPr>
        <w:t>5 חודשי מאסר אולם הנאשם לא יישא עונש זה אלא אם יעבור תוך 3 שנים מיום שחרורו עבירת אלימות נגד הגוף מסוג עוון.</w:t>
      </w:r>
    </w:p>
    <w:p w14:paraId="4571AF32" w14:textId="77777777" w:rsidR="001A0D66" w:rsidRDefault="001A0D66" w:rsidP="001A0D66">
      <w:pPr>
        <w:spacing w:line="360" w:lineRule="auto"/>
        <w:ind w:left="720" w:hanging="720"/>
        <w:jc w:val="both"/>
        <w:rPr>
          <w:rFonts w:ascii="David" w:hAnsi="David"/>
          <w:rtl/>
        </w:rPr>
      </w:pPr>
    </w:p>
    <w:p w14:paraId="355AEE13" w14:textId="77777777" w:rsidR="001A0D66" w:rsidRDefault="001A0D66" w:rsidP="001A0D66">
      <w:pPr>
        <w:spacing w:line="360" w:lineRule="auto"/>
        <w:ind w:left="720" w:hanging="720"/>
        <w:jc w:val="both"/>
        <w:rPr>
          <w:rFonts w:ascii="David" w:hAnsi="David"/>
          <w:rtl/>
        </w:rPr>
      </w:pPr>
      <w:r>
        <w:rPr>
          <w:rFonts w:ascii="David" w:hAnsi="David" w:hint="cs"/>
          <w:rtl/>
        </w:rPr>
        <w:t>ד.</w:t>
      </w:r>
      <w:r>
        <w:rPr>
          <w:rFonts w:ascii="David" w:hAnsi="David"/>
          <w:rtl/>
        </w:rPr>
        <w:tab/>
      </w:r>
      <w:r w:rsidRPr="00C64222">
        <w:rPr>
          <w:rFonts w:ascii="David" w:hAnsi="David" w:hint="cs"/>
          <w:rtl/>
        </w:rPr>
        <w:t xml:space="preserve">8 חודשי </w:t>
      </w:r>
      <w:r>
        <w:rPr>
          <w:rFonts w:ascii="David" w:hAnsi="David" w:hint="cs"/>
          <w:rtl/>
        </w:rPr>
        <w:t>פסילת רישיון אולם הנאשם לא יישא עונש זה אלא אם יעבור תוך 3 שנים מיום שחרורו עבירת נהיגה בהשפעת סמים ו/או בשכרות.</w:t>
      </w:r>
    </w:p>
    <w:p w14:paraId="7C6C31BB" w14:textId="77777777" w:rsidR="001A0D66" w:rsidRDefault="001A0D66" w:rsidP="001A0D66">
      <w:pPr>
        <w:spacing w:line="360" w:lineRule="auto"/>
        <w:ind w:left="720" w:hanging="720"/>
        <w:jc w:val="both"/>
        <w:rPr>
          <w:rFonts w:ascii="David" w:hAnsi="David"/>
          <w:rtl/>
        </w:rPr>
      </w:pPr>
    </w:p>
    <w:p w14:paraId="5DBCC32D" w14:textId="77777777" w:rsidR="001A0D66" w:rsidRDefault="001A0D66" w:rsidP="001A0D66">
      <w:pPr>
        <w:spacing w:line="360" w:lineRule="auto"/>
        <w:ind w:left="720" w:hanging="720"/>
        <w:jc w:val="both"/>
        <w:rPr>
          <w:rFonts w:ascii="David" w:hAnsi="David"/>
          <w:rtl/>
        </w:rPr>
      </w:pPr>
      <w:r>
        <w:rPr>
          <w:rFonts w:ascii="David" w:hAnsi="David" w:hint="cs"/>
          <w:rtl/>
        </w:rPr>
        <w:t>ה.</w:t>
      </w:r>
      <w:r>
        <w:rPr>
          <w:rFonts w:ascii="David" w:hAnsi="David"/>
          <w:rtl/>
        </w:rPr>
        <w:tab/>
      </w:r>
      <w:r>
        <w:rPr>
          <w:rFonts w:ascii="David" w:hAnsi="David" w:hint="cs"/>
          <w:rtl/>
        </w:rPr>
        <w:t>קנס כספי בסך 5,000 ₪ או 25 ימי מאסר תמורתו, אשר ישולם ב-5 תשלומים חודשיים שווים החל מיום 1.8.25 ועד לסיום התשלומים.</w:t>
      </w:r>
    </w:p>
    <w:p w14:paraId="2D987316" w14:textId="77777777" w:rsidR="001A0D66" w:rsidRDefault="001A0D66" w:rsidP="001A0D66">
      <w:pPr>
        <w:spacing w:line="360" w:lineRule="auto"/>
        <w:ind w:left="720" w:hanging="720"/>
        <w:jc w:val="both"/>
        <w:rPr>
          <w:rFonts w:ascii="David" w:hAnsi="David"/>
          <w:rtl/>
        </w:rPr>
      </w:pPr>
    </w:p>
    <w:p w14:paraId="4C83CF62" w14:textId="77777777" w:rsidR="001A0D66" w:rsidRDefault="001A0D66" w:rsidP="001A0D66">
      <w:pPr>
        <w:spacing w:line="360" w:lineRule="auto"/>
        <w:ind w:left="720" w:hanging="720"/>
        <w:jc w:val="both"/>
        <w:rPr>
          <w:rFonts w:ascii="David" w:hAnsi="David"/>
          <w:rtl/>
        </w:rPr>
      </w:pPr>
      <w:r>
        <w:rPr>
          <w:rFonts w:ascii="David" w:hAnsi="David" w:hint="cs"/>
          <w:rtl/>
        </w:rPr>
        <w:t>ו.</w:t>
      </w:r>
      <w:r>
        <w:rPr>
          <w:rFonts w:ascii="David" w:hAnsi="David"/>
          <w:rtl/>
        </w:rPr>
        <w:tab/>
      </w:r>
      <w:r>
        <w:rPr>
          <w:rFonts w:ascii="David" w:hAnsi="David" w:hint="cs"/>
          <w:rtl/>
        </w:rPr>
        <w:t xml:space="preserve">בנסיבות העניין ובשים לב למכלול הנתונים, לא ראיתי להורות על חילוט רכבו של הנאשם. </w:t>
      </w:r>
    </w:p>
    <w:p w14:paraId="77B7CBDF" w14:textId="77777777" w:rsidR="001A0D66" w:rsidRDefault="001A0D66" w:rsidP="001A0D66">
      <w:pPr>
        <w:spacing w:line="360" w:lineRule="auto"/>
        <w:ind w:left="720" w:hanging="720"/>
        <w:jc w:val="both"/>
        <w:rPr>
          <w:rFonts w:ascii="David" w:hAnsi="David"/>
          <w:rtl/>
        </w:rPr>
      </w:pPr>
    </w:p>
    <w:p w14:paraId="61153214" w14:textId="77777777" w:rsidR="001A0D66" w:rsidRDefault="001A0D66" w:rsidP="001A0D66">
      <w:pPr>
        <w:spacing w:line="360" w:lineRule="auto"/>
        <w:ind w:left="720" w:hanging="720"/>
        <w:jc w:val="both"/>
        <w:rPr>
          <w:rFonts w:ascii="David" w:hAnsi="David"/>
          <w:rtl/>
        </w:rPr>
      </w:pPr>
      <w:r>
        <w:rPr>
          <w:rFonts w:ascii="David" w:hAnsi="David" w:hint="cs"/>
          <w:rtl/>
        </w:rPr>
        <w:t xml:space="preserve">ניתן צו כללי למוצגים לשיקול קצין משטרה ו/או התביעה. </w:t>
      </w:r>
    </w:p>
    <w:p w14:paraId="052F2414" w14:textId="77777777" w:rsidR="001A0D66" w:rsidRDefault="001A0D66" w:rsidP="001A0D66">
      <w:pPr>
        <w:spacing w:line="360" w:lineRule="auto"/>
        <w:ind w:left="720" w:hanging="720"/>
        <w:jc w:val="both"/>
        <w:rPr>
          <w:rFonts w:ascii="David" w:hAnsi="David"/>
          <w:rtl/>
        </w:rPr>
      </w:pPr>
    </w:p>
    <w:p w14:paraId="7C87BB93" w14:textId="77777777" w:rsidR="001A0D66" w:rsidRDefault="001A0D66" w:rsidP="001A0D66">
      <w:pPr>
        <w:spacing w:line="360" w:lineRule="auto"/>
        <w:ind w:left="720" w:hanging="720"/>
        <w:jc w:val="both"/>
        <w:rPr>
          <w:rFonts w:ascii="David" w:hAnsi="David"/>
          <w:rtl/>
        </w:rPr>
      </w:pPr>
      <w:r>
        <w:rPr>
          <w:rFonts w:ascii="David" w:hAnsi="David" w:hint="cs"/>
          <w:rtl/>
        </w:rPr>
        <w:t xml:space="preserve">זכות ערעור כחוק. </w:t>
      </w:r>
    </w:p>
    <w:p w14:paraId="7E33EBF6" w14:textId="77777777" w:rsidR="001A0D66" w:rsidRDefault="001A0D66" w:rsidP="001A0D66">
      <w:pPr>
        <w:spacing w:line="360" w:lineRule="auto"/>
        <w:ind w:left="720" w:hanging="720"/>
        <w:jc w:val="both"/>
        <w:rPr>
          <w:rFonts w:ascii="David" w:hAnsi="David"/>
          <w:rtl/>
        </w:rPr>
      </w:pPr>
    </w:p>
    <w:p w14:paraId="28F03C6C" w14:textId="77777777" w:rsidR="001A0D66" w:rsidRPr="00DD62C7" w:rsidRDefault="001A0D66" w:rsidP="001A0D66">
      <w:pPr>
        <w:spacing w:line="360" w:lineRule="auto"/>
        <w:ind w:left="720" w:hanging="720"/>
        <w:jc w:val="both"/>
        <w:rPr>
          <w:rFonts w:ascii="David" w:hAnsi="David"/>
          <w:rtl/>
        </w:rPr>
      </w:pPr>
      <w:r>
        <w:rPr>
          <w:rFonts w:ascii="David" w:hAnsi="David" w:hint="cs"/>
          <w:rtl/>
        </w:rPr>
        <w:t xml:space="preserve">תשומת לב שב"ס לבקשת הנאשם להשתלב בהליך טיפולי.  </w:t>
      </w:r>
    </w:p>
    <w:p w14:paraId="234ABF0C" w14:textId="77777777" w:rsidR="001A0D66" w:rsidRDefault="001A0D66" w:rsidP="001A0D66">
      <w:pPr>
        <w:spacing w:line="360" w:lineRule="auto"/>
        <w:jc w:val="both"/>
        <w:rPr>
          <w:rFonts w:ascii="Arial" w:hAnsi="Arial"/>
          <w:rtl/>
        </w:rPr>
      </w:pPr>
    </w:p>
    <w:p w14:paraId="058FF19A" w14:textId="77777777" w:rsidR="001A0D66" w:rsidRPr="00250B83" w:rsidRDefault="008F2D38" w:rsidP="001A0D66">
      <w:pPr>
        <w:rPr>
          <w:rtl/>
        </w:rPr>
      </w:pPr>
      <w:bookmarkStart w:id="8" w:name="Nitan"/>
      <w:r w:rsidRPr="008F2D38">
        <w:rPr>
          <w:rFonts w:ascii="Arial" w:hAnsi="Arial"/>
          <w:b/>
          <w:bCs/>
          <w:color w:val="FFFFFF"/>
          <w:sz w:val="2"/>
          <w:szCs w:val="2"/>
          <w:rtl/>
        </w:rPr>
        <w:t>5129371</w:t>
      </w:r>
      <w:r>
        <w:rPr>
          <w:rFonts w:ascii="Arial" w:hAnsi="Arial"/>
          <w:b/>
          <w:bCs/>
          <w:rtl/>
        </w:rPr>
        <w:t xml:space="preserve">ניתן היום, ז' טבת תשפ"ה, 07 ינואר 2025, במעמד הצדדים. </w:t>
      </w:r>
      <w:bookmarkEnd w:id="8"/>
    </w:p>
    <w:tbl>
      <w:tblPr>
        <w:tblpPr w:leftFromText="180" w:rightFromText="180" w:vertAnchor="text" w:horzAnchor="page" w:tblpX="1654" w:tblpY="-30"/>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A0D66" w14:paraId="361F215C" w14:textId="77777777" w:rsidTr="001A0D66">
        <w:trPr>
          <w:trHeight w:val="316"/>
        </w:trPr>
        <w:tc>
          <w:tcPr>
            <w:tcW w:w="3936" w:type="dxa"/>
            <w:tcBorders>
              <w:top w:val="nil"/>
              <w:left w:val="nil"/>
              <w:bottom w:val="single" w:sz="4" w:space="0" w:color="auto"/>
              <w:right w:val="nil"/>
            </w:tcBorders>
            <w:shd w:val="clear" w:color="auto" w:fill="auto"/>
            <w:vAlign w:val="bottom"/>
          </w:tcPr>
          <w:p w14:paraId="7E3443EF" w14:textId="77777777" w:rsidR="001A0D66" w:rsidRPr="008F2D38" w:rsidRDefault="008F2D38" w:rsidP="001A0D66">
            <w:pPr>
              <w:jc w:val="center"/>
              <w:rPr>
                <w:rFonts w:cs="Times New Roman"/>
                <w:color w:val="FFFFFF"/>
                <w:sz w:val="2"/>
                <w:szCs w:val="2"/>
              </w:rPr>
            </w:pPr>
            <w:r w:rsidRPr="008F2D38">
              <w:rPr>
                <w:rFonts w:cs="Times New Roman"/>
                <w:color w:val="FFFFFF"/>
                <w:sz w:val="2"/>
                <w:szCs w:val="2"/>
                <w:rtl/>
              </w:rPr>
              <w:t>54678313</w:t>
            </w:r>
          </w:p>
        </w:tc>
      </w:tr>
      <w:tr w:rsidR="001A0D66" w14:paraId="44D86D79" w14:textId="77777777" w:rsidTr="001A0D66">
        <w:trPr>
          <w:trHeight w:val="361"/>
        </w:trPr>
        <w:tc>
          <w:tcPr>
            <w:tcW w:w="3936" w:type="dxa"/>
            <w:tcBorders>
              <w:top w:val="single" w:sz="4" w:space="0" w:color="auto"/>
              <w:left w:val="nil"/>
              <w:bottom w:val="nil"/>
              <w:right w:val="nil"/>
            </w:tcBorders>
            <w:shd w:val="clear" w:color="auto" w:fill="auto"/>
          </w:tcPr>
          <w:p w14:paraId="634F91DF" w14:textId="77777777" w:rsidR="001A0D66" w:rsidRPr="001A0D66" w:rsidRDefault="001A0D66" w:rsidP="001A0D66">
            <w:pPr>
              <w:jc w:val="center"/>
              <w:rPr>
                <w:rFonts w:ascii="David" w:hAnsi="David"/>
                <w:b/>
                <w:bCs/>
                <w:rtl/>
              </w:rPr>
            </w:pPr>
            <w:r w:rsidRPr="001A0D66">
              <w:rPr>
                <w:rFonts w:ascii="David" w:hAnsi="David"/>
                <w:b/>
                <w:bCs/>
                <w:rtl/>
              </w:rPr>
              <w:t>בני שגיא,</w:t>
            </w:r>
            <w:r w:rsidRPr="001A0D66">
              <w:rPr>
                <w:rFonts w:ascii="David" w:hAnsi="David" w:hint="cs"/>
                <w:b/>
                <w:bCs/>
                <w:rtl/>
              </w:rPr>
              <w:t xml:space="preserve"> שופט</w:t>
            </w:r>
          </w:p>
          <w:p w14:paraId="7E9C14D7" w14:textId="77777777" w:rsidR="001A0D66" w:rsidRPr="001A0D66" w:rsidRDefault="001A0D66" w:rsidP="001A0D66">
            <w:pPr>
              <w:jc w:val="center"/>
              <w:rPr>
                <w:rFonts w:ascii="David" w:hAnsi="David"/>
                <w:b/>
                <w:bCs/>
                <w:rtl/>
              </w:rPr>
            </w:pPr>
            <w:r w:rsidRPr="001A0D66">
              <w:rPr>
                <w:rFonts w:ascii="David" w:hAnsi="David"/>
                <w:b/>
                <w:bCs/>
                <w:rtl/>
              </w:rPr>
              <w:t xml:space="preserve"> נשיא (בפועל)</w:t>
            </w:r>
          </w:p>
        </w:tc>
      </w:tr>
    </w:tbl>
    <w:p w14:paraId="3DEC8E0E" w14:textId="77777777" w:rsidR="001A0D66" w:rsidRPr="00250B83" w:rsidRDefault="001A0D66" w:rsidP="001A0D66">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712736C" w14:textId="77777777" w:rsidR="001A0D66" w:rsidRPr="00AF1097" w:rsidRDefault="001A0D66" w:rsidP="001A0D66">
      <w:pPr>
        <w:jc w:val="center"/>
        <w:rPr>
          <w:rFonts w:ascii="Arial" w:hAnsi="Arial"/>
          <w:rtl/>
        </w:rPr>
      </w:pPr>
    </w:p>
    <w:p w14:paraId="59E2C2E2" w14:textId="77777777" w:rsidR="001A0D66" w:rsidRPr="00250B83" w:rsidRDefault="001A0D66" w:rsidP="001A0D66">
      <w:pPr>
        <w:rPr>
          <w:rtl/>
        </w:rPr>
      </w:pPr>
    </w:p>
    <w:p w14:paraId="6B5B5155" w14:textId="77777777" w:rsidR="001A0D66" w:rsidRPr="001E42A6" w:rsidRDefault="001E42A6" w:rsidP="001A0D66">
      <w:pPr>
        <w:pStyle w:val="a3"/>
        <w:jc w:val="center"/>
        <w:rPr>
          <w:color w:val="FFFFFF"/>
          <w:sz w:val="2"/>
          <w:szCs w:val="2"/>
          <w:rtl/>
        </w:rPr>
      </w:pPr>
      <w:r w:rsidRPr="001E42A6">
        <w:rPr>
          <w:color w:val="FFFFFF"/>
          <w:sz w:val="2"/>
          <w:szCs w:val="2"/>
          <w:rtl/>
        </w:rPr>
        <w:t>5129371</w:t>
      </w:r>
    </w:p>
    <w:p w14:paraId="294C2609" w14:textId="77777777" w:rsidR="00C21D24" w:rsidRPr="001E42A6" w:rsidRDefault="001E42A6" w:rsidP="008F2D38">
      <w:pPr>
        <w:keepNext/>
        <w:rPr>
          <w:rFonts w:ascii="David" w:hAnsi="David"/>
          <w:color w:val="FFFFFF"/>
          <w:sz w:val="2"/>
          <w:szCs w:val="2"/>
          <w:rtl/>
        </w:rPr>
      </w:pPr>
      <w:r w:rsidRPr="001E42A6">
        <w:rPr>
          <w:rFonts w:ascii="David" w:hAnsi="David"/>
          <w:color w:val="FFFFFF"/>
          <w:sz w:val="2"/>
          <w:szCs w:val="2"/>
          <w:rtl/>
        </w:rPr>
        <w:t>54678313</w:t>
      </w:r>
    </w:p>
    <w:p w14:paraId="695C005B" w14:textId="77777777" w:rsidR="008F2D38" w:rsidRPr="008F2D38" w:rsidRDefault="008F2D38" w:rsidP="008F2D38">
      <w:pPr>
        <w:keepNext/>
        <w:rPr>
          <w:rFonts w:ascii="David" w:hAnsi="David"/>
          <w:color w:val="000000"/>
          <w:sz w:val="22"/>
          <w:szCs w:val="22"/>
          <w:rtl/>
        </w:rPr>
      </w:pPr>
      <w:r w:rsidRPr="008F2D38">
        <w:rPr>
          <w:rFonts w:ascii="David" w:hAnsi="David"/>
          <w:color w:val="000000"/>
          <w:sz w:val="22"/>
          <w:szCs w:val="22"/>
          <w:rtl/>
        </w:rPr>
        <w:t>בני שגיא 54678313</w:t>
      </w:r>
    </w:p>
    <w:p w14:paraId="0986A224" w14:textId="77777777" w:rsidR="008F2D38" w:rsidRDefault="008F2D38" w:rsidP="008F2D38">
      <w:r w:rsidRPr="008F2D38">
        <w:rPr>
          <w:color w:val="000000"/>
          <w:rtl/>
        </w:rPr>
        <w:t>נוסח מסמך זה כפוף לשינויי ניסוח ועריכה</w:t>
      </w:r>
    </w:p>
    <w:p w14:paraId="0D06F4F4" w14:textId="77777777" w:rsidR="008F2D38" w:rsidRDefault="008F2D38" w:rsidP="008F2D38">
      <w:pPr>
        <w:rPr>
          <w:rtl/>
        </w:rPr>
      </w:pPr>
    </w:p>
    <w:p w14:paraId="5EEFFF1E" w14:textId="77777777" w:rsidR="008F2D38" w:rsidRDefault="008F2D38" w:rsidP="008F2D38">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81B10DE" w14:textId="77777777" w:rsidR="001E42A6" w:rsidRPr="001E42A6" w:rsidRDefault="001E42A6" w:rsidP="001E42A6">
      <w:pPr>
        <w:keepNext/>
        <w:rPr>
          <w:rFonts w:ascii="David" w:hAnsi="David"/>
          <w:color w:val="000000"/>
          <w:sz w:val="22"/>
          <w:szCs w:val="22"/>
          <w:rtl/>
        </w:rPr>
      </w:pPr>
    </w:p>
    <w:sectPr w:rsidR="001E42A6" w:rsidRPr="001E42A6" w:rsidSect="001E42A6">
      <w:headerReference w:type="even" r:id="rId36"/>
      <w:headerReference w:type="default" r:id="rId37"/>
      <w:footerReference w:type="even" r:id="rId38"/>
      <w:footerReference w:type="default" r:id="rId3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6E245" w14:textId="77777777" w:rsidR="0068407B" w:rsidRDefault="0068407B" w:rsidP="004114FD">
      <w:r>
        <w:separator/>
      </w:r>
    </w:p>
  </w:endnote>
  <w:endnote w:type="continuationSeparator" w:id="0">
    <w:p w14:paraId="3633C8F4" w14:textId="77777777" w:rsidR="0068407B" w:rsidRDefault="0068407B" w:rsidP="0041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06DE9" w14:textId="77777777" w:rsidR="001E42A6" w:rsidRDefault="001E42A6" w:rsidP="001E42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357A8F" w14:textId="77777777" w:rsidR="00707CC4" w:rsidRPr="001E42A6" w:rsidRDefault="001E42A6" w:rsidP="001E42A6">
    <w:pPr>
      <w:pStyle w:val="a5"/>
      <w:pBdr>
        <w:top w:val="single" w:sz="4" w:space="1" w:color="auto"/>
        <w:between w:val="single" w:sz="4" w:space="0" w:color="auto"/>
      </w:pBdr>
      <w:spacing w:after="60"/>
      <w:jc w:val="center"/>
      <w:rPr>
        <w:rFonts w:ascii="FrankRuehl" w:hAnsi="FrankRuehl" w:cs="FrankRuehl"/>
        <w:color w:val="000000"/>
      </w:rPr>
    </w:pPr>
    <w:r w:rsidRPr="001E42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FCCF" w14:textId="77777777" w:rsidR="001E42A6" w:rsidRDefault="001E42A6" w:rsidP="001E42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49DE">
      <w:rPr>
        <w:rFonts w:ascii="FrankRuehl" w:hAnsi="FrankRuehl" w:cs="FrankRuehl"/>
        <w:noProof/>
        <w:rtl/>
      </w:rPr>
      <w:t>1</w:t>
    </w:r>
    <w:r>
      <w:rPr>
        <w:rFonts w:ascii="FrankRuehl" w:hAnsi="FrankRuehl" w:cs="FrankRuehl"/>
        <w:rtl/>
      </w:rPr>
      <w:fldChar w:fldCharType="end"/>
    </w:r>
  </w:p>
  <w:p w14:paraId="621E7DB2" w14:textId="77777777" w:rsidR="00707CC4" w:rsidRPr="001E42A6" w:rsidRDefault="001E42A6" w:rsidP="001E42A6">
    <w:pPr>
      <w:pStyle w:val="a5"/>
      <w:pBdr>
        <w:top w:val="single" w:sz="4" w:space="1" w:color="auto"/>
        <w:between w:val="single" w:sz="4" w:space="0" w:color="auto"/>
      </w:pBdr>
      <w:spacing w:after="60"/>
      <w:jc w:val="center"/>
      <w:rPr>
        <w:rFonts w:ascii="FrankRuehl" w:hAnsi="FrankRuehl" w:cs="FrankRuehl"/>
        <w:color w:val="000000"/>
      </w:rPr>
    </w:pPr>
    <w:r w:rsidRPr="001E42A6">
      <w:rPr>
        <w:rFonts w:ascii="FrankRuehl" w:hAnsi="FrankRuehl" w:cs="FrankRuehl"/>
        <w:color w:val="000000"/>
      </w:rPr>
      <w:pict w14:anchorId="6ADD2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2626F" w14:textId="77777777" w:rsidR="0068407B" w:rsidRDefault="0068407B" w:rsidP="004114FD">
      <w:r>
        <w:separator/>
      </w:r>
    </w:p>
  </w:footnote>
  <w:footnote w:type="continuationSeparator" w:id="0">
    <w:p w14:paraId="24F22885" w14:textId="77777777" w:rsidR="0068407B" w:rsidRDefault="0068407B" w:rsidP="0041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645B3" w14:textId="77777777" w:rsidR="008F2D38" w:rsidRPr="001E42A6" w:rsidRDefault="001E42A6" w:rsidP="001E42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41832-08-24</w:t>
    </w:r>
    <w:r>
      <w:rPr>
        <w:rFonts w:ascii="David" w:hAnsi="David"/>
        <w:color w:val="000000"/>
        <w:sz w:val="22"/>
        <w:szCs w:val="22"/>
        <w:rtl/>
      </w:rPr>
      <w:tab/>
      <w:t xml:space="preserve"> מדינת ישראל נ' דניאל סימונס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4B70C" w14:textId="77777777" w:rsidR="008F2D38" w:rsidRPr="001E42A6" w:rsidRDefault="001E42A6" w:rsidP="001E42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41832-08-24</w:t>
    </w:r>
    <w:r>
      <w:rPr>
        <w:rFonts w:ascii="David" w:hAnsi="David"/>
        <w:color w:val="000000"/>
        <w:sz w:val="22"/>
        <w:szCs w:val="22"/>
        <w:rtl/>
      </w:rPr>
      <w:tab/>
      <w:t xml:space="preserve"> מדינת ישראל נ' דניאל סימונס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0D66"/>
    <w:rsid w:val="001A0D66"/>
    <w:rsid w:val="001E42A6"/>
    <w:rsid w:val="004114FD"/>
    <w:rsid w:val="0068407B"/>
    <w:rsid w:val="00707CC4"/>
    <w:rsid w:val="00734469"/>
    <w:rsid w:val="008649DE"/>
    <w:rsid w:val="008F2D38"/>
    <w:rsid w:val="00B92735"/>
    <w:rsid w:val="00C21D24"/>
    <w:rsid w:val="00F34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6378F7"/>
  <w15:chartTrackingRefBased/>
  <w15:docId w15:val="{516066D1-3D39-4756-950F-63F2741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0D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A0D66"/>
    <w:pPr>
      <w:tabs>
        <w:tab w:val="center" w:pos="4153"/>
        <w:tab w:val="right" w:pos="8306"/>
      </w:tabs>
    </w:pPr>
  </w:style>
  <w:style w:type="character" w:customStyle="1" w:styleId="a4">
    <w:name w:val="כותרת עליונה תו"/>
    <w:link w:val="a3"/>
    <w:rsid w:val="001A0D66"/>
    <w:rPr>
      <w:rFonts w:ascii="Times New Roman" w:eastAsia="Times New Roman" w:hAnsi="Times New Roman" w:cs="David"/>
      <w:sz w:val="24"/>
      <w:szCs w:val="24"/>
    </w:rPr>
  </w:style>
  <w:style w:type="paragraph" w:styleId="a5">
    <w:name w:val="footer"/>
    <w:basedOn w:val="a"/>
    <w:link w:val="a6"/>
    <w:rsid w:val="001A0D66"/>
    <w:pPr>
      <w:tabs>
        <w:tab w:val="center" w:pos="4153"/>
        <w:tab w:val="right" w:pos="8306"/>
      </w:tabs>
    </w:pPr>
  </w:style>
  <w:style w:type="character" w:customStyle="1" w:styleId="a6">
    <w:name w:val="כותרת תחתונה תו"/>
    <w:link w:val="a5"/>
    <w:rsid w:val="001A0D66"/>
    <w:rPr>
      <w:rFonts w:ascii="Times New Roman" w:eastAsia="Times New Roman" w:hAnsi="Times New Roman" w:cs="David"/>
      <w:sz w:val="24"/>
      <w:szCs w:val="24"/>
    </w:rPr>
  </w:style>
  <w:style w:type="table" w:styleId="a7">
    <w:name w:val="Table Grid"/>
    <w:basedOn w:val="a1"/>
    <w:rsid w:val="001A0D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A0D66"/>
  </w:style>
  <w:style w:type="paragraph" w:styleId="a9">
    <w:name w:val="List Paragraph"/>
    <w:basedOn w:val="a"/>
    <w:qFormat/>
    <w:rsid w:val="001A0D66"/>
    <w:pPr>
      <w:spacing w:after="160" w:line="256" w:lineRule="auto"/>
      <w:ind w:left="720"/>
      <w:contextualSpacing/>
    </w:pPr>
    <w:rPr>
      <w:rFonts w:ascii="Calibri" w:eastAsia="Calibri" w:hAnsi="Calibri" w:cs="Arial"/>
      <w:sz w:val="22"/>
      <w:szCs w:val="22"/>
    </w:rPr>
  </w:style>
  <w:style w:type="character" w:styleId="Hyperlink">
    <w:name w:val="Hyperlink"/>
    <w:rsid w:val="008F2D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9867910" TargetMode="External"/><Relationship Id="rId26" Type="http://schemas.openxmlformats.org/officeDocument/2006/relationships/hyperlink" Target="http://www.nevo.co.il/law/4216" TargetMode="External"/><Relationship Id="rId39" Type="http://schemas.openxmlformats.org/officeDocument/2006/relationships/footer" Target="footer2.xml"/><Relationship Id="rId21" Type="http://schemas.openxmlformats.org/officeDocument/2006/relationships/hyperlink" Target="http://www.nevo.co.il/case/29677445"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27499246"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72269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7309272"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144.b" TargetMode="External"/><Relationship Id="rId36"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law/70301/144.a.;144.b" TargetMode="External"/><Relationship Id="rId31" Type="http://schemas.openxmlformats.org/officeDocument/2006/relationships/hyperlink" Target="http://www.nevo.co.il/law/70301/144.b"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9030176"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case/28883087"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144.b"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2736</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16387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4063352</vt:i4>
      </vt:variant>
      <vt:variant>
        <vt:i4>78</vt:i4>
      </vt:variant>
      <vt:variant>
        <vt:i4>0</vt:i4>
      </vt:variant>
      <vt:variant>
        <vt:i4>5</vt:i4>
      </vt:variant>
      <vt:variant>
        <vt:lpwstr>http://www.nevo.co.il/case/28722692</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3473535</vt:i4>
      </vt:variant>
      <vt:variant>
        <vt:i4>63</vt:i4>
      </vt:variant>
      <vt:variant>
        <vt:i4>0</vt:i4>
      </vt:variant>
      <vt:variant>
        <vt:i4>5</vt:i4>
      </vt:variant>
      <vt:variant>
        <vt:lpwstr>http://www.nevo.co.il/case/29030176</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3604606</vt:i4>
      </vt:variant>
      <vt:variant>
        <vt:i4>45</vt:i4>
      </vt:variant>
      <vt:variant>
        <vt:i4>0</vt:i4>
      </vt:variant>
      <vt:variant>
        <vt:i4>5</vt:i4>
      </vt:variant>
      <vt:variant>
        <vt:lpwstr>http://www.nevo.co.il/case/29677445</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393232</vt:i4>
      </vt:variant>
      <vt:variant>
        <vt:i4>39</vt:i4>
      </vt:variant>
      <vt:variant>
        <vt:i4>0</vt:i4>
      </vt:variant>
      <vt:variant>
        <vt:i4>5</vt:i4>
      </vt:variant>
      <vt:variant>
        <vt:lpwstr>http://www.nevo.co.il/law/70301/144.a.;144.b</vt:lpwstr>
      </vt:variant>
      <vt:variant>
        <vt:lpwstr/>
      </vt:variant>
      <vt:variant>
        <vt:i4>3932274</vt:i4>
      </vt:variant>
      <vt:variant>
        <vt:i4>36</vt:i4>
      </vt:variant>
      <vt:variant>
        <vt:i4>0</vt:i4>
      </vt:variant>
      <vt:variant>
        <vt:i4>5</vt:i4>
      </vt:variant>
      <vt:variant>
        <vt:lpwstr>http://www.nevo.co.il/case/29867910</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3866744</vt:i4>
      </vt:variant>
      <vt:variant>
        <vt:i4>30</vt:i4>
      </vt:variant>
      <vt:variant>
        <vt:i4>0</vt:i4>
      </vt:variant>
      <vt:variant>
        <vt:i4>5</vt:i4>
      </vt:variant>
      <vt:variant>
        <vt:lpwstr>http://www.nevo.co.il/case/27499246</vt:lpwstr>
      </vt:variant>
      <vt:variant>
        <vt:lpwstr/>
      </vt:variant>
      <vt:variant>
        <vt:i4>4128881</vt:i4>
      </vt:variant>
      <vt:variant>
        <vt:i4>27</vt:i4>
      </vt:variant>
      <vt:variant>
        <vt:i4>0</vt:i4>
      </vt:variant>
      <vt:variant>
        <vt:i4>5</vt:i4>
      </vt:variant>
      <vt:variant>
        <vt:lpwstr>http://www.nevo.co.il/case/27309272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2025-04-22T21:33:00Z</dcterms:created>
  <dcterms:modified xsi:type="dcterms:W3CDTF">2025-04-22T21:33:00Z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41832</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דניאל סימונס</vt:lpwstr>
  </property>
  <property fmtid="{D5CDD505-2E9C-101B-9397-08002B2CF9AE}" pid="10" name="LAWYER">
    <vt:lpwstr>גל אוסטריאק;יוסי בוקר</vt:lpwstr>
  </property>
  <property fmtid="{D5CDD505-2E9C-101B-9397-08002B2CF9AE}" pid="11" name="JUDGE">
    <vt:lpwstr>בני שגיא</vt:lpwstr>
  </property>
  <property fmtid="{D5CDD505-2E9C-101B-9397-08002B2CF9AE}" pid="12" name="CITY">
    <vt:lpwstr>ב"ש</vt:lpwstr>
  </property>
  <property fmtid="{D5CDD505-2E9C-101B-9397-08002B2CF9AE}" pid="13" name="DATE">
    <vt:lpwstr>20250107</vt:lpwstr>
  </property>
  <property fmtid="{D5CDD505-2E9C-101B-9397-08002B2CF9AE}" pid="14" name="TYPE_N_DATE">
    <vt:lpwstr>39020250107</vt:lpwstr>
  </property>
  <property fmtid="{D5CDD505-2E9C-101B-9397-08002B2CF9AE}" pid="15" name="CASESLISTTMP1">
    <vt:lpwstr>27309272;27499246;28883087:2;29867910;29677445;29030176;28722692</vt:lpwstr>
  </property>
  <property fmtid="{D5CDD505-2E9C-101B-9397-08002B2CF9AE}" pid="16" name="WORDNUMPAGES">
    <vt:lpwstr>7</vt:lpwstr>
  </property>
  <property fmtid="{D5CDD505-2E9C-101B-9397-08002B2CF9AE}" pid="17" name="TYPE_ABS_DATE">
    <vt:lpwstr>390020250107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70301/144.b:6;144.a:2</vt:lpwstr>
  </property>
  <property fmtid="{D5CDD505-2E9C-101B-9397-08002B2CF9AE}" pid="37" name="LAWLISTTMP2">
    <vt:lpwstr>4216/007.a;007.c</vt:lpwstr>
  </property>
</Properties>
</file>