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47"/>
        <w:gridCol w:w="3674"/>
      </w:tblGrid>
      <w:tr w:rsidR="00D0331C" w:rsidRPr="00655372" w14:paraId="1C214A89" w14:textId="77777777">
        <w:trPr>
          <w:trHeight w:hRule="exact" w:val="418"/>
          <w:jc w:val="center"/>
        </w:trPr>
        <w:tc>
          <w:tcPr>
            <w:tcW w:w="8721" w:type="dxa"/>
            <w:gridSpan w:val="2"/>
          </w:tcPr>
          <w:p w14:paraId="518FFE72" w14:textId="77777777" w:rsidR="00D0331C" w:rsidRPr="00655372" w:rsidRDefault="00655372">
            <w:pPr>
              <w:pStyle w:val="a4"/>
              <w:jc w:val="center"/>
              <w:rPr>
                <w:rFonts w:ascii="Tahoma" w:hAnsi="Tahoma" w:cs="Tahoma"/>
                <w:color w:val="000080"/>
                <w:rtl/>
              </w:rPr>
            </w:pPr>
            <w:r w:rsidRPr="00655372">
              <w:rPr>
                <w:rFonts w:ascii="Tahoma" w:hAnsi="Tahoma" w:cs="Tahoma"/>
                <w:b/>
                <w:bCs/>
                <w:color w:val="000080"/>
                <w:rtl/>
              </w:rPr>
              <w:t>בית משפט השלום בתל אביב - יפו</w:t>
            </w:r>
          </w:p>
        </w:tc>
      </w:tr>
      <w:tr w:rsidR="00D0331C" w:rsidRPr="00655372" w14:paraId="6DAA0774" w14:textId="77777777">
        <w:trPr>
          <w:trHeight w:val="337"/>
          <w:jc w:val="center"/>
        </w:trPr>
        <w:tc>
          <w:tcPr>
            <w:tcW w:w="5047" w:type="dxa"/>
          </w:tcPr>
          <w:p w14:paraId="44352B8F" w14:textId="77777777" w:rsidR="00D0331C" w:rsidRPr="00655372" w:rsidRDefault="00D0331C">
            <w:pPr>
              <w:pStyle w:val="a4"/>
              <w:rPr>
                <w:rFonts w:cs="FrankRuehl"/>
                <w:sz w:val="28"/>
                <w:szCs w:val="28"/>
                <w:rtl/>
              </w:rPr>
            </w:pPr>
          </w:p>
        </w:tc>
        <w:tc>
          <w:tcPr>
            <w:tcW w:w="3674" w:type="dxa"/>
          </w:tcPr>
          <w:p w14:paraId="46D4D2DB" w14:textId="77777777" w:rsidR="00D0331C" w:rsidRPr="00655372" w:rsidRDefault="00D0331C">
            <w:pPr>
              <w:pStyle w:val="a4"/>
              <w:jc w:val="right"/>
              <w:rPr>
                <w:rFonts w:cs="FrankRuehl"/>
                <w:sz w:val="28"/>
                <w:szCs w:val="28"/>
                <w:rtl/>
              </w:rPr>
            </w:pPr>
          </w:p>
        </w:tc>
      </w:tr>
      <w:tr w:rsidR="00D0331C" w:rsidRPr="00655372" w14:paraId="68231754" w14:textId="77777777">
        <w:trPr>
          <w:trHeight w:val="337"/>
          <w:jc w:val="center"/>
        </w:trPr>
        <w:tc>
          <w:tcPr>
            <w:tcW w:w="8721" w:type="dxa"/>
            <w:gridSpan w:val="2"/>
          </w:tcPr>
          <w:p w14:paraId="2EECDC8F" w14:textId="77777777" w:rsidR="00D0331C" w:rsidRPr="00655372" w:rsidRDefault="00655372">
            <w:pPr>
              <w:rPr>
                <w:b/>
                <w:bCs/>
                <w:rtl/>
              </w:rPr>
            </w:pPr>
            <w:r w:rsidRPr="00655372">
              <w:rPr>
                <w:b/>
                <w:bCs/>
                <w:rtl/>
              </w:rPr>
              <w:t>ת"פ</w:t>
            </w:r>
            <w:r w:rsidRPr="00655372">
              <w:rPr>
                <w:rFonts w:hint="cs"/>
                <w:b/>
                <w:bCs/>
                <w:rtl/>
              </w:rPr>
              <w:t xml:space="preserve"> </w:t>
            </w:r>
            <w:r w:rsidRPr="00655372">
              <w:rPr>
                <w:b/>
                <w:bCs/>
                <w:rtl/>
              </w:rPr>
              <w:t>13504-12-09</w:t>
            </w:r>
            <w:r w:rsidRPr="00655372">
              <w:rPr>
                <w:rFonts w:hint="cs"/>
                <w:b/>
                <w:bCs/>
                <w:rtl/>
              </w:rPr>
              <w:t xml:space="preserve"> </w:t>
            </w:r>
            <w:r w:rsidRPr="00655372">
              <w:rPr>
                <w:b/>
                <w:bCs/>
                <w:rtl/>
              </w:rPr>
              <w:t>מדינת ישראל נ' שמחה(עציר)</w:t>
            </w:r>
          </w:p>
          <w:p w14:paraId="4FD637AF" w14:textId="77777777" w:rsidR="00D0331C" w:rsidRPr="00655372" w:rsidRDefault="00655372">
            <w:pPr>
              <w:pStyle w:val="a4"/>
              <w:tabs>
                <w:tab w:val="clear" w:pos="4153"/>
                <w:tab w:val="clear" w:pos="8306"/>
                <w:tab w:val="left" w:pos="2445"/>
              </w:tabs>
              <w:rPr>
                <w:b/>
                <w:bCs/>
                <w:rtl/>
              </w:rPr>
            </w:pPr>
            <w:r w:rsidRPr="00655372">
              <w:rPr>
                <w:b/>
                <w:bCs/>
                <w:rtl/>
              </w:rPr>
              <w:tab/>
            </w:r>
          </w:p>
        </w:tc>
      </w:tr>
    </w:tbl>
    <w:p w14:paraId="2542DACB" w14:textId="77777777" w:rsidR="00D0331C" w:rsidRPr="00655372" w:rsidRDefault="00655372">
      <w:pPr>
        <w:pStyle w:val="a4"/>
      </w:pPr>
      <w:r w:rsidRPr="00655372">
        <w:rPr>
          <w:rFonts w:hint="cs"/>
          <w:rtl/>
        </w:rPr>
        <w:t xml:space="preserve"> </w:t>
      </w:r>
    </w:p>
    <w:p w14:paraId="10D05918" w14:textId="77777777" w:rsidR="00D0331C" w:rsidRPr="00655372" w:rsidRDefault="00D0331C">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41"/>
        <w:gridCol w:w="8179"/>
      </w:tblGrid>
      <w:tr w:rsidR="00D0331C" w:rsidRPr="00655372" w14:paraId="61FB3F01" w14:textId="77777777">
        <w:trPr>
          <w:trHeight w:val="295"/>
          <w:jc w:val="center"/>
        </w:trPr>
        <w:tc>
          <w:tcPr>
            <w:tcW w:w="583" w:type="dxa"/>
            <w:tcBorders>
              <w:top w:val="nil"/>
              <w:left w:val="nil"/>
              <w:bottom w:val="nil"/>
              <w:right w:val="nil"/>
            </w:tcBorders>
          </w:tcPr>
          <w:p w14:paraId="23F69BCD" w14:textId="77777777" w:rsidR="00D0331C" w:rsidRPr="00655372" w:rsidRDefault="00655372">
            <w:pPr>
              <w:jc w:val="both"/>
              <w:rPr>
                <w:rFonts w:ascii="Arial" w:hAnsi="Arial"/>
                <w:b/>
                <w:bCs/>
                <w:sz w:val="26"/>
                <w:szCs w:val="26"/>
              </w:rPr>
            </w:pPr>
            <w:r w:rsidRPr="00655372">
              <w:rPr>
                <w:rFonts w:ascii="Arial" w:hAnsi="Arial" w:hint="cs"/>
                <w:b/>
                <w:bCs/>
                <w:sz w:val="26"/>
                <w:szCs w:val="26"/>
                <w:rtl/>
              </w:rPr>
              <w:t>ב</w:t>
            </w:r>
            <w:r w:rsidRPr="00655372">
              <w:rPr>
                <w:rFonts w:ascii="Arial" w:hAnsi="Arial"/>
                <w:b/>
                <w:bCs/>
                <w:sz w:val="26"/>
                <w:szCs w:val="26"/>
                <w:rtl/>
              </w:rPr>
              <w:t xml:space="preserve">פני </w:t>
            </w:r>
          </w:p>
        </w:tc>
        <w:tc>
          <w:tcPr>
            <w:tcW w:w="8237" w:type="dxa"/>
            <w:tcBorders>
              <w:top w:val="nil"/>
              <w:left w:val="nil"/>
              <w:bottom w:val="nil"/>
              <w:right w:val="nil"/>
            </w:tcBorders>
          </w:tcPr>
          <w:p w14:paraId="46C3D626" w14:textId="77777777" w:rsidR="00D0331C" w:rsidRPr="00655372" w:rsidRDefault="00655372">
            <w:pPr>
              <w:tabs>
                <w:tab w:val="left" w:pos="1625"/>
              </w:tabs>
              <w:rPr>
                <w:rFonts w:ascii="Arial" w:hAnsi="Arial"/>
                <w:b/>
                <w:bCs/>
                <w:sz w:val="26"/>
                <w:szCs w:val="26"/>
                <w:highlight w:val="yellow"/>
              </w:rPr>
            </w:pPr>
            <w:r w:rsidRPr="00655372">
              <w:rPr>
                <w:rFonts w:ascii="Arial" w:hAnsi="Arial" w:hint="cs"/>
                <w:b/>
                <w:bCs/>
                <w:sz w:val="26"/>
                <w:szCs w:val="26"/>
                <w:rtl/>
              </w:rPr>
              <w:t xml:space="preserve">כב' השופט </w:t>
            </w:r>
            <w:r w:rsidRPr="00655372">
              <w:rPr>
                <w:rFonts w:hint="cs"/>
                <w:b/>
                <w:bCs/>
                <w:sz w:val="26"/>
                <w:szCs w:val="26"/>
                <w:rtl/>
              </w:rPr>
              <w:t>בני שגיא, סגן נשיאה</w:t>
            </w:r>
          </w:p>
        </w:tc>
      </w:tr>
    </w:tbl>
    <w:p w14:paraId="7EACE2F9" w14:textId="77777777" w:rsidR="00D0331C" w:rsidRPr="00655372" w:rsidRDefault="00D0331C">
      <w:pPr>
        <w:rPr>
          <w:rtl/>
        </w:rPr>
      </w:pPr>
      <w:bookmarkStart w:id="0" w:name="LastJudge"/>
      <w:bookmarkEnd w:id="0"/>
    </w:p>
    <w:p w14:paraId="498C73F3" w14:textId="77777777" w:rsidR="00D0331C" w:rsidRPr="00655372" w:rsidRDefault="00D0331C">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3"/>
        <w:gridCol w:w="3688"/>
        <w:gridCol w:w="3699"/>
      </w:tblGrid>
      <w:tr w:rsidR="00D0331C" w:rsidRPr="00655372" w14:paraId="738B96E3" w14:textId="77777777">
        <w:trPr>
          <w:trHeight w:val="355"/>
          <w:jc w:val="center"/>
        </w:trPr>
        <w:tc>
          <w:tcPr>
            <w:tcW w:w="1433" w:type="dxa"/>
            <w:tcBorders>
              <w:top w:val="nil"/>
              <w:left w:val="nil"/>
              <w:bottom w:val="nil"/>
              <w:right w:val="nil"/>
            </w:tcBorders>
          </w:tcPr>
          <w:p w14:paraId="2C49171B" w14:textId="77777777" w:rsidR="00D0331C" w:rsidRPr="00655372" w:rsidRDefault="00D0331C">
            <w:pPr>
              <w:jc w:val="both"/>
              <w:rPr>
                <w:rFonts w:ascii="Arial" w:hAnsi="Arial" w:cs="FrankRuehl"/>
                <w:b/>
                <w:bCs/>
                <w:sz w:val="28"/>
                <w:szCs w:val="28"/>
                <w:rtl/>
              </w:rPr>
            </w:pPr>
            <w:bookmarkStart w:id="1" w:name="FirstAppellant"/>
          </w:p>
          <w:p w14:paraId="0B083AE2" w14:textId="77777777" w:rsidR="00D0331C" w:rsidRPr="00655372" w:rsidRDefault="00655372">
            <w:pPr>
              <w:jc w:val="both"/>
              <w:rPr>
                <w:rFonts w:ascii="Arial" w:hAnsi="Arial"/>
                <w:b/>
                <w:bCs/>
              </w:rPr>
            </w:pPr>
            <w:r w:rsidRPr="00655372">
              <w:rPr>
                <w:rFonts w:ascii="Arial" w:hAnsi="Arial" w:hint="cs"/>
                <w:b/>
                <w:bCs/>
                <w:rtl/>
              </w:rPr>
              <w:t>ה</w:t>
            </w:r>
            <w:r w:rsidRPr="00655372">
              <w:rPr>
                <w:rFonts w:hint="cs"/>
                <w:rtl/>
              </w:rPr>
              <w:t>מאשימה</w:t>
            </w:r>
            <w:r w:rsidRPr="00655372">
              <w:rPr>
                <w:rFonts w:ascii="Arial" w:hAnsi="Arial" w:hint="cs"/>
                <w:b/>
                <w:bCs/>
                <w:rtl/>
              </w:rPr>
              <w:t>:</w:t>
            </w:r>
          </w:p>
        </w:tc>
        <w:tc>
          <w:tcPr>
            <w:tcW w:w="3688" w:type="dxa"/>
            <w:tcBorders>
              <w:top w:val="nil"/>
              <w:left w:val="nil"/>
              <w:bottom w:val="nil"/>
              <w:right w:val="nil"/>
            </w:tcBorders>
          </w:tcPr>
          <w:p w14:paraId="55C79BEF" w14:textId="77777777" w:rsidR="00D0331C" w:rsidRPr="00655372" w:rsidRDefault="00D0331C">
            <w:pPr>
              <w:jc w:val="both"/>
              <w:rPr>
                <w:rFonts w:ascii="Arial" w:hAnsi="Arial"/>
                <w:b/>
                <w:bCs/>
                <w:sz w:val="26"/>
                <w:szCs w:val="26"/>
                <w:rtl/>
              </w:rPr>
            </w:pPr>
          </w:p>
          <w:p w14:paraId="65B603A0" w14:textId="77777777" w:rsidR="00D0331C" w:rsidRPr="00655372" w:rsidRDefault="00655372">
            <w:pPr>
              <w:ind w:left="720"/>
              <w:jc w:val="both"/>
              <w:rPr>
                <w:rFonts w:ascii="Arial" w:hAnsi="Arial"/>
                <w:b/>
                <w:bCs/>
                <w:rtl/>
              </w:rPr>
            </w:pPr>
            <w:r w:rsidRPr="00655372">
              <w:rPr>
                <w:rFonts w:hint="cs"/>
                <w:rtl/>
              </w:rPr>
              <w:t>מדינת ישראל</w:t>
            </w:r>
          </w:p>
          <w:p w14:paraId="12B60F3B" w14:textId="77777777" w:rsidR="00D0331C" w:rsidRPr="00655372" w:rsidRDefault="00D0331C">
            <w:pPr>
              <w:ind w:left="720"/>
              <w:jc w:val="both"/>
              <w:rPr>
                <w:rFonts w:ascii="Arial" w:hAnsi="Arial"/>
                <w:b/>
                <w:bCs/>
              </w:rPr>
            </w:pPr>
          </w:p>
        </w:tc>
        <w:tc>
          <w:tcPr>
            <w:tcW w:w="3699" w:type="dxa"/>
            <w:tcBorders>
              <w:top w:val="nil"/>
              <w:left w:val="nil"/>
              <w:bottom w:val="nil"/>
              <w:right w:val="nil"/>
            </w:tcBorders>
          </w:tcPr>
          <w:p w14:paraId="6D7318CE" w14:textId="77777777" w:rsidR="00D0331C" w:rsidRPr="00655372" w:rsidRDefault="00D0331C">
            <w:pPr>
              <w:jc w:val="both"/>
              <w:rPr>
                <w:rFonts w:ascii="Arial" w:hAnsi="Arial"/>
                <w:b/>
                <w:bCs/>
                <w:sz w:val="26"/>
                <w:szCs w:val="26"/>
              </w:rPr>
            </w:pPr>
          </w:p>
        </w:tc>
      </w:tr>
      <w:tr w:rsidR="00D0331C" w:rsidRPr="00655372" w14:paraId="02D5A828" w14:textId="77777777">
        <w:trPr>
          <w:trHeight w:val="355"/>
          <w:jc w:val="center"/>
        </w:trPr>
        <w:tc>
          <w:tcPr>
            <w:tcW w:w="1433" w:type="dxa"/>
            <w:tcBorders>
              <w:top w:val="nil"/>
              <w:left w:val="nil"/>
              <w:bottom w:val="nil"/>
              <w:right w:val="nil"/>
            </w:tcBorders>
          </w:tcPr>
          <w:p w14:paraId="4D286CA3" w14:textId="77777777" w:rsidR="00D0331C" w:rsidRPr="00655372" w:rsidRDefault="00D0331C">
            <w:pPr>
              <w:jc w:val="both"/>
              <w:rPr>
                <w:rFonts w:ascii="Arial" w:hAnsi="Arial" w:cs="FrankRuehl"/>
                <w:b/>
                <w:bCs/>
                <w:sz w:val="28"/>
                <w:szCs w:val="28"/>
                <w:rtl/>
              </w:rPr>
            </w:pPr>
            <w:bookmarkStart w:id="2" w:name="FirstLawyer"/>
            <w:bookmarkEnd w:id="1"/>
          </w:p>
        </w:tc>
        <w:tc>
          <w:tcPr>
            <w:tcW w:w="7387" w:type="dxa"/>
            <w:gridSpan w:val="2"/>
            <w:tcBorders>
              <w:top w:val="nil"/>
              <w:left w:val="nil"/>
              <w:bottom w:val="nil"/>
              <w:right w:val="nil"/>
            </w:tcBorders>
            <w:vAlign w:val="center"/>
          </w:tcPr>
          <w:p w14:paraId="22DC91E4" w14:textId="77777777" w:rsidR="00D0331C" w:rsidRPr="00655372" w:rsidRDefault="00655372">
            <w:pPr>
              <w:rPr>
                <w:rFonts w:ascii="Arial" w:hAnsi="Arial"/>
                <w:b/>
                <w:bCs/>
                <w:sz w:val="26"/>
                <w:szCs w:val="26"/>
                <w:rtl/>
              </w:rPr>
            </w:pPr>
            <w:r w:rsidRPr="00655372">
              <w:rPr>
                <w:rFonts w:hint="cs"/>
                <w:rtl/>
              </w:rPr>
              <w:t xml:space="preserve">              ע"י ב"כ עו"ד עומר סגל</w:t>
            </w:r>
          </w:p>
        </w:tc>
      </w:tr>
      <w:bookmarkEnd w:id="2"/>
      <w:tr w:rsidR="00D0331C" w:rsidRPr="00655372" w14:paraId="37CDC8BD" w14:textId="77777777">
        <w:trPr>
          <w:trHeight w:val="355"/>
          <w:jc w:val="center"/>
        </w:trPr>
        <w:tc>
          <w:tcPr>
            <w:tcW w:w="1433" w:type="dxa"/>
            <w:tcBorders>
              <w:top w:val="nil"/>
              <w:left w:val="nil"/>
              <w:bottom w:val="nil"/>
              <w:right w:val="nil"/>
            </w:tcBorders>
          </w:tcPr>
          <w:p w14:paraId="59A0AF37" w14:textId="77777777" w:rsidR="00D0331C" w:rsidRPr="00655372" w:rsidRDefault="00D0331C">
            <w:pPr>
              <w:jc w:val="both"/>
              <w:rPr>
                <w:rFonts w:ascii="Arial" w:hAnsi="Arial" w:cs="FrankRuehl"/>
                <w:b/>
                <w:bCs/>
                <w:sz w:val="28"/>
                <w:szCs w:val="28"/>
                <w:rtl/>
              </w:rPr>
            </w:pPr>
          </w:p>
        </w:tc>
        <w:tc>
          <w:tcPr>
            <w:tcW w:w="7387" w:type="dxa"/>
            <w:gridSpan w:val="2"/>
            <w:tcBorders>
              <w:top w:val="nil"/>
              <w:left w:val="nil"/>
              <w:bottom w:val="nil"/>
              <w:right w:val="nil"/>
            </w:tcBorders>
          </w:tcPr>
          <w:p w14:paraId="046EC307" w14:textId="77777777" w:rsidR="00D0331C" w:rsidRPr="00655372" w:rsidRDefault="00D0331C">
            <w:pPr>
              <w:jc w:val="center"/>
              <w:rPr>
                <w:rFonts w:ascii="Arial" w:hAnsi="Arial"/>
                <w:b/>
                <w:bCs/>
                <w:sz w:val="26"/>
                <w:szCs w:val="26"/>
                <w:rtl/>
              </w:rPr>
            </w:pPr>
          </w:p>
          <w:p w14:paraId="283C9932" w14:textId="77777777" w:rsidR="00D0331C" w:rsidRPr="00655372" w:rsidRDefault="00655372">
            <w:pPr>
              <w:jc w:val="center"/>
              <w:rPr>
                <w:rFonts w:ascii="Arial" w:hAnsi="Arial"/>
                <w:b/>
                <w:bCs/>
                <w:sz w:val="26"/>
                <w:szCs w:val="26"/>
              </w:rPr>
            </w:pPr>
            <w:r w:rsidRPr="00655372">
              <w:rPr>
                <w:rFonts w:ascii="Arial" w:hAnsi="Arial"/>
                <w:b/>
                <w:bCs/>
                <w:sz w:val="26"/>
                <w:szCs w:val="26"/>
                <w:rtl/>
              </w:rPr>
              <w:t>נגד</w:t>
            </w:r>
          </w:p>
        </w:tc>
      </w:tr>
      <w:tr w:rsidR="00D0331C" w:rsidRPr="00655372" w14:paraId="25AB061B" w14:textId="77777777">
        <w:trPr>
          <w:trHeight w:val="355"/>
          <w:jc w:val="center"/>
        </w:trPr>
        <w:tc>
          <w:tcPr>
            <w:tcW w:w="1433" w:type="dxa"/>
            <w:tcBorders>
              <w:top w:val="nil"/>
              <w:left w:val="nil"/>
              <w:bottom w:val="nil"/>
              <w:right w:val="nil"/>
            </w:tcBorders>
          </w:tcPr>
          <w:p w14:paraId="6C9ACFA0" w14:textId="77777777" w:rsidR="00D0331C" w:rsidRPr="00655372" w:rsidRDefault="00655372">
            <w:pPr>
              <w:jc w:val="both"/>
              <w:rPr>
                <w:rFonts w:ascii="Arial" w:hAnsi="Arial"/>
                <w:b/>
                <w:bCs/>
                <w:rtl/>
              </w:rPr>
            </w:pPr>
            <w:r w:rsidRPr="00655372">
              <w:rPr>
                <w:rFonts w:ascii="Arial" w:hAnsi="Arial" w:hint="cs"/>
                <w:b/>
                <w:bCs/>
                <w:rtl/>
              </w:rPr>
              <w:t>ה</w:t>
            </w:r>
            <w:r w:rsidRPr="00655372">
              <w:rPr>
                <w:rFonts w:hint="cs"/>
                <w:rtl/>
              </w:rPr>
              <w:t>נאשם</w:t>
            </w:r>
            <w:r w:rsidRPr="00655372">
              <w:rPr>
                <w:rFonts w:ascii="Arial" w:hAnsi="Arial" w:hint="cs"/>
                <w:b/>
                <w:bCs/>
                <w:rtl/>
              </w:rPr>
              <w:t>:</w:t>
            </w:r>
          </w:p>
        </w:tc>
        <w:tc>
          <w:tcPr>
            <w:tcW w:w="3688" w:type="dxa"/>
            <w:tcBorders>
              <w:top w:val="nil"/>
              <w:left w:val="nil"/>
              <w:bottom w:val="nil"/>
              <w:right w:val="nil"/>
            </w:tcBorders>
          </w:tcPr>
          <w:p w14:paraId="0A1C2C95" w14:textId="77777777" w:rsidR="00D0331C" w:rsidRPr="00655372" w:rsidRDefault="00655372">
            <w:pPr>
              <w:ind w:left="720"/>
              <w:jc w:val="both"/>
              <w:rPr>
                <w:b/>
                <w:bCs/>
                <w:rtl/>
              </w:rPr>
            </w:pPr>
            <w:r w:rsidRPr="00655372">
              <w:rPr>
                <w:rFonts w:hint="cs"/>
                <w:rtl/>
              </w:rPr>
              <w:t>מיכאל שמחה (עציר)</w:t>
            </w:r>
          </w:p>
          <w:p w14:paraId="75E7028D" w14:textId="77777777" w:rsidR="00D0331C" w:rsidRPr="00655372" w:rsidRDefault="00D0331C">
            <w:pPr>
              <w:ind w:left="720"/>
              <w:jc w:val="both"/>
              <w:rPr>
                <w:b/>
                <w:bCs/>
                <w:rtl/>
              </w:rPr>
            </w:pPr>
          </w:p>
        </w:tc>
        <w:tc>
          <w:tcPr>
            <w:tcW w:w="3699" w:type="dxa"/>
            <w:tcBorders>
              <w:top w:val="nil"/>
              <w:left w:val="nil"/>
              <w:bottom w:val="nil"/>
              <w:right w:val="nil"/>
            </w:tcBorders>
          </w:tcPr>
          <w:p w14:paraId="3A59E4CB" w14:textId="77777777" w:rsidR="00D0331C" w:rsidRPr="00655372" w:rsidRDefault="00D0331C">
            <w:pPr>
              <w:jc w:val="right"/>
              <w:rPr>
                <w:rFonts w:ascii="Arial" w:hAnsi="Arial"/>
                <w:b/>
                <w:bCs/>
                <w:sz w:val="26"/>
                <w:szCs w:val="26"/>
              </w:rPr>
            </w:pPr>
          </w:p>
        </w:tc>
      </w:tr>
      <w:tr w:rsidR="00D0331C" w:rsidRPr="00655372" w14:paraId="03A276D1" w14:textId="77777777">
        <w:trPr>
          <w:trHeight w:val="355"/>
          <w:jc w:val="center"/>
        </w:trPr>
        <w:tc>
          <w:tcPr>
            <w:tcW w:w="1433" w:type="dxa"/>
            <w:tcBorders>
              <w:top w:val="nil"/>
              <w:left w:val="nil"/>
              <w:bottom w:val="nil"/>
              <w:right w:val="nil"/>
            </w:tcBorders>
          </w:tcPr>
          <w:p w14:paraId="2D1602CA" w14:textId="77777777" w:rsidR="00D0331C" w:rsidRPr="00655372" w:rsidRDefault="00D0331C">
            <w:pPr>
              <w:jc w:val="both"/>
              <w:rPr>
                <w:rFonts w:ascii="Arial" w:hAnsi="Arial" w:cs="FrankRuehl"/>
                <w:b/>
                <w:bCs/>
                <w:sz w:val="28"/>
                <w:szCs w:val="28"/>
                <w:rtl/>
              </w:rPr>
            </w:pPr>
          </w:p>
        </w:tc>
        <w:tc>
          <w:tcPr>
            <w:tcW w:w="7387" w:type="dxa"/>
            <w:gridSpan w:val="2"/>
            <w:tcBorders>
              <w:top w:val="nil"/>
              <w:left w:val="nil"/>
              <w:bottom w:val="nil"/>
              <w:right w:val="nil"/>
            </w:tcBorders>
            <w:vAlign w:val="center"/>
          </w:tcPr>
          <w:p w14:paraId="4075D613" w14:textId="77777777" w:rsidR="00D0331C" w:rsidRPr="00655372" w:rsidRDefault="00655372">
            <w:pPr>
              <w:rPr>
                <w:rFonts w:ascii="Arial" w:hAnsi="Arial"/>
                <w:b/>
                <w:bCs/>
                <w:sz w:val="26"/>
                <w:szCs w:val="26"/>
              </w:rPr>
            </w:pPr>
            <w:r w:rsidRPr="00655372">
              <w:rPr>
                <w:rFonts w:hint="cs"/>
                <w:rtl/>
              </w:rPr>
              <w:t xml:space="preserve">             ע"י ב"כ עו"ד  נאוה דהאן</w:t>
            </w:r>
          </w:p>
        </w:tc>
      </w:tr>
    </w:tbl>
    <w:p w14:paraId="0AB4D039" w14:textId="77777777" w:rsidR="00D0331C" w:rsidRPr="00655372" w:rsidRDefault="00D0331C">
      <w:pPr>
        <w:rPr>
          <w:rtl/>
        </w:rPr>
      </w:pPr>
    </w:p>
    <w:p w14:paraId="55A4D932" w14:textId="77777777" w:rsidR="00932406" w:rsidRDefault="00932406">
      <w:pPr>
        <w:rPr>
          <w:rtl/>
        </w:rPr>
      </w:pPr>
      <w:bookmarkStart w:id="3" w:name="LawTable"/>
      <w:bookmarkEnd w:id="3"/>
    </w:p>
    <w:p w14:paraId="302D3FBD" w14:textId="77777777" w:rsidR="00932406" w:rsidRPr="00932406" w:rsidRDefault="00932406" w:rsidP="00932406">
      <w:pPr>
        <w:spacing w:after="120" w:line="240" w:lineRule="exact"/>
        <w:ind w:left="283" w:hanging="283"/>
        <w:jc w:val="both"/>
        <w:rPr>
          <w:rFonts w:ascii="FrankRuehl" w:hAnsi="FrankRuehl" w:cs="FrankRuehl"/>
          <w:rtl/>
        </w:rPr>
      </w:pPr>
    </w:p>
    <w:p w14:paraId="52F2F0B4" w14:textId="77777777" w:rsidR="00932406" w:rsidRPr="00932406" w:rsidRDefault="00932406" w:rsidP="00932406">
      <w:pPr>
        <w:spacing w:after="120" w:line="240" w:lineRule="exact"/>
        <w:ind w:left="283" w:hanging="283"/>
        <w:jc w:val="both"/>
        <w:rPr>
          <w:rFonts w:ascii="FrankRuehl" w:hAnsi="FrankRuehl" w:cs="FrankRuehl"/>
          <w:rtl/>
        </w:rPr>
      </w:pPr>
      <w:r w:rsidRPr="00932406">
        <w:rPr>
          <w:rFonts w:ascii="FrankRuehl" w:hAnsi="FrankRuehl" w:cs="FrankRuehl" w:hint="eastAsia"/>
          <w:rtl/>
        </w:rPr>
        <w:t>חקיקה</w:t>
      </w:r>
      <w:r w:rsidRPr="00932406">
        <w:rPr>
          <w:rFonts w:ascii="FrankRuehl" w:hAnsi="FrankRuehl" w:cs="FrankRuehl"/>
          <w:rtl/>
        </w:rPr>
        <w:t xml:space="preserve"> </w:t>
      </w:r>
      <w:r w:rsidRPr="00932406">
        <w:rPr>
          <w:rFonts w:ascii="FrankRuehl" w:hAnsi="FrankRuehl" w:cs="FrankRuehl" w:hint="eastAsia"/>
          <w:rtl/>
        </w:rPr>
        <w:t>שאוזכרה</w:t>
      </w:r>
      <w:r w:rsidRPr="00932406">
        <w:rPr>
          <w:rFonts w:ascii="FrankRuehl" w:hAnsi="FrankRuehl" w:cs="FrankRuehl"/>
          <w:rtl/>
        </w:rPr>
        <w:t xml:space="preserve">: </w:t>
      </w:r>
    </w:p>
    <w:p w14:paraId="4D090853" w14:textId="77777777" w:rsidR="00932406" w:rsidRPr="00932406" w:rsidRDefault="00932406" w:rsidP="00932406">
      <w:pPr>
        <w:spacing w:after="120" w:line="240" w:lineRule="exact"/>
        <w:ind w:left="283" w:hanging="283"/>
        <w:jc w:val="both"/>
        <w:rPr>
          <w:rFonts w:ascii="FrankRuehl" w:hAnsi="FrankRuehl" w:cs="FrankRuehl"/>
          <w:rtl/>
        </w:rPr>
      </w:pPr>
      <w:hyperlink r:id="rId7" w:history="1">
        <w:r w:rsidRPr="00932406">
          <w:rPr>
            <w:rFonts w:ascii="FrankRuehl" w:hAnsi="FrankRuehl" w:cs="FrankRuehl" w:hint="eastAsia"/>
            <w:color w:val="0000FF"/>
            <w:u w:val="single"/>
            <w:rtl/>
          </w:rPr>
          <w:t>חוק</w:t>
        </w:r>
        <w:r w:rsidRPr="00932406">
          <w:rPr>
            <w:rFonts w:ascii="FrankRuehl" w:hAnsi="FrankRuehl" w:cs="FrankRuehl"/>
            <w:color w:val="0000FF"/>
            <w:u w:val="single"/>
            <w:rtl/>
          </w:rPr>
          <w:t xml:space="preserve"> </w:t>
        </w:r>
        <w:r w:rsidRPr="00932406">
          <w:rPr>
            <w:rFonts w:ascii="FrankRuehl" w:hAnsi="FrankRuehl" w:cs="FrankRuehl" w:hint="eastAsia"/>
            <w:color w:val="0000FF"/>
            <w:u w:val="single"/>
            <w:rtl/>
          </w:rPr>
          <w:t>העונשין</w:t>
        </w:r>
        <w:r w:rsidRPr="00932406">
          <w:rPr>
            <w:rFonts w:ascii="FrankRuehl" w:hAnsi="FrankRuehl" w:cs="FrankRuehl"/>
            <w:color w:val="0000FF"/>
            <w:u w:val="single"/>
            <w:rtl/>
          </w:rPr>
          <w:t xml:space="preserve">, </w:t>
        </w:r>
        <w:r w:rsidRPr="00932406">
          <w:rPr>
            <w:rFonts w:ascii="FrankRuehl" w:hAnsi="FrankRuehl" w:cs="FrankRuehl" w:hint="eastAsia"/>
            <w:color w:val="0000FF"/>
            <w:u w:val="single"/>
            <w:rtl/>
          </w:rPr>
          <w:t>תשל</w:t>
        </w:r>
        <w:r w:rsidRPr="00932406">
          <w:rPr>
            <w:rFonts w:ascii="FrankRuehl" w:hAnsi="FrankRuehl" w:cs="FrankRuehl"/>
            <w:color w:val="0000FF"/>
            <w:u w:val="single"/>
            <w:rtl/>
          </w:rPr>
          <w:t>"</w:t>
        </w:r>
        <w:r w:rsidRPr="00932406">
          <w:rPr>
            <w:rFonts w:ascii="FrankRuehl" w:hAnsi="FrankRuehl" w:cs="FrankRuehl" w:hint="eastAsia"/>
            <w:color w:val="0000FF"/>
            <w:u w:val="single"/>
            <w:rtl/>
          </w:rPr>
          <w:t>ז</w:t>
        </w:r>
        <w:r w:rsidRPr="00932406">
          <w:rPr>
            <w:rFonts w:ascii="FrankRuehl" w:hAnsi="FrankRuehl" w:cs="FrankRuehl"/>
            <w:color w:val="0000FF"/>
            <w:u w:val="single"/>
            <w:rtl/>
          </w:rPr>
          <w:t>-1977</w:t>
        </w:r>
      </w:hyperlink>
      <w:r w:rsidRPr="00932406">
        <w:rPr>
          <w:rFonts w:ascii="FrankRuehl" w:hAnsi="FrankRuehl" w:cs="FrankRuehl"/>
          <w:rtl/>
        </w:rPr>
        <w:t xml:space="preserve">: </w:t>
      </w:r>
      <w:r w:rsidRPr="00932406">
        <w:rPr>
          <w:rFonts w:ascii="FrankRuehl" w:hAnsi="FrankRuehl" w:cs="FrankRuehl" w:hint="eastAsia"/>
          <w:rtl/>
        </w:rPr>
        <w:t>סע</w:t>
      </w:r>
      <w:r w:rsidRPr="00932406">
        <w:rPr>
          <w:rFonts w:ascii="FrankRuehl" w:hAnsi="FrankRuehl" w:cs="FrankRuehl"/>
          <w:rtl/>
        </w:rPr>
        <w:t xml:space="preserve">'  </w:t>
      </w:r>
      <w:hyperlink r:id="rId8" w:history="1">
        <w:r w:rsidRPr="00932406">
          <w:rPr>
            <w:rFonts w:ascii="FrankRuehl" w:hAnsi="FrankRuehl" w:cs="FrankRuehl"/>
            <w:color w:val="0000FF"/>
            <w:u w:val="single"/>
            <w:rtl/>
          </w:rPr>
          <w:t>186(</w:t>
        </w:r>
        <w:r w:rsidRPr="00932406">
          <w:rPr>
            <w:rFonts w:ascii="FrankRuehl" w:hAnsi="FrankRuehl" w:cs="FrankRuehl" w:hint="eastAsia"/>
            <w:color w:val="0000FF"/>
            <w:u w:val="single"/>
            <w:rtl/>
          </w:rPr>
          <w:t>א</w:t>
        </w:r>
        <w:r w:rsidRPr="00932406">
          <w:rPr>
            <w:rFonts w:ascii="FrankRuehl" w:hAnsi="FrankRuehl" w:cs="FrankRuehl"/>
            <w:color w:val="0000FF"/>
            <w:u w:val="single"/>
            <w:rtl/>
          </w:rPr>
          <w:t>)</w:t>
        </w:r>
      </w:hyperlink>
      <w:r w:rsidRPr="00932406">
        <w:rPr>
          <w:rFonts w:ascii="FrankRuehl" w:hAnsi="FrankRuehl" w:cs="FrankRuehl"/>
          <w:rtl/>
        </w:rPr>
        <w:t xml:space="preserve">, </w:t>
      </w:r>
      <w:hyperlink r:id="rId9" w:history="1">
        <w:r w:rsidRPr="00932406">
          <w:rPr>
            <w:rFonts w:ascii="FrankRuehl" w:hAnsi="FrankRuehl" w:cs="FrankRuehl"/>
            <w:color w:val="0000FF"/>
            <w:u w:val="single"/>
            <w:rtl/>
          </w:rPr>
          <w:t>275</w:t>
        </w:r>
      </w:hyperlink>
      <w:r w:rsidRPr="00932406">
        <w:rPr>
          <w:rFonts w:ascii="FrankRuehl" w:hAnsi="FrankRuehl" w:cs="FrankRuehl"/>
          <w:rtl/>
        </w:rPr>
        <w:t xml:space="preserve">, </w:t>
      </w:r>
      <w:hyperlink r:id="rId10" w:history="1">
        <w:r w:rsidRPr="00932406">
          <w:rPr>
            <w:rFonts w:ascii="FrankRuehl" w:hAnsi="FrankRuehl" w:cs="FrankRuehl"/>
            <w:color w:val="0000FF"/>
            <w:u w:val="single"/>
            <w:rtl/>
          </w:rPr>
          <w:t>384</w:t>
        </w:r>
      </w:hyperlink>
      <w:r w:rsidRPr="00932406">
        <w:rPr>
          <w:rFonts w:ascii="FrankRuehl" w:hAnsi="FrankRuehl" w:cs="FrankRuehl"/>
          <w:rtl/>
        </w:rPr>
        <w:t xml:space="preserve">, </w:t>
      </w:r>
      <w:hyperlink r:id="rId11" w:history="1">
        <w:r w:rsidRPr="00932406">
          <w:rPr>
            <w:rFonts w:ascii="FrankRuehl" w:hAnsi="FrankRuehl" w:cs="FrankRuehl"/>
            <w:color w:val="0000FF"/>
            <w:u w:val="single"/>
            <w:rtl/>
          </w:rPr>
          <w:t>406(</w:t>
        </w:r>
        <w:r w:rsidRPr="00932406">
          <w:rPr>
            <w:rFonts w:ascii="FrankRuehl" w:hAnsi="FrankRuehl" w:cs="FrankRuehl" w:hint="eastAsia"/>
            <w:color w:val="0000FF"/>
            <w:u w:val="single"/>
            <w:rtl/>
          </w:rPr>
          <w:t>ב</w:t>
        </w:r>
        <w:r w:rsidRPr="00932406">
          <w:rPr>
            <w:rFonts w:ascii="FrankRuehl" w:hAnsi="FrankRuehl" w:cs="FrankRuehl"/>
            <w:color w:val="0000FF"/>
            <w:u w:val="single"/>
            <w:rtl/>
          </w:rPr>
          <w:t>)</w:t>
        </w:r>
      </w:hyperlink>
      <w:r w:rsidRPr="00932406">
        <w:rPr>
          <w:rFonts w:ascii="FrankRuehl" w:hAnsi="FrankRuehl" w:cs="FrankRuehl"/>
          <w:rtl/>
        </w:rPr>
        <w:t xml:space="preserve">, </w:t>
      </w:r>
      <w:hyperlink r:id="rId12" w:history="1">
        <w:r w:rsidRPr="00932406">
          <w:rPr>
            <w:rFonts w:ascii="FrankRuehl" w:hAnsi="FrankRuehl" w:cs="FrankRuehl"/>
            <w:color w:val="0000FF"/>
            <w:u w:val="single"/>
            <w:rtl/>
          </w:rPr>
          <w:t>407(</w:t>
        </w:r>
        <w:r w:rsidRPr="00932406">
          <w:rPr>
            <w:rFonts w:ascii="FrankRuehl" w:hAnsi="FrankRuehl" w:cs="FrankRuehl" w:hint="eastAsia"/>
            <w:color w:val="0000FF"/>
            <w:u w:val="single"/>
            <w:rtl/>
          </w:rPr>
          <w:t>ב</w:t>
        </w:r>
        <w:r w:rsidRPr="00932406">
          <w:rPr>
            <w:rFonts w:ascii="FrankRuehl" w:hAnsi="FrankRuehl" w:cs="FrankRuehl"/>
            <w:color w:val="0000FF"/>
            <w:u w:val="single"/>
            <w:rtl/>
          </w:rPr>
          <w:t>)</w:t>
        </w:r>
      </w:hyperlink>
    </w:p>
    <w:p w14:paraId="6E91374F" w14:textId="77777777" w:rsidR="00932406" w:rsidRPr="00932406" w:rsidRDefault="00932406" w:rsidP="00932406">
      <w:pPr>
        <w:spacing w:after="120" w:line="240" w:lineRule="exact"/>
        <w:ind w:left="283" w:hanging="283"/>
        <w:jc w:val="both"/>
        <w:rPr>
          <w:rFonts w:ascii="FrankRuehl" w:hAnsi="FrankRuehl" w:cs="FrankRuehl"/>
          <w:rtl/>
        </w:rPr>
      </w:pPr>
      <w:hyperlink r:id="rId13" w:history="1">
        <w:r w:rsidRPr="00932406">
          <w:rPr>
            <w:rFonts w:ascii="FrankRuehl" w:hAnsi="FrankRuehl" w:cs="FrankRuehl" w:hint="eastAsia"/>
            <w:color w:val="0000FF"/>
            <w:u w:val="single"/>
            <w:rtl/>
          </w:rPr>
          <w:t>פקודת</w:t>
        </w:r>
        <w:r w:rsidRPr="00932406">
          <w:rPr>
            <w:rFonts w:ascii="FrankRuehl" w:hAnsi="FrankRuehl" w:cs="FrankRuehl"/>
            <w:color w:val="0000FF"/>
            <w:u w:val="single"/>
            <w:rtl/>
          </w:rPr>
          <w:t xml:space="preserve"> </w:t>
        </w:r>
        <w:r w:rsidRPr="00932406">
          <w:rPr>
            <w:rFonts w:ascii="FrankRuehl" w:hAnsi="FrankRuehl" w:cs="FrankRuehl" w:hint="eastAsia"/>
            <w:color w:val="0000FF"/>
            <w:u w:val="single"/>
            <w:rtl/>
          </w:rPr>
          <w:t>הסמים</w:t>
        </w:r>
        <w:r w:rsidRPr="00932406">
          <w:rPr>
            <w:rFonts w:ascii="FrankRuehl" w:hAnsi="FrankRuehl" w:cs="FrankRuehl"/>
            <w:color w:val="0000FF"/>
            <w:u w:val="single"/>
            <w:rtl/>
          </w:rPr>
          <w:t xml:space="preserve"> </w:t>
        </w:r>
        <w:r w:rsidRPr="00932406">
          <w:rPr>
            <w:rFonts w:ascii="FrankRuehl" w:hAnsi="FrankRuehl" w:cs="FrankRuehl" w:hint="eastAsia"/>
            <w:color w:val="0000FF"/>
            <w:u w:val="single"/>
            <w:rtl/>
          </w:rPr>
          <w:t>המסוכנים</w:t>
        </w:r>
        <w:r w:rsidRPr="00932406">
          <w:rPr>
            <w:rFonts w:ascii="FrankRuehl" w:hAnsi="FrankRuehl" w:cs="FrankRuehl"/>
            <w:color w:val="0000FF"/>
            <w:u w:val="single"/>
            <w:rtl/>
          </w:rPr>
          <w:t xml:space="preserve"> [</w:t>
        </w:r>
        <w:r w:rsidRPr="00932406">
          <w:rPr>
            <w:rFonts w:ascii="FrankRuehl" w:hAnsi="FrankRuehl" w:cs="FrankRuehl" w:hint="eastAsia"/>
            <w:color w:val="0000FF"/>
            <w:u w:val="single"/>
            <w:rtl/>
          </w:rPr>
          <w:t>נוסח</w:t>
        </w:r>
        <w:r w:rsidRPr="00932406">
          <w:rPr>
            <w:rFonts w:ascii="FrankRuehl" w:hAnsi="FrankRuehl" w:cs="FrankRuehl"/>
            <w:color w:val="0000FF"/>
            <w:u w:val="single"/>
            <w:rtl/>
          </w:rPr>
          <w:t xml:space="preserve"> </w:t>
        </w:r>
        <w:r w:rsidRPr="00932406">
          <w:rPr>
            <w:rFonts w:ascii="FrankRuehl" w:hAnsi="FrankRuehl" w:cs="FrankRuehl" w:hint="eastAsia"/>
            <w:color w:val="0000FF"/>
            <w:u w:val="single"/>
            <w:rtl/>
          </w:rPr>
          <w:t>חדש</w:t>
        </w:r>
        <w:r w:rsidRPr="00932406">
          <w:rPr>
            <w:rFonts w:ascii="FrankRuehl" w:hAnsi="FrankRuehl" w:cs="FrankRuehl"/>
            <w:color w:val="0000FF"/>
            <w:u w:val="single"/>
            <w:rtl/>
          </w:rPr>
          <w:t xml:space="preserve">], </w:t>
        </w:r>
        <w:r w:rsidRPr="00932406">
          <w:rPr>
            <w:rFonts w:ascii="FrankRuehl" w:hAnsi="FrankRuehl" w:cs="FrankRuehl" w:hint="eastAsia"/>
            <w:color w:val="0000FF"/>
            <w:u w:val="single"/>
            <w:rtl/>
          </w:rPr>
          <w:t>תשל</w:t>
        </w:r>
        <w:r w:rsidRPr="00932406">
          <w:rPr>
            <w:rFonts w:ascii="FrankRuehl" w:hAnsi="FrankRuehl" w:cs="FrankRuehl"/>
            <w:color w:val="0000FF"/>
            <w:u w:val="single"/>
            <w:rtl/>
          </w:rPr>
          <w:t>"</w:t>
        </w:r>
        <w:r w:rsidRPr="00932406">
          <w:rPr>
            <w:rFonts w:ascii="FrankRuehl" w:hAnsi="FrankRuehl" w:cs="FrankRuehl" w:hint="eastAsia"/>
            <w:color w:val="0000FF"/>
            <w:u w:val="single"/>
            <w:rtl/>
          </w:rPr>
          <w:t>ג</w:t>
        </w:r>
        <w:r w:rsidRPr="00932406">
          <w:rPr>
            <w:rFonts w:ascii="FrankRuehl" w:hAnsi="FrankRuehl" w:cs="FrankRuehl"/>
            <w:color w:val="0000FF"/>
            <w:u w:val="single"/>
            <w:rtl/>
          </w:rPr>
          <w:t>-1973</w:t>
        </w:r>
      </w:hyperlink>
      <w:r w:rsidRPr="00932406">
        <w:rPr>
          <w:rFonts w:ascii="FrankRuehl" w:hAnsi="FrankRuehl" w:cs="FrankRuehl"/>
          <w:rtl/>
        </w:rPr>
        <w:t xml:space="preserve">: </w:t>
      </w:r>
      <w:r w:rsidRPr="00932406">
        <w:rPr>
          <w:rFonts w:ascii="FrankRuehl" w:hAnsi="FrankRuehl" w:cs="FrankRuehl" w:hint="eastAsia"/>
          <w:rtl/>
        </w:rPr>
        <w:t>סע</w:t>
      </w:r>
      <w:r w:rsidRPr="00932406">
        <w:rPr>
          <w:rFonts w:ascii="FrankRuehl" w:hAnsi="FrankRuehl" w:cs="FrankRuehl"/>
          <w:rtl/>
        </w:rPr>
        <w:t xml:space="preserve">'  </w:t>
      </w:r>
      <w:hyperlink r:id="rId14" w:history="1">
        <w:r w:rsidRPr="00932406">
          <w:rPr>
            <w:rFonts w:ascii="FrankRuehl" w:hAnsi="FrankRuehl" w:cs="FrankRuehl"/>
            <w:color w:val="0000FF"/>
            <w:u w:val="single"/>
            <w:rtl/>
          </w:rPr>
          <w:t>7.</w:t>
        </w:r>
        <w:r w:rsidRPr="00932406">
          <w:rPr>
            <w:rFonts w:ascii="FrankRuehl" w:hAnsi="FrankRuehl" w:cs="FrankRuehl" w:hint="eastAsia"/>
            <w:color w:val="0000FF"/>
            <w:u w:val="single"/>
            <w:rtl/>
          </w:rPr>
          <w:t>א</w:t>
        </w:r>
        <w:r w:rsidRPr="00932406">
          <w:rPr>
            <w:rFonts w:ascii="FrankRuehl" w:hAnsi="FrankRuehl" w:cs="FrankRuehl"/>
            <w:color w:val="0000FF"/>
            <w:u w:val="single"/>
            <w:rtl/>
          </w:rPr>
          <w:t>.</w:t>
        </w:r>
      </w:hyperlink>
      <w:r w:rsidRPr="00932406">
        <w:rPr>
          <w:rFonts w:ascii="FrankRuehl" w:hAnsi="FrankRuehl" w:cs="FrankRuehl"/>
          <w:rtl/>
        </w:rPr>
        <w:t xml:space="preserve">, </w:t>
      </w:r>
      <w:hyperlink r:id="rId15" w:history="1">
        <w:r w:rsidRPr="00932406">
          <w:rPr>
            <w:rFonts w:ascii="FrankRuehl" w:hAnsi="FrankRuehl" w:cs="FrankRuehl"/>
            <w:color w:val="0000FF"/>
            <w:u w:val="single"/>
            <w:rtl/>
          </w:rPr>
          <w:t>7(</w:t>
        </w:r>
        <w:r w:rsidRPr="00932406">
          <w:rPr>
            <w:rFonts w:ascii="FrankRuehl" w:hAnsi="FrankRuehl" w:cs="FrankRuehl" w:hint="eastAsia"/>
            <w:color w:val="0000FF"/>
            <w:u w:val="single"/>
            <w:rtl/>
          </w:rPr>
          <w:t>א</w:t>
        </w:r>
        <w:r w:rsidRPr="00932406">
          <w:rPr>
            <w:rFonts w:ascii="FrankRuehl" w:hAnsi="FrankRuehl" w:cs="FrankRuehl"/>
            <w:color w:val="0000FF"/>
            <w:u w:val="single"/>
            <w:rtl/>
          </w:rPr>
          <w:t>)(</w:t>
        </w:r>
        <w:r w:rsidRPr="00932406">
          <w:rPr>
            <w:rFonts w:ascii="FrankRuehl" w:hAnsi="FrankRuehl" w:cs="FrankRuehl" w:hint="eastAsia"/>
            <w:color w:val="0000FF"/>
            <w:u w:val="single"/>
            <w:rtl/>
          </w:rPr>
          <w:t>ג</w:t>
        </w:r>
        <w:r w:rsidRPr="00932406">
          <w:rPr>
            <w:rFonts w:ascii="FrankRuehl" w:hAnsi="FrankRuehl" w:cs="FrankRuehl"/>
            <w:color w:val="0000FF"/>
            <w:u w:val="single"/>
            <w:rtl/>
          </w:rPr>
          <w:t>)</w:t>
        </w:r>
      </w:hyperlink>
      <w:r w:rsidRPr="00932406">
        <w:rPr>
          <w:rFonts w:ascii="FrankRuehl" w:hAnsi="FrankRuehl" w:cs="FrankRuehl"/>
          <w:rtl/>
        </w:rPr>
        <w:t xml:space="preserve">, </w:t>
      </w:r>
      <w:hyperlink r:id="rId16" w:history="1">
        <w:r w:rsidRPr="00932406">
          <w:rPr>
            <w:rFonts w:ascii="FrankRuehl" w:hAnsi="FrankRuehl" w:cs="FrankRuehl"/>
            <w:color w:val="0000FF"/>
            <w:u w:val="single"/>
            <w:rtl/>
          </w:rPr>
          <w:t>7.</w:t>
        </w:r>
        <w:r w:rsidRPr="00932406">
          <w:rPr>
            <w:rFonts w:ascii="FrankRuehl" w:hAnsi="FrankRuehl" w:cs="FrankRuehl" w:hint="eastAsia"/>
            <w:color w:val="0000FF"/>
            <w:u w:val="single"/>
            <w:rtl/>
          </w:rPr>
          <w:t>ג</w:t>
        </w:r>
      </w:hyperlink>
    </w:p>
    <w:p w14:paraId="5403C5C3" w14:textId="77777777" w:rsidR="00932406" w:rsidRPr="00932406" w:rsidRDefault="00932406" w:rsidP="00932406">
      <w:pPr>
        <w:spacing w:after="120" w:line="240" w:lineRule="exact"/>
        <w:ind w:left="283" w:hanging="283"/>
        <w:jc w:val="both"/>
        <w:rPr>
          <w:rFonts w:ascii="FrankRuehl" w:hAnsi="FrankRuehl" w:cs="FrankRuehl"/>
          <w:rtl/>
        </w:rPr>
      </w:pPr>
      <w:hyperlink r:id="rId17" w:history="1">
        <w:r w:rsidRPr="00932406">
          <w:rPr>
            <w:rFonts w:ascii="FrankRuehl" w:hAnsi="FrankRuehl" w:cs="FrankRuehl" w:hint="eastAsia"/>
            <w:color w:val="0000FF"/>
            <w:u w:val="single"/>
            <w:rtl/>
          </w:rPr>
          <w:t>חוק</w:t>
        </w:r>
        <w:r w:rsidRPr="00932406">
          <w:rPr>
            <w:rFonts w:ascii="FrankRuehl" w:hAnsi="FrankRuehl" w:cs="FrankRuehl"/>
            <w:color w:val="0000FF"/>
            <w:u w:val="single"/>
            <w:rtl/>
          </w:rPr>
          <w:t xml:space="preserve"> </w:t>
        </w:r>
        <w:r w:rsidRPr="00932406">
          <w:rPr>
            <w:rFonts w:ascii="FrankRuehl" w:hAnsi="FrankRuehl" w:cs="FrankRuehl" w:hint="eastAsia"/>
            <w:color w:val="0000FF"/>
            <w:u w:val="single"/>
            <w:rtl/>
          </w:rPr>
          <w:t>כרטיסי</w:t>
        </w:r>
        <w:r w:rsidRPr="00932406">
          <w:rPr>
            <w:rFonts w:ascii="FrankRuehl" w:hAnsi="FrankRuehl" w:cs="FrankRuehl"/>
            <w:color w:val="0000FF"/>
            <w:u w:val="single"/>
            <w:rtl/>
          </w:rPr>
          <w:t xml:space="preserve"> </w:t>
        </w:r>
        <w:r w:rsidRPr="00932406">
          <w:rPr>
            <w:rFonts w:ascii="FrankRuehl" w:hAnsi="FrankRuehl" w:cs="FrankRuehl" w:hint="eastAsia"/>
            <w:color w:val="0000FF"/>
            <w:u w:val="single"/>
            <w:rtl/>
          </w:rPr>
          <w:t>חיוב</w:t>
        </w:r>
        <w:r w:rsidRPr="00932406">
          <w:rPr>
            <w:rFonts w:ascii="FrankRuehl" w:hAnsi="FrankRuehl" w:cs="FrankRuehl"/>
            <w:color w:val="0000FF"/>
            <w:u w:val="single"/>
            <w:rtl/>
          </w:rPr>
          <w:t xml:space="preserve">, </w:t>
        </w:r>
        <w:r w:rsidRPr="00932406">
          <w:rPr>
            <w:rFonts w:ascii="FrankRuehl" w:hAnsi="FrankRuehl" w:cs="FrankRuehl" w:hint="eastAsia"/>
            <w:color w:val="0000FF"/>
            <w:u w:val="single"/>
            <w:rtl/>
          </w:rPr>
          <w:t>תשמ</w:t>
        </w:r>
        <w:r w:rsidRPr="00932406">
          <w:rPr>
            <w:rFonts w:ascii="FrankRuehl" w:hAnsi="FrankRuehl" w:cs="FrankRuehl"/>
            <w:color w:val="0000FF"/>
            <w:u w:val="single"/>
            <w:rtl/>
          </w:rPr>
          <w:t>"</w:t>
        </w:r>
        <w:r w:rsidRPr="00932406">
          <w:rPr>
            <w:rFonts w:ascii="FrankRuehl" w:hAnsi="FrankRuehl" w:cs="FrankRuehl" w:hint="eastAsia"/>
            <w:color w:val="0000FF"/>
            <w:u w:val="single"/>
            <w:rtl/>
          </w:rPr>
          <w:t>ו</w:t>
        </w:r>
        <w:r w:rsidRPr="00932406">
          <w:rPr>
            <w:rFonts w:ascii="FrankRuehl" w:hAnsi="FrankRuehl" w:cs="FrankRuehl"/>
            <w:color w:val="0000FF"/>
            <w:u w:val="single"/>
            <w:rtl/>
          </w:rPr>
          <w:t>-1986</w:t>
        </w:r>
      </w:hyperlink>
      <w:r w:rsidRPr="00932406">
        <w:rPr>
          <w:rFonts w:ascii="FrankRuehl" w:hAnsi="FrankRuehl" w:cs="FrankRuehl"/>
          <w:rtl/>
        </w:rPr>
        <w:t xml:space="preserve">: </w:t>
      </w:r>
      <w:r w:rsidRPr="00932406">
        <w:rPr>
          <w:rFonts w:ascii="FrankRuehl" w:hAnsi="FrankRuehl" w:cs="FrankRuehl" w:hint="eastAsia"/>
          <w:rtl/>
        </w:rPr>
        <w:t>סע</w:t>
      </w:r>
      <w:r w:rsidRPr="00932406">
        <w:rPr>
          <w:rFonts w:ascii="FrankRuehl" w:hAnsi="FrankRuehl" w:cs="FrankRuehl"/>
          <w:rtl/>
        </w:rPr>
        <w:t xml:space="preserve">'  </w:t>
      </w:r>
      <w:hyperlink r:id="rId18" w:history="1">
        <w:r w:rsidRPr="00932406">
          <w:rPr>
            <w:rFonts w:ascii="FrankRuehl" w:hAnsi="FrankRuehl" w:cs="FrankRuehl"/>
            <w:color w:val="0000FF"/>
            <w:u w:val="single"/>
            <w:rtl/>
          </w:rPr>
          <w:t>16</w:t>
        </w:r>
      </w:hyperlink>
      <w:r w:rsidRPr="00932406">
        <w:rPr>
          <w:rFonts w:ascii="FrankRuehl" w:hAnsi="FrankRuehl" w:cs="FrankRuehl"/>
          <w:rtl/>
        </w:rPr>
        <w:t xml:space="preserve">, </w:t>
      </w:r>
      <w:hyperlink r:id="rId19" w:history="1">
        <w:r w:rsidRPr="00932406">
          <w:rPr>
            <w:rFonts w:ascii="FrankRuehl" w:hAnsi="FrankRuehl" w:cs="FrankRuehl"/>
            <w:color w:val="0000FF"/>
            <w:u w:val="single"/>
            <w:rtl/>
          </w:rPr>
          <w:t>17</w:t>
        </w:r>
      </w:hyperlink>
    </w:p>
    <w:p w14:paraId="2FC6B19E" w14:textId="77777777" w:rsidR="00932406" w:rsidRPr="00932406" w:rsidRDefault="00932406" w:rsidP="00932406">
      <w:pPr>
        <w:spacing w:after="120" w:line="240" w:lineRule="exact"/>
        <w:ind w:left="283" w:hanging="283"/>
        <w:jc w:val="both"/>
        <w:rPr>
          <w:rFonts w:ascii="FrankRuehl" w:hAnsi="FrankRuehl" w:cs="FrankRuehl"/>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D0331C" w:rsidRPr="00655372" w14:paraId="239D7628" w14:textId="77777777">
        <w:trPr>
          <w:trHeight w:val="355"/>
          <w:jc w:val="center"/>
        </w:trPr>
        <w:tc>
          <w:tcPr>
            <w:tcW w:w="8820" w:type="dxa"/>
            <w:tcBorders>
              <w:top w:val="nil"/>
              <w:left w:val="nil"/>
              <w:bottom w:val="nil"/>
              <w:right w:val="nil"/>
            </w:tcBorders>
          </w:tcPr>
          <w:p w14:paraId="7498C3D3" w14:textId="77777777" w:rsidR="00D0331C" w:rsidRPr="00655372" w:rsidRDefault="00655372">
            <w:pPr>
              <w:jc w:val="center"/>
              <w:rPr>
                <w:rFonts w:ascii="Arial" w:hAnsi="Arial"/>
                <w:sz w:val="26"/>
                <w:szCs w:val="26"/>
                <w:rtl/>
              </w:rPr>
            </w:pPr>
            <w:bookmarkStart w:id="4" w:name="LawTable_End"/>
            <w:bookmarkStart w:id="5" w:name="PsakDin"/>
            <w:bookmarkEnd w:id="4"/>
            <w:r w:rsidRPr="00655372">
              <w:rPr>
                <w:rFonts w:ascii="Arial" w:hAnsi="Arial" w:hint="cs"/>
                <w:b/>
                <w:bCs/>
                <w:sz w:val="26"/>
                <w:szCs w:val="26"/>
                <w:rtl/>
              </w:rPr>
              <w:t xml:space="preserve">גזר דין </w:t>
            </w:r>
            <w:bookmarkEnd w:id="5"/>
            <w:r w:rsidRPr="00655372">
              <w:rPr>
                <w:rFonts w:ascii="Arial" w:hAnsi="Arial" w:hint="cs"/>
                <w:b/>
                <w:bCs/>
                <w:sz w:val="26"/>
                <w:szCs w:val="26"/>
                <w:rtl/>
              </w:rPr>
              <w:t>(לאחר שהופקע צו מבחן)</w:t>
            </w:r>
          </w:p>
        </w:tc>
      </w:tr>
    </w:tbl>
    <w:p w14:paraId="6ACAA3C9" w14:textId="77777777" w:rsidR="00D0331C" w:rsidRPr="00655372" w:rsidRDefault="00D0331C">
      <w:pPr>
        <w:spacing w:line="360" w:lineRule="auto"/>
        <w:rPr>
          <w:rtl/>
        </w:rPr>
      </w:pPr>
    </w:p>
    <w:p w14:paraId="7AFA4C41" w14:textId="77777777" w:rsidR="00D0331C" w:rsidRPr="00655372" w:rsidRDefault="00D0331C">
      <w:pPr>
        <w:spacing w:line="360" w:lineRule="auto"/>
        <w:rPr>
          <w:rtl/>
        </w:rPr>
      </w:pPr>
    </w:p>
    <w:p w14:paraId="6F4C4BBA" w14:textId="77777777" w:rsidR="00D0331C" w:rsidRPr="00655372" w:rsidRDefault="00655372">
      <w:pPr>
        <w:spacing w:line="360" w:lineRule="auto"/>
        <w:ind w:left="720"/>
        <w:jc w:val="both"/>
        <w:rPr>
          <w:rFonts w:ascii="Times New Roman" w:hAnsi="Times New Roman"/>
          <w:b/>
          <w:bCs/>
          <w:noProof w:val="0"/>
          <w:rtl/>
        </w:rPr>
      </w:pPr>
      <w:r w:rsidRPr="00655372">
        <w:rPr>
          <w:rFonts w:hint="cs"/>
          <w:b/>
          <w:bCs/>
          <w:noProof w:val="0"/>
          <w:rtl/>
        </w:rPr>
        <w:t>כללי</w:t>
      </w:r>
    </w:p>
    <w:p w14:paraId="5D0210FC" w14:textId="77777777" w:rsidR="00D0331C" w:rsidRPr="00655372" w:rsidRDefault="00655372">
      <w:pPr>
        <w:spacing w:before="240" w:line="360" w:lineRule="auto"/>
        <w:ind w:left="720" w:hanging="720"/>
        <w:jc w:val="both"/>
        <w:rPr>
          <w:rFonts w:ascii="David" w:hAnsi="David"/>
          <w:noProof w:val="0"/>
        </w:rPr>
      </w:pPr>
      <w:r w:rsidRPr="00655372">
        <w:rPr>
          <w:rFonts w:hint="cs"/>
          <w:noProof w:val="0"/>
          <w:rtl/>
        </w:rPr>
        <w:t>1.</w:t>
      </w:r>
      <w:r w:rsidRPr="00655372">
        <w:rPr>
          <w:rFonts w:hint="cs"/>
          <w:noProof w:val="0"/>
          <w:rtl/>
        </w:rPr>
        <w:tab/>
      </w:r>
      <w:bookmarkStart w:id="6" w:name="ABSTRACT_START"/>
      <w:bookmarkEnd w:id="6"/>
      <w:r w:rsidRPr="00655372">
        <w:rPr>
          <w:rFonts w:hint="cs"/>
          <w:noProof w:val="0"/>
          <w:rtl/>
        </w:rPr>
        <w:t>ביום 8.7.13, ובהתאם להסכמת הצדדים, ניתן גזר דינו של הנאשם, במסגרתו הוריתי על הארכתו של מ</w:t>
      </w:r>
      <w:r w:rsidRPr="00655372">
        <w:rPr>
          <w:rFonts w:ascii="David" w:hAnsi="David" w:hint="cs"/>
          <w:noProof w:val="0"/>
          <w:rtl/>
        </w:rPr>
        <w:t>אסר מותנה בן 12 חודשים בשנתיים נוספות, וכן העמדתי את הנאשם בפיקוח שירות מבחן לתקופה של 12 חודשים.</w:t>
      </w:r>
      <w:bookmarkStart w:id="7" w:name="ABSTRACT_END"/>
      <w:bookmarkEnd w:id="7"/>
      <w:r w:rsidRPr="00655372">
        <w:rPr>
          <w:rFonts w:ascii="David" w:hAnsi="David" w:hint="cs"/>
          <w:noProof w:val="0"/>
          <w:rtl/>
        </w:rPr>
        <w:t xml:space="preserve"> צו המבחן הוארך לבקשת שירות המבחן לאחר שהנאשם ניתק עמו קשר, כאשר במהלך התקופה ביצע הנאשם עבירה נוספת, הורשע בבית משפט השלום בחדרה ונדון לעונש של 8 חודשי מאסר. נוכח ניתוק הקשר, ביצועה של העבירה החדשה בתקופת המבחן, וריצוי תקופת המאסר, לא הייתה מחלוקת בין הצדדים כי יש מקום להפקעת צו המבחן ולגזירת דינו של הנאשם מחדש. </w:t>
      </w:r>
    </w:p>
    <w:p w14:paraId="33527B79" w14:textId="77777777" w:rsidR="00D0331C" w:rsidRPr="00655372" w:rsidRDefault="00655372">
      <w:pPr>
        <w:spacing w:before="240" w:line="360" w:lineRule="auto"/>
        <w:ind w:left="720"/>
        <w:jc w:val="both"/>
        <w:rPr>
          <w:rFonts w:ascii="David" w:hAnsi="David"/>
          <w:noProof w:val="0"/>
          <w:rtl/>
        </w:rPr>
      </w:pPr>
      <w:r w:rsidRPr="00655372">
        <w:rPr>
          <w:rFonts w:ascii="David" w:hAnsi="David" w:hint="cs"/>
          <w:noProof w:val="0"/>
          <w:rtl/>
        </w:rPr>
        <w:t>ומכאן, לפירוט העובדות הרלוונטיות.</w:t>
      </w:r>
    </w:p>
    <w:p w14:paraId="7E57A852" w14:textId="77777777" w:rsidR="00D0331C" w:rsidRPr="00655372" w:rsidRDefault="00655372">
      <w:pPr>
        <w:spacing w:before="240" w:line="360" w:lineRule="auto"/>
        <w:ind w:left="720"/>
        <w:jc w:val="both"/>
        <w:rPr>
          <w:rFonts w:ascii="David" w:hAnsi="David"/>
          <w:noProof w:val="0"/>
          <w:rtl/>
        </w:rPr>
      </w:pPr>
      <w:r w:rsidRPr="00655372">
        <w:rPr>
          <w:rFonts w:ascii="David" w:hAnsi="David" w:hint="cs"/>
          <w:noProof w:val="0"/>
          <w:rtl/>
        </w:rPr>
        <w:t>העבירות אותן ביצע הנאשם</w:t>
      </w:r>
    </w:p>
    <w:p w14:paraId="03E14A0E" w14:textId="77777777" w:rsidR="00D0331C" w:rsidRPr="00655372" w:rsidRDefault="00D0331C">
      <w:pPr>
        <w:spacing w:line="360" w:lineRule="auto"/>
        <w:jc w:val="both"/>
        <w:rPr>
          <w:rFonts w:ascii="Times New Roman" w:hAnsi="Times New Roman"/>
          <w:noProof w:val="0"/>
          <w:rtl/>
        </w:rPr>
      </w:pPr>
    </w:p>
    <w:p w14:paraId="74E29CBA" w14:textId="77777777" w:rsidR="00D0331C" w:rsidRDefault="00655372">
      <w:pPr>
        <w:spacing w:line="360" w:lineRule="auto"/>
        <w:ind w:left="720" w:hanging="720"/>
        <w:jc w:val="both"/>
        <w:rPr>
          <w:rtl/>
        </w:rPr>
      </w:pPr>
      <w:r>
        <w:rPr>
          <w:rFonts w:hint="cs"/>
          <w:rtl/>
        </w:rPr>
        <w:t>2.</w:t>
      </w:r>
      <w:r>
        <w:rPr>
          <w:rFonts w:hint="cs"/>
          <w:rtl/>
        </w:rPr>
        <w:tab/>
        <w:t xml:space="preserve">הנאשם הורשע, על יסוד הודאתו, ובמסגרת </w:t>
      </w:r>
      <w:r>
        <w:rPr>
          <w:rFonts w:hint="cs"/>
          <w:u w:val="single"/>
          <w:rtl/>
        </w:rPr>
        <w:t>מהלך כולל של צירוף תיקים</w:t>
      </w:r>
      <w:r>
        <w:rPr>
          <w:rFonts w:hint="cs"/>
          <w:rtl/>
        </w:rPr>
        <w:t xml:space="preserve"> בשורה של עבירות רכוש וזאת כמפורט להלן:</w:t>
      </w:r>
    </w:p>
    <w:p w14:paraId="34A37AC4" w14:textId="77777777" w:rsidR="00D0331C" w:rsidRDefault="00D0331C">
      <w:pPr>
        <w:spacing w:line="360" w:lineRule="auto"/>
        <w:ind w:left="720" w:hanging="720"/>
        <w:jc w:val="both"/>
        <w:rPr>
          <w:rtl/>
        </w:rPr>
      </w:pPr>
    </w:p>
    <w:p w14:paraId="7EA979F4" w14:textId="77777777" w:rsidR="00D0331C" w:rsidRDefault="00655372">
      <w:pPr>
        <w:spacing w:line="360" w:lineRule="auto"/>
        <w:ind w:left="720" w:hanging="720"/>
        <w:jc w:val="both"/>
        <w:rPr>
          <w:u w:val="single"/>
          <w:rtl/>
        </w:rPr>
      </w:pPr>
      <w:r>
        <w:rPr>
          <w:rFonts w:hint="cs"/>
          <w:rtl/>
        </w:rPr>
        <w:tab/>
      </w:r>
      <w:r>
        <w:rPr>
          <w:rFonts w:hint="cs"/>
          <w:u w:val="single"/>
          <w:rtl/>
        </w:rPr>
        <w:t>הרשעה שניתנה ביום 17.2.10</w:t>
      </w:r>
    </w:p>
    <w:p w14:paraId="46B89427" w14:textId="77777777" w:rsidR="00D0331C" w:rsidRDefault="00D0331C">
      <w:pPr>
        <w:spacing w:line="360" w:lineRule="auto"/>
        <w:ind w:left="720" w:hanging="720"/>
        <w:jc w:val="both"/>
        <w:rPr>
          <w:u w:val="single"/>
          <w:rtl/>
        </w:rPr>
      </w:pPr>
    </w:p>
    <w:p w14:paraId="32188897" w14:textId="77777777" w:rsidR="00D0331C" w:rsidRDefault="00655372">
      <w:pPr>
        <w:spacing w:line="360" w:lineRule="auto"/>
        <w:ind w:left="720" w:hanging="720"/>
        <w:jc w:val="both"/>
        <w:rPr>
          <w:u w:val="single"/>
          <w:rtl/>
        </w:rPr>
      </w:pPr>
      <w:r>
        <w:rPr>
          <w:rFonts w:hint="cs"/>
          <w:b/>
          <w:bCs/>
          <w:rtl/>
        </w:rPr>
        <w:t>א.</w:t>
      </w:r>
      <w:r>
        <w:rPr>
          <w:rFonts w:hint="cs"/>
          <w:b/>
          <w:bCs/>
          <w:rtl/>
        </w:rPr>
        <w:tab/>
      </w:r>
      <w:hyperlink r:id="rId20" w:history="1">
        <w:r w:rsidRPr="00655372">
          <w:rPr>
            <w:rFonts w:hint="eastAsia"/>
            <w:b/>
            <w:bCs/>
            <w:color w:val="0000FF"/>
            <w:u w:val="single"/>
            <w:rtl/>
          </w:rPr>
          <w:t>ת</w:t>
        </w:r>
        <w:r w:rsidRPr="00655372">
          <w:rPr>
            <w:b/>
            <w:bCs/>
            <w:color w:val="0000FF"/>
            <w:u w:val="single"/>
            <w:rtl/>
          </w:rPr>
          <w:t>.</w:t>
        </w:r>
        <w:r w:rsidRPr="00655372">
          <w:rPr>
            <w:rFonts w:hint="eastAsia"/>
            <w:b/>
            <w:bCs/>
            <w:color w:val="0000FF"/>
            <w:u w:val="single"/>
            <w:rtl/>
          </w:rPr>
          <w:t>פ</w:t>
        </w:r>
        <w:r w:rsidRPr="00655372">
          <w:rPr>
            <w:b/>
            <w:bCs/>
            <w:color w:val="0000FF"/>
            <w:u w:val="single"/>
            <w:rtl/>
          </w:rPr>
          <w:t xml:space="preserve"> 13504-12-09</w:t>
        </w:r>
      </w:hyperlink>
      <w:r>
        <w:rPr>
          <w:rFonts w:hint="cs"/>
          <w:b/>
          <w:bCs/>
          <w:rtl/>
        </w:rPr>
        <w:t xml:space="preserve"> (כתב האישום המקורי בתיק זה)</w:t>
      </w:r>
      <w:r>
        <w:rPr>
          <w:rFonts w:hint="cs"/>
          <w:rtl/>
        </w:rPr>
        <w:t xml:space="preserve"> – עבירות של פריצה לבנין לפי </w:t>
      </w:r>
      <w:hyperlink r:id="rId21" w:history="1">
        <w:r w:rsidR="00932406" w:rsidRPr="00932406">
          <w:rPr>
            <w:rFonts w:hint="eastAsia"/>
            <w:color w:val="0000FF"/>
            <w:u w:val="single"/>
            <w:rtl/>
          </w:rPr>
          <w:t>סעיף</w:t>
        </w:r>
        <w:r w:rsidR="00932406" w:rsidRPr="00932406">
          <w:rPr>
            <w:color w:val="0000FF"/>
            <w:u w:val="single"/>
            <w:rtl/>
          </w:rPr>
          <w:t xml:space="preserve"> 407(</w:t>
        </w:r>
        <w:r w:rsidR="00932406" w:rsidRPr="00932406">
          <w:rPr>
            <w:rFonts w:hint="eastAsia"/>
            <w:color w:val="0000FF"/>
            <w:u w:val="single"/>
            <w:rtl/>
          </w:rPr>
          <w:t>ב</w:t>
        </w:r>
        <w:r w:rsidR="00932406" w:rsidRPr="00932406">
          <w:rPr>
            <w:color w:val="0000FF"/>
            <w:u w:val="single"/>
            <w:rtl/>
          </w:rPr>
          <w:t>)</w:t>
        </w:r>
      </w:hyperlink>
      <w:r>
        <w:rPr>
          <w:rFonts w:hint="cs"/>
          <w:rtl/>
        </w:rPr>
        <w:t xml:space="preserve"> וגניבה לפי </w:t>
      </w:r>
      <w:hyperlink r:id="rId22" w:history="1">
        <w:r w:rsidR="00932406" w:rsidRPr="00932406">
          <w:rPr>
            <w:rFonts w:hint="eastAsia"/>
            <w:color w:val="0000FF"/>
            <w:u w:val="single"/>
            <w:rtl/>
          </w:rPr>
          <w:t>סעיף</w:t>
        </w:r>
        <w:r w:rsidR="00932406" w:rsidRPr="00932406">
          <w:rPr>
            <w:color w:val="0000FF"/>
            <w:u w:val="single"/>
            <w:rtl/>
          </w:rPr>
          <w:t xml:space="preserve"> 384</w:t>
        </w:r>
      </w:hyperlink>
      <w:r>
        <w:rPr>
          <w:rFonts w:hint="cs"/>
          <w:rtl/>
        </w:rPr>
        <w:t xml:space="preserve"> ל</w:t>
      </w:r>
      <w:hyperlink r:id="rId23" w:history="1">
        <w:r w:rsidRPr="00655372">
          <w:rPr>
            <w:rFonts w:hint="eastAsia"/>
            <w:color w:val="0000FF"/>
            <w:u w:val="single"/>
            <w:rtl/>
          </w:rPr>
          <w:t>חוק</w:t>
        </w:r>
        <w:r w:rsidRPr="00655372">
          <w:rPr>
            <w:color w:val="0000FF"/>
            <w:u w:val="single"/>
            <w:rtl/>
          </w:rPr>
          <w:t xml:space="preserve"> </w:t>
        </w:r>
        <w:r w:rsidRPr="00655372">
          <w:rPr>
            <w:rFonts w:hint="eastAsia"/>
            <w:color w:val="0000FF"/>
            <w:u w:val="single"/>
            <w:rtl/>
          </w:rPr>
          <w:t>העונשין</w:t>
        </w:r>
      </w:hyperlink>
      <w:r>
        <w:rPr>
          <w:rFonts w:hint="cs"/>
          <w:rtl/>
        </w:rPr>
        <w:t xml:space="preserve">, תשל"ז-1977 (להלן - </w:t>
      </w:r>
      <w:r>
        <w:rPr>
          <w:rFonts w:hint="cs"/>
          <w:b/>
          <w:bCs/>
          <w:rtl/>
        </w:rPr>
        <w:t>חוק העונשין</w:t>
      </w:r>
      <w:r>
        <w:rPr>
          <w:rFonts w:hint="cs"/>
          <w:rtl/>
        </w:rPr>
        <w:t xml:space="preserve">). מדובר בכתב אישום המחזיק שני אישומים: הראשון – פריצה לפיצריה ביום 4.12.09 באופן של עקירת סורגי החלון ונטילת 400 ₪ מהקופה. השני – הנאשם נכנס לחנות ביום 3.12.09 וגנב מהקופה 200-300 ₪ בעוד בעלת החנות נמצאת בה. </w:t>
      </w:r>
    </w:p>
    <w:p w14:paraId="723CDC53" w14:textId="77777777" w:rsidR="00D0331C" w:rsidRDefault="00D0331C">
      <w:pPr>
        <w:spacing w:line="360" w:lineRule="auto"/>
        <w:ind w:left="720" w:hanging="720"/>
        <w:jc w:val="both"/>
        <w:rPr>
          <w:u w:val="single"/>
          <w:rtl/>
        </w:rPr>
      </w:pPr>
    </w:p>
    <w:p w14:paraId="23DD4355" w14:textId="77777777" w:rsidR="00D0331C" w:rsidRDefault="00D0331C">
      <w:pPr>
        <w:spacing w:line="360" w:lineRule="auto"/>
        <w:ind w:left="720" w:hanging="720"/>
        <w:jc w:val="both"/>
        <w:rPr>
          <w:rtl/>
        </w:rPr>
      </w:pPr>
    </w:p>
    <w:p w14:paraId="7A6CCBFF" w14:textId="77777777" w:rsidR="00D0331C" w:rsidRDefault="00655372">
      <w:pPr>
        <w:spacing w:line="360" w:lineRule="auto"/>
        <w:ind w:firstLine="720"/>
        <w:jc w:val="both"/>
        <w:rPr>
          <w:u w:val="single"/>
          <w:rtl/>
        </w:rPr>
      </w:pPr>
      <w:r>
        <w:rPr>
          <w:rFonts w:hint="cs"/>
          <w:u w:val="single"/>
          <w:rtl/>
        </w:rPr>
        <w:t>הרשעות שניתנו ביום 6.2.11</w:t>
      </w:r>
    </w:p>
    <w:p w14:paraId="3ADAF7B6" w14:textId="77777777" w:rsidR="00D0331C" w:rsidRDefault="00D0331C">
      <w:pPr>
        <w:spacing w:line="360" w:lineRule="auto"/>
        <w:ind w:left="720" w:hanging="720"/>
        <w:jc w:val="both"/>
        <w:rPr>
          <w:rtl/>
        </w:rPr>
      </w:pPr>
    </w:p>
    <w:p w14:paraId="7D5DE78A" w14:textId="77777777" w:rsidR="00D0331C" w:rsidRDefault="00655372">
      <w:pPr>
        <w:spacing w:line="360" w:lineRule="auto"/>
        <w:ind w:left="720" w:hanging="720"/>
        <w:jc w:val="both"/>
        <w:rPr>
          <w:rtl/>
        </w:rPr>
      </w:pPr>
      <w:r>
        <w:rPr>
          <w:rFonts w:hint="cs"/>
          <w:b/>
          <w:bCs/>
          <w:rtl/>
        </w:rPr>
        <w:t>ב.</w:t>
      </w:r>
      <w:r>
        <w:rPr>
          <w:rFonts w:hint="cs"/>
          <w:b/>
          <w:bCs/>
          <w:rtl/>
        </w:rPr>
        <w:tab/>
      </w:r>
      <w:hyperlink r:id="rId24" w:history="1">
        <w:r w:rsidRPr="00655372">
          <w:rPr>
            <w:rFonts w:hint="eastAsia"/>
            <w:b/>
            <w:bCs/>
            <w:color w:val="0000FF"/>
            <w:u w:val="single"/>
            <w:rtl/>
          </w:rPr>
          <w:t>ת</w:t>
        </w:r>
        <w:r w:rsidRPr="00655372">
          <w:rPr>
            <w:b/>
            <w:bCs/>
            <w:color w:val="0000FF"/>
            <w:u w:val="single"/>
            <w:rtl/>
          </w:rPr>
          <w:t>.</w:t>
        </w:r>
        <w:r w:rsidRPr="00655372">
          <w:rPr>
            <w:rFonts w:hint="eastAsia"/>
            <w:b/>
            <w:bCs/>
            <w:color w:val="0000FF"/>
            <w:u w:val="single"/>
            <w:rtl/>
          </w:rPr>
          <w:t>פ</w:t>
        </w:r>
        <w:r w:rsidRPr="00655372">
          <w:rPr>
            <w:b/>
            <w:bCs/>
            <w:color w:val="0000FF"/>
            <w:u w:val="single"/>
            <w:rtl/>
          </w:rPr>
          <w:t xml:space="preserve"> 48578-10-10</w:t>
        </w:r>
      </w:hyperlink>
      <w:r>
        <w:rPr>
          <w:rFonts w:hint="cs"/>
          <w:b/>
          <w:bCs/>
          <w:rtl/>
        </w:rPr>
        <w:t xml:space="preserve"> (שלום חיפה) (מופיע בטבלת הצירוף כפ"א 32162/08 תחנת טירת הכרמל)</w:t>
      </w:r>
      <w:r>
        <w:rPr>
          <w:rFonts w:hint="cs"/>
          <w:rtl/>
        </w:rPr>
        <w:t xml:space="preserve"> - עבירה של החזקת סם מסוכן שלא לצריכה עצמית, עבירה לפי </w:t>
      </w:r>
      <w:hyperlink r:id="rId25" w:history="1">
        <w:r w:rsidR="00932406" w:rsidRPr="00932406">
          <w:rPr>
            <w:rFonts w:hint="eastAsia"/>
            <w:color w:val="0000FF"/>
            <w:u w:val="single"/>
            <w:rtl/>
          </w:rPr>
          <w:t>סעיף</w:t>
        </w:r>
        <w:r w:rsidR="00932406" w:rsidRPr="00932406">
          <w:rPr>
            <w:color w:val="0000FF"/>
            <w:u w:val="single"/>
            <w:rtl/>
          </w:rPr>
          <w:t xml:space="preserve"> 7(</w:t>
        </w:r>
        <w:r w:rsidR="00932406" w:rsidRPr="00932406">
          <w:rPr>
            <w:rFonts w:hint="eastAsia"/>
            <w:color w:val="0000FF"/>
            <w:u w:val="single"/>
            <w:rtl/>
          </w:rPr>
          <w:t>א</w:t>
        </w:r>
        <w:r w:rsidR="00932406" w:rsidRPr="00932406">
          <w:rPr>
            <w:color w:val="0000FF"/>
            <w:u w:val="single"/>
            <w:rtl/>
          </w:rPr>
          <w:t>)(</w:t>
        </w:r>
        <w:r w:rsidR="00932406" w:rsidRPr="00932406">
          <w:rPr>
            <w:rFonts w:hint="eastAsia"/>
            <w:color w:val="0000FF"/>
            <w:u w:val="single"/>
            <w:rtl/>
          </w:rPr>
          <w:t>ג</w:t>
        </w:r>
        <w:r w:rsidR="00932406" w:rsidRPr="00932406">
          <w:rPr>
            <w:color w:val="0000FF"/>
            <w:u w:val="single"/>
            <w:rtl/>
          </w:rPr>
          <w:t>)</w:t>
        </w:r>
      </w:hyperlink>
      <w:r>
        <w:rPr>
          <w:rFonts w:hint="cs"/>
          <w:rtl/>
        </w:rPr>
        <w:t xml:space="preserve"> רישא ל</w:t>
      </w:r>
      <w:hyperlink r:id="rId26" w:history="1">
        <w:r w:rsidRPr="00655372">
          <w:rPr>
            <w:rFonts w:hint="eastAsia"/>
            <w:color w:val="0000FF"/>
            <w:u w:val="single"/>
            <w:rtl/>
          </w:rPr>
          <w:t>פקודת</w:t>
        </w:r>
        <w:r w:rsidRPr="00655372">
          <w:rPr>
            <w:color w:val="0000FF"/>
            <w:u w:val="single"/>
            <w:rtl/>
          </w:rPr>
          <w:t xml:space="preserve"> </w:t>
        </w:r>
        <w:r w:rsidRPr="00655372">
          <w:rPr>
            <w:rFonts w:hint="eastAsia"/>
            <w:color w:val="0000FF"/>
            <w:u w:val="single"/>
            <w:rtl/>
          </w:rPr>
          <w:t>הסמים</w:t>
        </w:r>
        <w:r w:rsidRPr="00655372">
          <w:rPr>
            <w:color w:val="0000FF"/>
            <w:u w:val="single"/>
            <w:rtl/>
          </w:rPr>
          <w:t xml:space="preserve"> </w:t>
        </w:r>
        <w:r w:rsidRPr="00655372">
          <w:rPr>
            <w:rFonts w:hint="eastAsia"/>
            <w:color w:val="0000FF"/>
            <w:u w:val="single"/>
            <w:rtl/>
          </w:rPr>
          <w:t>המסוכנים</w:t>
        </w:r>
      </w:hyperlink>
      <w:r>
        <w:rPr>
          <w:rFonts w:hint="cs"/>
          <w:rtl/>
        </w:rPr>
        <w:t xml:space="preserve"> (נוסח חדש) תשל"ג-1973 (להלן - </w:t>
      </w:r>
      <w:r>
        <w:rPr>
          <w:rFonts w:hint="cs"/>
          <w:b/>
          <w:bCs/>
          <w:rtl/>
        </w:rPr>
        <w:t>פקודת הסמים</w:t>
      </w:r>
      <w:r>
        <w:rPr>
          <w:rFonts w:hint="cs"/>
          <w:rtl/>
        </w:rPr>
        <w:t xml:space="preserve">). מדובר בהחזקה של </w:t>
      </w:r>
      <w:r>
        <w:rPr>
          <w:rFonts w:hint="cs"/>
          <w:b/>
          <w:bCs/>
          <w:rtl/>
        </w:rPr>
        <w:t>22 גרם הירואין</w:t>
      </w:r>
      <w:r>
        <w:rPr>
          <w:rFonts w:hint="cs"/>
          <w:rtl/>
        </w:rPr>
        <w:t xml:space="preserve">, טבליה אחד של אמפטמין במשקל 3.4, </w:t>
      </w:r>
      <w:r>
        <w:t>MDMA</w:t>
      </w:r>
      <w:r>
        <w:rPr>
          <w:rFonts w:hint="cs"/>
          <w:rtl/>
        </w:rPr>
        <w:t xml:space="preserve"> במשקל 0.3 גרם, חשיש במשקל 9.2 - </w:t>
      </w:r>
      <w:r>
        <w:rPr>
          <w:rFonts w:hint="cs"/>
          <w:b/>
          <w:bCs/>
          <w:rtl/>
        </w:rPr>
        <w:t>בעודו מוחזק בכלא כרמל.</w:t>
      </w:r>
      <w:r>
        <w:rPr>
          <w:rFonts w:hint="cs"/>
          <w:rtl/>
        </w:rPr>
        <w:t xml:space="preserve"> העבירות בוצעו ביום 30.11.08.</w:t>
      </w:r>
    </w:p>
    <w:p w14:paraId="1688A4F4" w14:textId="77777777" w:rsidR="00D0331C" w:rsidRDefault="00D0331C">
      <w:pPr>
        <w:spacing w:line="360" w:lineRule="auto"/>
        <w:jc w:val="both"/>
        <w:rPr>
          <w:b/>
          <w:bCs/>
          <w:rtl/>
        </w:rPr>
      </w:pPr>
    </w:p>
    <w:p w14:paraId="132CD605" w14:textId="77777777" w:rsidR="00D0331C" w:rsidRDefault="00655372">
      <w:pPr>
        <w:spacing w:line="360" w:lineRule="auto"/>
        <w:ind w:left="720" w:hanging="720"/>
        <w:jc w:val="both"/>
        <w:rPr>
          <w:rtl/>
        </w:rPr>
      </w:pPr>
      <w:r>
        <w:rPr>
          <w:rFonts w:hint="cs"/>
          <w:b/>
          <w:bCs/>
          <w:rtl/>
        </w:rPr>
        <w:t>ג.</w:t>
      </w:r>
      <w:r>
        <w:rPr>
          <w:rFonts w:hint="cs"/>
          <w:b/>
          <w:bCs/>
          <w:rtl/>
        </w:rPr>
        <w:tab/>
      </w:r>
      <w:hyperlink r:id="rId27" w:history="1">
        <w:r w:rsidRPr="00655372">
          <w:rPr>
            <w:rFonts w:hint="eastAsia"/>
            <w:b/>
            <w:bCs/>
            <w:color w:val="0000FF"/>
            <w:u w:val="single"/>
            <w:rtl/>
          </w:rPr>
          <w:t>ת</w:t>
        </w:r>
        <w:r w:rsidRPr="00655372">
          <w:rPr>
            <w:b/>
            <w:bCs/>
            <w:color w:val="0000FF"/>
            <w:u w:val="single"/>
            <w:rtl/>
          </w:rPr>
          <w:t>.</w:t>
        </w:r>
        <w:r w:rsidRPr="00655372">
          <w:rPr>
            <w:rFonts w:hint="eastAsia"/>
            <w:b/>
            <w:bCs/>
            <w:color w:val="0000FF"/>
            <w:u w:val="single"/>
            <w:rtl/>
          </w:rPr>
          <w:t>פ</w:t>
        </w:r>
        <w:r w:rsidRPr="00655372">
          <w:rPr>
            <w:b/>
            <w:bCs/>
            <w:color w:val="0000FF"/>
            <w:u w:val="single"/>
            <w:rtl/>
          </w:rPr>
          <w:t xml:space="preserve"> 34231-03-10</w:t>
        </w:r>
      </w:hyperlink>
      <w:r>
        <w:rPr>
          <w:rFonts w:hint="cs"/>
          <w:b/>
          <w:bCs/>
          <w:rtl/>
        </w:rPr>
        <w:t xml:space="preserve"> (שלום כפר סבא) (מופיע בטבלת הצירוף כפ"א 41269/09 תחנת כפר סבא)</w:t>
      </w:r>
      <w:r>
        <w:rPr>
          <w:rFonts w:hint="cs"/>
          <w:rtl/>
        </w:rPr>
        <w:t xml:space="preserve"> - עבירות של גניבה לפי </w:t>
      </w:r>
      <w:hyperlink r:id="rId28" w:history="1">
        <w:r w:rsidR="00932406" w:rsidRPr="00932406">
          <w:rPr>
            <w:rFonts w:hint="eastAsia"/>
            <w:color w:val="0000FF"/>
            <w:u w:val="single"/>
            <w:rtl/>
          </w:rPr>
          <w:t>סעיף</w:t>
        </w:r>
        <w:r w:rsidR="00932406" w:rsidRPr="00932406">
          <w:rPr>
            <w:color w:val="0000FF"/>
            <w:u w:val="single"/>
            <w:rtl/>
          </w:rPr>
          <w:t xml:space="preserve"> 384</w:t>
        </w:r>
      </w:hyperlink>
      <w:r>
        <w:rPr>
          <w:rFonts w:hint="cs"/>
          <w:rtl/>
        </w:rPr>
        <w:t xml:space="preserve"> ל</w:t>
      </w:r>
      <w:hyperlink r:id="rId29" w:history="1">
        <w:r w:rsidRPr="00655372">
          <w:rPr>
            <w:rFonts w:hint="eastAsia"/>
            <w:color w:val="0000FF"/>
            <w:u w:val="single"/>
            <w:rtl/>
          </w:rPr>
          <w:t>חוק</w:t>
        </w:r>
        <w:r w:rsidRPr="00655372">
          <w:rPr>
            <w:color w:val="0000FF"/>
            <w:u w:val="single"/>
            <w:rtl/>
          </w:rPr>
          <w:t xml:space="preserve"> </w:t>
        </w:r>
        <w:r w:rsidRPr="00655372">
          <w:rPr>
            <w:rFonts w:hint="eastAsia"/>
            <w:color w:val="0000FF"/>
            <w:u w:val="single"/>
            <w:rtl/>
          </w:rPr>
          <w:t>העונשין</w:t>
        </w:r>
      </w:hyperlink>
      <w:r>
        <w:rPr>
          <w:rFonts w:hint="cs"/>
          <w:rtl/>
        </w:rPr>
        <w:t xml:space="preserve"> והפרעה לשוטר במלוי תפקידו לפי </w:t>
      </w:r>
      <w:hyperlink r:id="rId30" w:history="1">
        <w:r w:rsidR="00932406" w:rsidRPr="00932406">
          <w:rPr>
            <w:rFonts w:hint="eastAsia"/>
            <w:color w:val="0000FF"/>
            <w:u w:val="single"/>
            <w:rtl/>
          </w:rPr>
          <w:t>סעיף</w:t>
        </w:r>
        <w:r w:rsidR="00932406" w:rsidRPr="00932406">
          <w:rPr>
            <w:color w:val="0000FF"/>
            <w:u w:val="single"/>
            <w:rtl/>
          </w:rPr>
          <w:t xml:space="preserve"> 275</w:t>
        </w:r>
      </w:hyperlink>
      <w:r>
        <w:rPr>
          <w:rFonts w:hint="cs"/>
          <w:rtl/>
        </w:rPr>
        <w:t xml:space="preserve"> לחוק העונשין. הנאשם הגיע לחנות פרחים ואמר לבעלת החנות כי נגנבו עציצים מהחנות. בעלת החנות יצאה מהחנות לבדוק, ואז גנב הנאשם מהקופה 1,200 ₪.  המוכרת הזעיקה שוטר, ואילו הנאשם נמלט חרף הוראת השוטר לעצור. העבירות בוצעו ביום 26.11.09.</w:t>
      </w:r>
    </w:p>
    <w:p w14:paraId="3A1B4C31" w14:textId="77777777" w:rsidR="00D0331C" w:rsidRDefault="00D0331C">
      <w:pPr>
        <w:spacing w:line="360" w:lineRule="auto"/>
        <w:ind w:left="720" w:hanging="720"/>
        <w:jc w:val="both"/>
        <w:rPr>
          <w:b/>
          <w:bCs/>
          <w:rtl/>
        </w:rPr>
      </w:pPr>
    </w:p>
    <w:p w14:paraId="4446CD7D" w14:textId="77777777" w:rsidR="00D0331C" w:rsidRDefault="00655372">
      <w:pPr>
        <w:spacing w:line="360" w:lineRule="auto"/>
        <w:ind w:left="720" w:hanging="720"/>
        <w:jc w:val="both"/>
        <w:rPr>
          <w:b/>
          <w:bCs/>
          <w:rtl/>
        </w:rPr>
      </w:pPr>
      <w:r>
        <w:rPr>
          <w:rFonts w:hint="cs"/>
          <w:b/>
          <w:bCs/>
          <w:rtl/>
        </w:rPr>
        <w:t>ד.</w:t>
      </w:r>
      <w:r>
        <w:rPr>
          <w:rFonts w:hint="cs"/>
          <w:b/>
          <w:bCs/>
          <w:rtl/>
        </w:rPr>
        <w:tab/>
      </w:r>
      <w:hyperlink r:id="rId31" w:history="1">
        <w:r w:rsidRPr="00655372">
          <w:rPr>
            <w:rFonts w:hint="eastAsia"/>
            <w:b/>
            <w:bCs/>
            <w:color w:val="0000FF"/>
            <w:u w:val="single"/>
            <w:rtl/>
          </w:rPr>
          <w:t>ת</w:t>
        </w:r>
        <w:r w:rsidRPr="00655372">
          <w:rPr>
            <w:b/>
            <w:bCs/>
            <w:color w:val="0000FF"/>
            <w:u w:val="single"/>
            <w:rtl/>
          </w:rPr>
          <w:t>.</w:t>
        </w:r>
        <w:r w:rsidRPr="00655372">
          <w:rPr>
            <w:rFonts w:hint="eastAsia"/>
            <w:b/>
            <w:bCs/>
            <w:color w:val="0000FF"/>
            <w:u w:val="single"/>
            <w:rtl/>
          </w:rPr>
          <w:t>פ</w:t>
        </w:r>
        <w:r w:rsidRPr="00655372">
          <w:rPr>
            <w:b/>
            <w:bCs/>
            <w:color w:val="0000FF"/>
            <w:u w:val="single"/>
            <w:rtl/>
          </w:rPr>
          <w:t xml:space="preserve"> 52723-01-11</w:t>
        </w:r>
      </w:hyperlink>
      <w:r>
        <w:rPr>
          <w:rFonts w:hint="cs"/>
          <w:b/>
          <w:bCs/>
          <w:rtl/>
        </w:rPr>
        <w:t xml:space="preserve"> (שלום תל אביב) (מופיע בטבלת הצירוף כפ"א 35302/09 תחנת גלילות)</w:t>
      </w:r>
      <w:r>
        <w:rPr>
          <w:rFonts w:hint="cs"/>
          <w:rtl/>
        </w:rPr>
        <w:t xml:space="preserve">– עבירה של החזקת סם מסוכן לצריכה עצמית, עבירה לפי </w:t>
      </w:r>
      <w:hyperlink r:id="rId32" w:history="1">
        <w:r w:rsidR="00932406" w:rsidRPr="00932406">
          <w:rPr>
            <w:rFonts w:hint="eastAsia"/>
            <w:color w:val="0000FF"/>
            <w:u w:val="single"/>
            <w:rtl/>
          </w:rPr>
          <w:t>סעיף</w:t>
        </w:r>
        <w:r w:rsidR="00932406" w:rsidRPr="00932406">
          <w:rPr>
            <w:color w:val="0000FF"/>
            <w:u w:val="single"/>
            <w:rtl/>
          </w:rPr>
          <w:t xml:space="preserve"> 7(</w:t>
        </w:r>
        <w:r w:rsidR="00932406" w:rsidRPr="00932406">
          <w:rPr>
            <w:rFonts w:hint="eastAsia"/>
            <w:color w:val="0000FF"/>
            <w:u w:val="single"/>
            <w:rtl/>
          </w:rPr>
          <w:t>א</w:t>
        </w:r>
        <w:r w:rsidR="00932406" w:rsidRPr="00932406">
          <w:rPr>
            <w:color w:val="0000FF"/>
            <w:u w:val="single"/>
            <w:rtl/>
          </w:rPr>
          <w:t>)(</w:t>
        </w:r>
        <w:r w:rsidR="00932406" w:rsidRPr="00932406">
          <w:rPr>
            <w:rFonts w:hint="eastAsia"/>
            <w:color w:val="0000FF"/>
            <w:u w:val="single"/>
            <w:rtl/>
          </w:rPr>
          <w:t>ג</w:t>
        </w:r>
        <w:r w:rsidR="00932406" w:rsidRPr="00932406">
          <w:rPr>
            <w:color w:val="0000FF"/>
            <w:u w:val="single"/>
            <w:rtl/>
          </w:rPr>
          <w:t>)</w:t>
        </w:r>
      </w:hyperlink>
      <w:r>
        <w:rPr>
          <w:rFonts w:hint="cs"/>
          <w:rtl/>
        </w:rPr>
        <w:t xml:space="preserve"> סיפא לפקודת הסמים. מדובר בהחזקה בצוותא של 0.5 גרם הירואין שבוצעה ביום 14.9.09.</w:t>
      </w:r>
    </w:p>
    <w:p w14:paraId="6B461E82" w14:textId="77777777" w:rsidR="00D0331C" w:rsidRDefault="00D0331C">
      <w:pPr>
        <w:spacing w:line="360" w:lineRule="auto"/>
        <w:ind w:left="720" w:hanging="720"/>
        <w:jc w:val="both"/>
        <w:rPr>
          <w:b/>
          <w:bCs/>
          <w:rtl/>
        </w:rPr>
      </w:pPr>
    </w:p>
    <w:p w14:paraId="7C0D42DB" w14:textId="77777777" w:rsidR="00D0331C" w:rsidRDefault="00655372">
      <w:pPr>
        <w:spacing w:line="360" w:lineRule="auto"/>
        <w:ind w:left="720" w:hanging="720"/>
        <w:jc w:val="both"/>
        <w:rPr>
          <w:rtl/>
        </w:rPr>
      </w:pPr>
      <w:r>
        <w:rPr>
          <w:rFonts w:hint="cs"/>
          <w:b/>
          <w:bCs/>
          <w:rtl/>
        </w:rPr>
        <w:t>ה.</w:t>
      </w:r>
      <w:r>
        <w:rPr>
          <w:rFonts w:hint="cs"/>
          <w:b/>
          <w:bCs/>
          <w:rtl/>
        </w:rPr>
        <w:tab/>
        <w:t>פ"א 36460/09 תחנת גלילות</w:t>
      </w:r>
      <w:r>
        <w:rPr>
          <w:rFonts w:hint="cs"/>
          <w:rtl/>
        </w:rPr>
        <w:t xml:space="preserve"> - עבירה של החזקת סכין לפי </w:t>
      </w:r>
      <w:hyperlink r:id="rId33" w:history="1">
        <w:r w:rsidR="00932406" w:rsidRPr="00932406">
          <w:rPr>
            <w:rFonts w:hint="eastAsia"/>
            <w:color w:val="0000FF"/>
            <w:u w:val="single"/>
            <w:rtl/>
          </w:rPr>
          <w:t>סעיף</w:t>
        </w:r>
        <w:r w:rsidR="00932406" w:rsidRPr="00932406">
          <w:rPr>
            <w:color w:val="0000FF"/>
            <w:u w:val="single"/>
            <w:rtl/>
          </w:rPr>
          <w:t xml:space="preserve"> 186(</w:t>
        </w:r>
        <w:r w:rsidR="00932406" w:rsidRPr="00932406">
          <w:rPr>
            <w:rFonts w:hint="eastAsia"/>
            <w:color w:val="0000FF"/>
            <w:u w:val="single"/>
            <w:rtl/>
          </w:rPr>
          <w:t>א</w:t>
        </w:r>
        <w:r w:rsidR="00932406" w:rsidRPr="00932406">
          <w:rPr>
            <w:color w:val="0000FF"/>
            <w:u w:val="single"/>
            <w:rtl/>
          </w:rPr>
          <w:t>)</w:t>
        </w:r>
      </w:hyperlink>
      <w:r>
        <w:rPr>
          <w:rFonts w:hint="cs"/>
          <w:rtl/>
        </w:rPr>
        <w:t xml:space="preserve"> ל</w:t>
      </w:r>
      <w:hyperlink r:id="rId34" w:history="1">
        <w:r w:rsidRPr="00655372">
          <w:rPr>
            <w:rFonts w:hint="eastAsia"/>
            <w:color w:val="0000FF"/>
            <w:u w:val="single"/>
            <w:rtl/>
          </w:rPr>
          <w:t>חוק</w:t>
        </w:r>
        <w:r w:rsidRPr="00655372">
          <w:rPr>
            <w:color w:val="0000FF"/>
            <w:u w:val="single"/>
            <w:rtl/>
          </w:rPr>
          <w:t xml:space="preserve"> </w:t>
        </w:r>
        <w:r w:rsidRPr="00655372">
          <w:rPr>
            <w:rFonts w:hint="eastAsia"/>
            <w:color w:val="0000FF"/>
            <w:u w:val="single"/>
            <w:rtl/>
          </w:rPr>
          <w:t>העונשין</w:t>
        </w:r>
      </w:hyperlink>
      <w:r>
        <w:rPr>
          <w:rFonts w:hint="cs"/>
          <w:rtl/>
        </w:rPr>
        <w:t xml:space="preserve"> אשר בוצעה ביום 12.11.09.</w:t>
      </w:r>
    </w:p>
    <w:p w14:paraId="23CABF7A" w14:textId="77777777" w:rsidR="00D0331C" w:rsidRDefault="00D0331C">
      <w:pPr>
        <w:spacing w:line="360" w:lineRule="auto"/>
        <w:ind w:left="720"/>
        <w:jc w:val="both"/>
        <w:rPr>
          <w:rtl/>
        </w:rPr>
      </w:pPr>
    </w:p>
    <w:p w14:paraId="34205ECC" w14:textId="77777777" w:rsidR="00D0331C" w:rsidRDefault="00655372">
      <w:pPr>
        <w:spacing w:line="360" w:lineRule="auto"/>
        <w:ind w:left="720"/>
        <w:jc w:val="both"/>
        <w:rPr>
          <w:u w:val="single"/>
          <w:rtl/>
        </w:rPr>
      </w:pPr>
      <w:r>
        <w:rPr>
          <w:rFonts w:hint="cs"/>
          <w:u w:val="single"/>
          <w:rtl/>
        </w:rPr>
        <w:t>הרשעות שניתנו ביום 10.1.12</w:t>
      </w:r>
    </w:p>
    <w:p w14:paraId="58E189C8" w14:textId="77777777" w:rsidR="00D0331C" w:rsidRDefault="00D0331C">
      <w:pPr>
        <w:spacing w:line="360" w:lineRule="auto"/>
        <w:ind w:left="720" w:hanging="720"/>
        <w:jc w:val="both"/>
        <w:rPr>
          <w:rtl/>
        </w:rPr>
      </w:pPr>
    </w:p>
    <w:p w14:paraId="5F6F970B" w14:textId="77777777" w:rsidR="00D0331C" w:rsidRDefault="00655372">
      <w:pPr>
        <w:spacing w:line="360" w:lineRule="auto"/>
        <w:ind w:left="720" w:hanging="720"/>
        <w:jc w:val="both"/>
        <w:rPr>
          <w:rtl/>
        </w:rPr>
      </w:pPr>
      <w:r>
        <w:rPr>
          <w:rFonts w:hint="cs"/>
          <w:b/>
          <w:bCs/>
          <w:rtl/>
        </w:rPr>
        <w:t>ו.</w:t>
      </w:r>
      <w:r>
        <w:rPr>
          <w:rFonts w:hint="cs"/>
          <w:b/>
          <w:bCs/>
          <w:rtl/>
        </w:rPr>
        <w:tab/>
      </w:r>
      <w:hyperlink r:id="rId35" w:history="1">
        <w:r w:rsidRPr="00655372">
          <w:rPr>
            <w:rFonts w:hint="eastAsia"/>
            <w:b/>
            <w:bCs/>
            <w:color w:val="0000FF"/>
            <w:u w:val="single"/>
            <w:rtl/>
          </w:rPr>
          <w:t>ת</w:t>
        </w:r>
        <w:r w:rsidRPr="00655372">
          <w:rPr>
            <w:b/>
            <w:bCs/>
            <w:color w:val="0000FF"/>
            <w:u w:val="single"/>
            <w:rtl/>
          </w:rPr>
          <w:t>.</w:t>
        </w:r>
        <w:r w:rsidRPr="00655372">
          <w:rPr>
            <w:rFonts w:hint="eastAsia"/>
            <w:b/>
            <w:bCs/>
            <w:color w:val="0000FF"/>
            <w:u w:val="single"/>
            <w:rtl/>
          </w:rPr>
          <w:t>פ</w:t>
        </w:r>
        <w:r w:rsidRPr="00655372">
          <w:rPr>
            <w:b/>
            <w:bCs/>
            <w:color w:val="0000FF"/>
            <w:u w:val="single"/>
            <w:rtl/>
          </w:rPr>
          <w:t xml:space="preserve"> 12202-09-11</w:t>
        </w:r>
      </w:hyperlink>
      <w:r>
        <w:rPr>
          <w:rFonts w:hint="cs"/>
          <w:b/>
          <w:bCs/>
          <w:rtl/>
        </w:rPr>
        <w:t xml:space="preserve"> (שלום תל אביב)</w:t>
      </w:r>
      <w:r>
        <w:rPr>
          <w:rFonts w:hint="cs"/>
          <w:rtl/>
        </w:rPr>
        <w:t xml:space="preserve"> </w:t>
      </w:r>
      <w:r>
        <w:rPr>
          <w:rFonts w:hint="cs"/>
          <w:b/>
          <w:bCs/>
          <w:rtl/>
        </w:rPr>
        <w:t>(מופיע בטבלת הצירוף כפ.א 44643/11 תחנת יפתח)</w:t>
      </w:r>
      <w:r>
        <w:rPr>
          <w:rFonts w:hint="cs"/>
          <w:rtl/>
        </w:rPr>
        <w:t xml:space="preserve"> – עבירה של התפרצות למקום מגורים או תפילה לפי </w:t>
      </w:r>
      <w:hyperlink r:id="rId36" w:history="1">
        <w:r w:rsidR="00932406" w:rsidRPr="00932406">
          <w:rPr>
            <w:rFonts w:hint="eastAsia"/>
            <w:color w:val="0000FF"/>
            <w:u w:val="single"/>
            <w:rtl/>
          </w:rPr>
          <w:t>סעיף</w:t>
        </w:r>
        <w:r w:rsidR="00932406" w:rsidRPr="00932406">
          <w:rPr>
            <w:color w:val="0000FF"/>
            <w:u w:val="single"/>
            <w:rtl/>
          </w:rPr>
          <w:t xml:space="preserve"> 406(</w:t>
        </w:r>
        <w:r w:rsidR="00932406" w:rsidRPr="00932406">
          <w:rPr>
            <w:rFonts w:hint="eastAsia"/>
            <w:color w:val="0000FF"/>
            <w:u w:val="single"/>
            <w:rtl/>
          </w:rPr>
          <w:t>ב</w:t>
        </w:r>
        <w:r w:rsidR="00932406" w:rsidRPr="00932406">
          <w:rPr>
            <w:color w:val="0000FF"/>
            <w:u w:val="single"/>
            <w:rtl/>
          </w:rPr>
          <w:t>)</w:t>
        </w:r>
      </w:hyperlink>
      <w:r>
        <w:rPr>
          <w:rFonts w:hint="cs"/>
          <w:rtl/>
        </w:rPr>
        <w:t xml:space="preserve"> ל</w:t>
      </w:r>
      <w:hyperlink r:id="rId37" w:history="1">
        <w:r w:rsidRPr="00655372">
          <w:rPr>
            <w:rFonts w:hint="eastAsia"/>
            <w:color w:val="0000FF"/>
            <w:u w:val="single"/>
            <w:rtl/>
          </w:rPr>
          <w:t>חוק</w:t>
        </w:r>
        <w:r w:rsidRPr="00655372">
          <w:rPr>
            <w:color w:val="0000FF"/>
            <w:u w:val="single"/>
            <w:rtl/>
          </w:rPr>
          <w:t xml:space="preserve"> </w:t>
        </w:r>
        <w:r w:rsidRPr="00655372">
          <w:rPr>
            <w:rFonts w:hint="eastAsia"/>
            <w:color w:val="0000FF"/>
            <w:u w:val="single"/>
            <w:rtl/>
          </w:rPr>
          <w:t>העונשין</w:t>
        </w:r>
      </w:hyperlink>
      <w:r>
        <w:rPr>
          <w:rFonts w:hint="cs"/>
          <w:rtl/>
        </w:rPr>
        <w:t>. ביום 4.9.11 התפרץ הנאשם לדירה מגורים ונתפס בכף על ידי המתלוננים שהתעוררו משנתם וראו את הנאשם בדירה.</w:t>
      </w:r>
    </w:p>
    <w:p w14:paraId="57027595" w14:textId="77777777" w:rsidR="00D0331C" w:rsidRDefault="00655372">
      <w:pPr>
        <w:pStyle w:val="normal-p"/>
        <w:bidi/>
        <w:spacing w:line="360" w:lineRule="auto"/>
        <w:ind w:left="720" w:hanging="720"/>
        <w:jc w:val="both"/>
        <w:rPr>
          <w:rFonts w:cs="David"/>
          <w:noProof/>
          <w:rtl/>
        </w:rPr>
      </w:pPr>
      <w:r>
        <w:rPr>
          <w:rFonts w:cs="David" w:hint="cs"/>
          <w:b/>
          <w:bCs/>
          <w:noProof/>
          <w:rtl/>
        </w:rPr>
        <w:t>ז.</w:t>
      </w:r>
      <w:r>
        <w:rPr>
          <w:rFonts w:cs="David" w:hint="cs"/>
          <w:b/>
          <w:bCs/>
          <w:noProof/>
          <w:rtl/>
        </w:rPr>
        <w:tab/>
        <w:t xml:space="preserve">פ"א 40094/11 תחנת יפתח – </w:t>
      </w:r>
      <w:r>
        <w:rPr>
          <w:rFonts w:cs="David" w:hint="cs"/>
          <w:noProof/>
          <w:rtl/>
        </w:rPr>
        <w:t xml:space="preserve">עבירה של גניבה לפי </w:t>
      </w:r>
      <w:hyperlink r:id="rId38" w:history="1">
        <w:r w:rsidR="00932406" w:rsidRPr="00932406">
          <w:rPr>
            <w:rFonts w:cs="David"/>
            <w:noProof/>
            <w:color w:val="0000FF"/>
            <w:u w:val="single"/>
            <w:rtl/>
          </w:rPr>
          <w:t>סעיף 384</w:t>
        </w:r>
      </w:hyperlink>
      <w:r>
        <w:rPr>
          <w:rFonts w:cs="David" w:hint="cs"/>
          <w:noProof/>
          <w:rtl/>
        </w:rPr>
        <w:t xml:space="preserve"> ל</w:t>
      </w:r>
      <w:hyperlink r:id="rId39" w:history="1">
        <w:r w:rsidRPr="00655372">
          <w:rPr>
            <w:rFonts w:cs="David"/>
            <w:noProof/>
            <w:color w:val="0000FF"/>
            <w:u w:val="single"/>
            <w:rtl/>
          </w:rPr>
          <w:t>חוק העונשין</w:t>
        </w:r>
      </w:hyperlink>
      <w:r>
        <w:rPr>
          <w:rFonts w:cs="David" w:hint="cs"/>
          <w:noProof/>
          <w:rtl/>
        </w:rPr>
        <w:t>. מדובר בגניבה של 100 ₪ מתיקה של בעלת חנות בתחנה המרכזית החדשה. הכסף הוחזר. העבירה בוצעה ביום 23.5.11.</w:t>
      </w:r>
    </w:p>
    <w:p w14:paraId="1465C73F" w14:textId="77777777" w:rsidR="00D0331C" w:rsidRDefault="00655372">
      <w:pPr>
        <w:pStyle w:val="normal-p"/>
        <w:bidi/>
        <w:spacing w:line="360" w:lineRule="auto"/>
        <w:ind w:left="720" w:hanging="720"/>
        <w:jc w:val="both"/>
        <w:rPr>
          <w:rFonts w:cs="David"/>
          <w:noProof/>
          <w:rtl/>
        </w:rPr>
      </w:pPr>
      <w:r>
        <w:rPr>
          <w:rFonts w:cs="David" w:hint="cs"/>
          <w:b/>
          <w:bCs/>
          <w:noProof/>
          <w:rtl/>
        </w:rPr>
        <w:lastRenderedPageBreak/>
        <w:t>ח.</w:t>
      </w:r>
      <w:r>
        <w:rPr>
          <w:rFonts w:cs="David" w:hint="cs"/>
          <w:b/>
          <w:bCs/>
          <w:noProof/>
          <w:rtl/>
        </w:rPr>
        <w:tab/>
        <w:t>פ"א 44996/11 לב ת"א</w:t>
      </w:r>
      <w:r>
        <w:rPr>
          <w:rFonts w:cs="David" w:hint="cs"/>
          <w:noProof/>
          <w:rtl/>
        </w:rPr>
        <w:t xml:space="preserve"> – עבירה של גניבה לפי </w:t>
      </w:r>
      <w:hyperlink r:id="rId40" w:history="1">
        <w:r w:rsidR="00932406" w:rsidRPr="00932406">
          <w:rPr>
            <w:rFonts w:cs="David"/>
            <w:noProof/>
            <w:color w:val="0000FF"/>
            <w:u w:val="single"/>
            <w:rtl/>
          </w:rPr>
          <w:t>סעיף 384</w:t>
        </w:r>
      </w:hyperlink>
      <w:r>
        <w:rPr>
          <w:rFonts w:cs="David" w:hint="cs"/>
          <w:noProof/>
          <w:rtl/>
        </w:rPr>
        <w:t xml:space="preserve"> ל</w:t>
      </w:r>
      <w:hyperlink r:id="rId41" w:history="1">
        <w:r w:rsidRPr="00655372">
          <w:rPr>
            <w:rFonts w:cs="David"/>
            <w:noProof/>
            <w:color w:val="0000FF"/>
            <w:u w:val="single"/>
            <w:rtl/>
          </w:rPr>
          <w:t>חוק העונשין</w:t>
        </w:r>
      </w:hyperlink>
      <w:r>
        <w:rPr>
          <w:rFonts w:cs="David" w:hint="cs"/>
          <w:noProof/>
          <w:rtl/>
        </w:rPr>
        <w:t>. מדובר בגניבה של טלפון נייד ו-200 ₪ מתיקה של המתלוננת במאהל בשד' רוטשילד. העבירה בוצעה ביום 16.8.11.</w:t>
      </w:r>
    </w:p>
    <w:p w14:paraId="1F9987DE" w14:textId="77777777" w:rsidR="00D0331C" w:rsidRDefault="00655372">
      <w:pPr>
        <w:pStyle w:val="normal-p"/>
        <w:bidi/>
        <w:spacing w:before="0" w:beforeAutospacing="0" w:after="0" w:afterAutospacing="0" w:line="360" w:lineRule="auto"/>
        <w:ind w:left="720" w:hanging="720"/>
        <w:jc w:val="both"/>
        <w:rPr>
          <w:rFonts w:cs="David"/>
          <w:noProof/>
          <w:rtl/>
        </w:rPr>
      </w:pPr>
      <w:r>
        <w:rPr>
          <w:rFonts w:cs="David" w:hint="cs"/>
          <w:b/>
          <w:bCs/>
          <w:noProof/>
          <w:rtl/>
        </w:rPr>
        <w:t>ט.</w:t>
      </w:r>
      <w:r>
        <w:rPr>
          <w:rFonts w:cs="David" w:hint="cs"/>
          <w:b/>
          <w:bCs/>
          <w:noProof/>
          <w:rtl/>
        </w:rPr>
        <w:tab/>
        <w:t>פ"א 41488/11 גלילות</w:t>
      </w:r>
      <w:r>
        <w:rPr>
          <w:rFonts w:cs="David" w:hint="cs"/>
          <w:noProof/>
          <w:rtl/>
        </w:rPr>
        <w:t xml:space="preserve"> – עבירה של גניבה לפי </w:t>
      </w:r>
      <w:hyperlink r:id="rId42" w:history="1">
        <w:r w:rsidR="00932406" w:rsidRPr="00932406">
          <w:rPr>
            <w:rFonts w:cs="David"/>
            <w:noProof/>
            <w:color w:val="0000FF"/>
            <w:u w:val="single"/>
            <w:rtl/>
          </w:rPr>
          <w:t>סעיף 384</w:t>
        </w:r>
      </w:hyperlink>
      <w:r>
        <w:rPr>
          <w:rFonts w:cs="David" w:hint="cs"/>
          <w:noProof/>
          <w:rtl/>
        </w:rPr>
        <w:t xml:space="preserve"> ל</w:t>
      </w:r>
      <w:hyperlink r:id="rId43" w:history="1">
        <w:r w:rsidRPr="00655372">
          <w:rPr>
            <w:rFonts w:cs="David"/>
            <w:noProof/>
            <w:color w:val="0000FF"/>
            <w:u w:val="single"/>
            <w:rtl/>
          </w:rPr>
          <w:t>חוק העונשין</w:t>
        </w:r>
      </w:hyperlink>
      <w:r>
        <w:rPr>
          <w:rFonts w:cs="David" w:hint="cs"/>
          <w:noProof/>
          <w:rtl/>
        </w:rPr>
        <w:t>. מדובר בגניבת אייפון מחנות בתל אביב ומכירתו תמורת 600 ₪. העבירה בוצעה ביום 25.7.11.</w:t>
      </w:r>
    </w:p>
    <w:p w14:paraId="5FFE0A2A" w14:textId="77777777" w:rsidR="00D0331C" w:rsidRDefault="00655372">
      <w:pPr>
        <w:pStyle w:val="normal-p"/>
        <w:bidi/>
        <w:spacing w:before="0" w:beforeAutospacing="0" w:after="0" w:afterAutospacing="0" w:line="360" w:lineRule="auto"/>
        <w:ind w:left="720" w:hanging="720"/>
        <w:jc w:val="both"/>
        <w:rPr>
          <w:rFonts w:cs="David"/>
          <w:noProof/>
          <w:rtl/>
        </w:rPr>
      </w:pPr>
      <w:r>
        <w:rPr>
          <w:rFonts w:cs="David" w:hint="cs"/>
          <w:b/>
          <w:bCs/>
          <w:noProof/>
          <w:rtl/>
        </w:rPr>
        <w:t>י.</w:t>
      </w:r>
      <w:r>
        <w:rPr>
          <w:rFonts w:cs="David" w:hint="cs"/>
          <w:b/>
          <w:bCs/>
          <w:noProof/>
          <w:rtl/>
        </w:rPr>
        <w:tab/>
        <w:t>פ"א 41807/11 גלילות</w:t>
      </w:r>
      <w:r>
        <w:rPr>
          <w:rFonts w:cs="David" w:hint="cs"/>
          <w:noProof/>
          <w:rtl/>
        </w:rPr>
        <w:t xml:space="preserve"> - עבירה של גניבה לפי </w:t>
      </w:r>
      <w:hyperlink r:id="rId44" w:history="1">
        <w:r w:rsidR="00932406" w:rsidRPr="00932406">
          <w:rPr>
            <w:rFonts w:cs="David"/>
            <w:noProof/>
            <w:color w:val="0000FF"/>
            <w:u w:val="single"/>
            <w:rtl/>
          </w:rPr>
          <w:t>סעיף 384</w:t>
        </w:r>
      </w:hyperlink>
      <w:r>
        <w:rPr>
          <w:rFonts w:cs="David" w:hint="cs"/>
          <w:noProof/>
          <w:rtl/>
        </w:rPr>
        <w:t xml:space="preserve"> ל</w:t>
      </w:r>
      <w:hyperlink r:id="rId45" w:history="1">
        <w:r w:rsidRPr="00655372">
          <w:rPr>
            <w:rFonts w:cs="David"/>
            <w:noProof/>
            <w:color w:val="0000FF"/>
            <w:u w:val="single"/>
            <w:rtl/>
          </w:rPr>
          <w:t>חוק העונשין</w:t>
        </w:r>
      </w:hyperlink>
      <w:r>
        <w:rPr>
          <w:rFonts w:cs="David" w:hint="cs"/>
          <w:noProof/>
          <w:rtl/>
        </w:rPr>
        <w:t>. מדובר בגניבת אייפון מחנות בהרצליה. העבירה בוצעה ביום 10.8.11.</w:t>
      </w:r>
    </w:p>
    <w:p w14:paraId="2FD8E824" w14:textId="77777777" w:rsidR="00D0331C" w:rsidRDefault="00655372">
      <w:pPr>
        <w:pStyle w:val="normal-p"/>
        <w:bidi/>
        <w:spacing w:line="360" w:lineRule="auto"/>
        <w:ind w:left="720"/>
        <w:jc w:val="both"/>
        <w:rPr>
          <w:rFonts w:cs="David"/>
          <w:noProof/>
          <w:u w:val="single"/>
          <w:rtl/>
        </w:rPr>
      </w:pPr>
      <w:r>
        <w:rPr>
          <w:rFonts w:cs="David" w:hint="cs"/>
          <w:noProof/>
          <w:u w:val="single"/>
          <w:rtl/>
        </w:rPr>
        <w:t>הרשעה שניתנה ביום 19.2.12</w:t>
      </w:r>
    </w:p>
    <w:p w14:paraId="2F4E82B9" w14:textId="77777777" w:rsidR="00D0331C" w:rsidRDefault="00655372">
      <w:pPr>
        <w:pStyle w:val="normal-p"/>
        <w:bidi/>
        <w:spacing w:before="0" w:beforeAutospacing="0" w:after="0" w:afterAutospacing="0" w:line="360" w:lineRule="auto"/>
        <w:ind w:left="720" w:hanging="720"/>
        <w:jc w:val="both"/>
        <w:rPr>
          <w:rFonts w:cs="David"/>
          <w:noProof/>
          <w:rtl/>
        </w:rPr>
      </w:pPr>
      <w:r>
        <w:rPr>
          <w:rFonts w:cs="David" w:hint="cs"/>
          <w:b/>
          <w:bCs/>
          <w:noProof/>
          <w:rtl/>
        </w:rPr>
        <w:t>יא.</w:t>
      </w:r>
      <w:r>
        <w:rPr>
          <w:rFonts w:cs="David" w:hint="cs"/>
          <w:b/>
          <w:bCs/>
          <w:noProof/>
          <w:rtl/>
        </w:rPr>
        <w:tab/>
      </w:r>
      <w:hyperlink r:id="rId46" w:history="1">
        <w:r w:rsidRPr="00655372">
          <w:rPr>
            <w:rFonts w:cs="David"/>
            <w:b/>
            <w:bCs/>
            <w:noProof/>
            <w:color w:val="0000FF"/>
            <w:u w:val="single"/>
            <w:rtl/>
          </w:rPr>
          <w:t>פ"א 4110/11</w:t>
        </w:r>
      </w:hyperlink>
      <w:r>
        <w:rPr>
          <w:rFonts w:cs="David" w:hint="cs"/>
          <w:noProof/>
          <w:rtl/>
        </w:rPr>
        <w:t xml:space="preserve"> </w:t>
      </w:r>
      <w:r>
        <w:rPr>
          <w:rFonts w:cs="David" w:hint="cs"/>
          <w:b/>
          <w:bCs/>
          <w:noProof/>
          <w:rtl/>
        </w:rPr>
        <w:t>תחנת יפתח</w:t>
      </w:r>
      <w:r>
        <w:rPr>
          <w:rFonts w:cs="David" w:hint="cs"/>
          <w:noProof/>
          <w:rtl/>
        </w:rPr>
        <w:t xml:space="preserve"> – עבירה של החזקת סם מסוכן לצריכה עצמית, עבירה </w:t>
      </w:r>
      <w:r>
        <w:rPr>
          <w:rFonts w:cs="David" w:hint="cs"/>
          <w:rtl/>
        </w:rPr>
        <w:t xml:space="preserve">לפי </w:t>
      </w:r>
      <w:hyperlink r:id="rId47" w:history="1">
        <w:r w:rsidR="00932406" w:rsidRPr="00932406">
          <w:rPr>
            <w:rFonts w:cs="David"/>
            <w:color w:val="0000FF"/>
            <w:u w:val="single"/>
            <w:rtl/>
          </w:rPr>
          <w:t>סעיף 7(א)+(ג)</w:t>
        </w:r>
      </w:hyperlink>
      <w:r>
        <w:rPr>
          <w:rFonts w:cs="David" w:hint="cs"/>
          <w:rtl/>
        </w:rPr>
        <w:t xml:space="preserve"> סיפא לפקודת הסמים</w:t>
      </w:r>
      <w:r>
        <w:rPr>
          <w:rFonts w:cs="David" w:hint="cs"/>
          <w:noProof/>
          <w:rtl/>
        </w:rPr>
        <w:t xml:space="preserve"> ובעבירה של הפרעה לשוטר במילוי תפקידו, עבירה לפי </w:t>
      </w:r>
      <w:hyperlink r:id="rId48" w:history="1">
        <w:r w:rsidR="00932406" w:rsidRPr="00932406">
          <w:rPr>
            <w:rFonts w:cs="David"/>
            <w:noProof/>
            <w:color w:val="0000FF"/>
            <w:u w:val="single"/>
            <w:rtl/>
          </w:rPr>
          <w:t>סעיף 275</w:t>
        </w:r>
      </w:hyperlink>
      <w:r>
        <w:rPr>
          <w:rFonts w:cs="David" w:hint="cs"/>
          <w:noProof/>
          <w:rtl/>
        </w:rPr>
        <w:t xml:space="preserve"> ל</w:t>
      </w:r>
      <w:hyperlink r:id="rId49" w:history="1">
        <w:r w:rsidRPr="00655372">
          <w:rPr>
            <w:rFonts w:cs="David"/>
            <w:noProof/>
            <w:color w:val="0000FF"/>
            <w:u w:val="single"/>
            <w:rtl/>
          </w:rPr>
          <w:t>חוק העונשין</w:t>
        </w:r>
      </w:hyperlink>
      <w:r>
        <w:rPr>
          <w:rFonts w:cs="David" w:hint="cs"/>
          <w:noProof/>
          <w:rtl/>
        </w:rPr>
        <w:t xml:space="preserve">. מדובר בהחזקה של </w:t>
      </w:r>
      <w:r>
        <w:rPr>
          <w:rFonts w:cs="David" w:hint="cs"/>
          <w:b/>
          <w:bCs/>
          <w:noProof/>
          <w:rtl/>
        </w:rPr>
        <w:t xml:space="preserve">0.8939 גרם הירואין </w:t>
      </w:r>
      <w:r>
        <w:rPr>
          <w:rFonts w:cs="David" w:hint="cs"/>
          <w:noProof/>
          <w:rtl/>
        </w:rPr>
        <w:t>ומשהבחין בשוטרים זרק את הסם. העבירות בוצעו ביום 16.6.11.</w:t>
      </w:r>
    </w:p>
    <w:p w14:paraId="71F9BE48" w14:textId="77777777" w:rsidR="00D0331C" w:rsidRDefault="00655372">
      <w:pPr>
        <w:pStyle w:val="normal-p"/>
        <w:bidi/>
        <w:spacing w:line="360" w:lineRule="auto"/>
        <w:ind w:left="720"/>
        <w:jc w:val="both"/>
        <w:rPr>
          <w:rFonts w:cs="David"/>
          <w:noProof/>
          <w:u w:val="single"/>
        </w:rPr>
      </w:pPr>
      <w:r>
        <w:rPr>
          <w:rFonts w:cs="David" w:hint="cs"/>
          <w:noProof/>
          <w:u w:val="single"/>
          <w:rtl/>
        </w:rPr>
        <w:t>הרשעות שניתנו ביום 6.2.13</w:t>
      </w:r>
    </w:p>
    <w:p w14:paraId="1505D083" w14:textId="77777777" w:rsidR="00D0331C" w:rsidRDefault="00655372">
      <w:pPr>
        <w:pStyle w:val="normal-p"/>
        <w:bidi/>
        <w:spacing w:before="0" w:beforeAutospacing="0" w:after="0" w:afterAutospacing="0" w:line="360" w:lineRule="auto"/>
        <w:ind w:left="720" w:hanging="720"/>
        <w:jc w:val="both"/>
        <w:rPr>
          <w:rFonts w:cs="David"/>
          <w:noProof/>
          <w:rtl/>
        </w:rPr>
      </w:pPr>
      <w:r>
        <w:rPr>
          <w:rFonts w:cs="David" w:hint="cs"/>
          <w:b/>
          <w:bCs/>
          <w:noProof/>
          <w:rtl/>
        </w:rPr>
        <w:t>יב.</w:t>
      </w:r>
      <w:r>
        <w:rPr>
          <w:rFonts w:cs="David" w:hint="cs"/>
          <w:b/>
          <w:bCs/>
          <w:noProof/>
          <w:rtl/>
        </w:rPr>
        <w:tab/>
        <w:t>פ"א 43668/11 תחנת יפתח</w:t>
      </w:r>
      <w:r>
        <w:rPr>
          <w:rFonts w:cs="David" w:hint="cs"/>
          <w:noProof/>
          <w:rtl/>
        </w:rPr>
        <w:t xml:space="preserve"> - עבירה של החזקת סם מסוכן לצריכה עצמית, עבירה לפי </w:t>
      </w:r>
      <w:hyperlink r:id="rId50" w:history="1">
        <w:r w:rsidR="00932406" w:rsidRPr="00932406">
          <w:rPr>
            <w:rFonts w:cs="David"/>
            <w:noProof/>
            <w:color w:val="0000FF"/>
            <w:u w:val="single"/>
            <w:rtl/>
          </w:rPr>
          <w:t>סעיף 7(א)+(ג)</w:t>
        </w:r>
      </w:hyperlink>
      <w:r>
        <w:rPr>
          <w:rFonts w:cs="David" w:hint="cs"/>
          <w:rtl/>
        </w:rPr>
        <w:t xml:space="preserve"> סיפא לפקודת הסמים.</w:t>
      </w:r>
      <w:r>
        <w:rPr>
          <w:rFonts w:cs="David" w:hint="cs"/>
          <w:noProof/>
          <w:rtl/>
        </w:rPr>
        <w:t xml:space="preserve"> מדובר בהחזקה של </w:t>
      </w:r>
      <w:r>
        <w:rPr>
          <w:rFonts w:cs="David" w:hint="cs"/>
          <w:b/>
          <w:bCs/>
          <w:noProof/>
          <w:rtl/>
        </w:rPr>
        <w:t>0.6762 גרם הרואין</w:t>
      </w:r>
      <w:r>
        <w:rPr>
          <w:rFonts w:cs="David" w:hint="cs"/>
          <w:noProof/>
          <w:rtl/>
        </w:rPr>
        <w:t xml:space="preserve"> ושתי יחידות של מתוקסימתקאתינון. העבירה בוצעה ביום 13.8.11.</w:t>
      </w:r>
    </w:p>
    <w:p w14:paraId="1B1CEAEA" w14:textId="77777777" w:rsidR="00D0331C" w:rsidRDefault="00D0331C">
      <w:pPr>
        <w:pStyle w:val="normal-p"/>
        <w:bidi/>
        <w:spacing w:before="0" w:beforeAutospacing="0" w:after="0" w:afterAutospacing="0" w:line="360" w:lineRule="auto"/>
        <w:ind w:left="720" w:hanging="720"/>
        <w:jc w:val="both"/>
        <w:rPr>
          <w:rFonts w:cs="David"/>
          <w:b/>
          <w:bCs/>
          <w:noProof/>
          <w:rtl/>
        </w:rPr>
      </w:pPr>
    </w:p>
    <w:p w14:paraId="3F6CC4C3" w14:textId="77777777" w:rsidR="00D0331C" w:rsidRDefault="00655372">
      <w:pPr>
        <w:pStyle w:val="normal-p"/>
        <w:bidi/>
        <w:spacing w:before="0" w:beforeAutospacing="0" w:after="0" w:afterAutospacing="0" w:line="360" w:lineRule="auto"/>
        <w:ind w:left="720" w:hanging="720"/>
        <w:jc w:val="both"/>
        <w:rPr>
          <w:rFonts w:cs="David"/>
          <w:noProof/>
          <w:rtl/>
        </w:rPr>
      </w:pPr>
      <w:r>
        <w:rPr>
          <w:rFonts w:cs="David" w:hint="cs"/>
          <w:b/>
          <w:bCs/>
          <w:noProof/>
          <w:rtl/>
        </w:rPr>
        <w:t>יג.</w:t>
      </w:r>
      <w:r>
        <w:rPr>
          <w:rFonts w:cs="David" w:hint="cs"/>
          <w:b/>
          <w:bCs/>
          <w:noProof/>
          <w:rtl/>
        </w:rPr>
        <w:tab/>
      </w:r>
      <w:hyperlink r:id="rId51" w:history="1">
        <w:r w:rsidRPr="00655372">
          <w:rPr>
            <w:rFonts w:cs="David"/>
            <w:noProof/>
            <w:color w:val="0000FF"/>
            <w:u w:val="single"/>
            <w:rtl/>
          </w:rPr>
          <w:t>ת.פ 35715-01-13</w:t>
        </w:r>
      </w:hyperlink>
      <w:r>
        <w:rPr>
          <w:rFonts w:cs="David" w:hint="cs"/>
          <w:noProof/>
          <w:rtl/>
        </w:rPr>
        <w:t xml:space="preserve"> </w:t>
      </w:r>
      <w:r>
        <w:rPr>
          <w:rFonts w:cs="David" w:hint="cs"/>
          <w:b/>
          <w:bCs/>
          <w:rtl/>
        </w:rPr>
        <w:t>(שלום תל אביב) (מופיע בטבלת הצירוף כפ"א 41849/11 תחנת גלילות)</w:t>
      </w:r>
      <w:r>
        <w:rPr>
          <w:rFonts w:cs="David" w:hint="cs"/>
          <w:rtl/>
        </w:rPr>
        <w:t>–</w:t>
      </w:r>
      <w:r>
        <w:rPr>
          <w:rFonts w:cs="David" w:hint="cs"/>
          <w:noProof/>
          <w:rtl/>
        </w:rPr>
        <w:t xml:space="preserve"> עבירה של גניבת כרטיסי חיוב לפי </w:t>
      </w:r>
      <w:hyperlink r:id="rId52" w:history="1">
        <w:r w:rsidR="00932406" w:rsidRPr="00932406">
          <w:rPr>
            <w:rFonts w:cs="David"/>
            <w:noProof/>
            <w:color w:val="0000FF"/>
            <w:u w:val="single"/>
            <w:rtl/>
          </w:rPr>
          <w:t>סעיף 16</w:t>
        </w:r>
      </w:hyperlink>
      <w:r>
        <w:rPr>
          <w:rFonts w:cs="David" w:hint="cs"/>
          <w:noProof/>
          <w:rtl/>
        </w:rPr>
        <w:t xml:space="preserve"> ל</w:t>
      </w:r>
      <w:hyperlink r:id="rId53" w:history="1">
        <w:r w:rsidRPr="00655372">
          <w:rPr>
            <w:rFonts w:cs="David"/>
            <w:noProof/>
            <w:color w:val="0000FF"/>
            <w:u w:val="single"/>
            <w:rtl/>
          </w:rPr>
          <w:t>חוק כרטיסי חיוב</w:t>
        </w:r>
      </w:hyperlink>
      <w:r>
        <w:rPr>
          <w:rFonts w:cs="David" w:hint="cs"/>
          <w:noProof/>
          <w:rtl/>
        </w:rPr>
        <w:t xml:space="preserve">, תשמ"ו-1986, עבירה של הונאה בכרטיס חיוב, עבירה לפי </w:t>
      </w:r>
      <w:hyperlink r:id="rId54" w:history="1">
        <w:r w:rsidR="00932406" w:rsidRPr="00932406">
          <w:rPr>
            <w:rFonts w:cs="David"/>
            <w:noProof/>
            <w:color w:val="0000FF"/>
            <w:u w:val="single"/>
            <w:rtl/>
          </w:rPr>
          <w:t>סעיף 17</w:t>
        </w:r>
      </w:hyperlink>
      <w:r>
        <w:rPr>
          <w:rFonts w:cs="David" w:hint="cs"/>
          <w:noProof/>
          <w:rtl/>
        </w:rPr>
        <w:t xml:space="preserve"> לחוק כרטיסי חיוב ובעבירת גניבה, עבירה לפי </w:t>
      </w:r>
      <w:hyperlink r:id="rId55" w:history="1">
        <w:r w:rsidR="00932406" w:rsidRPr="00932406">
          <w:rPr>
            <w:rFonts w:cs="David"/>
            <w:noProof/>
            <w:color w:val="0000FF"/>
            <w:u w:val="single"/>
            <w:rtl/>
          </w:rPr>
          <w:t>סעיף 384</w:t>
        </w:r>
      </w:hyperlink>
      <w:r>
        <w:rPr>
          <w:rFonts w:cs="David" w:hint="cs"/>
          <w:noProof/>
          <w:rtl/>
        </w:rPr>
        <w:t xml:space="preserve"> ל</w:t>
      </w:r>
      <w:hyperlink r:id="rId56" w:history="1">
        <w:r w:rsidRPr="00655372">
          <w:rPr>
            <w:rFonts w:cs="David"/>
            <w:noProof/>
            <w:color w:val="0000FF"/>
            <w:u w:val="single"/>
            <w:rtl/>
          </w:rPr>
          <w:t>חוק העונשין</w:t>
        </w:r>
      </w:hyperlink>
      <w:r>
        <w:rPr>
          <w:rFonts w:cs="David" w:hint="cs"/>
          <w:noProof/>
          <w:rtl/>
        </w:rPr>
        <w:t>. מדובר בגניבה של טלפון נייד ושני כרטיסי אשראי מתיקה של המתלוננת בפאב "תיאודור" ברח' סוקולוב הרצליה, השתמש באחד מכרטיסי האשראי וניסה למשוך כסף בכספומט מכרטיס האשראי השני. העבירות בוצעו ביום 12.8.11.</w:t>
      </w:r>
    </w:p>
    <w:p w14:paraId="4AC537B1" w14:textId="77777777" w:rsidR="00D0331C" w:rsidRDefault="00D0331C">
      <w:pPr>
        <w:pStyle w:val="normal-p"/>
        <w:bidi/>
        <w:spacing w:before="0" w:beforeAutospacing="0" w:after="0" w:afterAutospacing="0" w:line="360" w:lineRule="auto"/>
        <w:jc w:val="both"/>
        <w:rPr>
          <w:rFonts w:cs="David"/>
          <w:b/>
          <w:bCs/>
          <w:noProof/>
          <w:rtl/>
        </w:rPr>
      </w:pPr>
    </w:p>
    <w:p w14:paraId="0AF66CC0" w14:textId="77777777" w:rsidR="00D0331C" w:rsidRDefault="00655372">
      <w:pPr>
        <w:pStyle w:val="normal-p"/>
        <w:bidi/>
        <w:spacing w:before="0" w:beforeAutospacing="0" w:after="0" w:afterAutospacing="0" w:line="360" w:lineRule="auto"/>
        <w:ind w:left="720" w:hanging="720"/>
        <w:jc w:val="both"/>
        <w:rPr>
          <w:rFonts w:cs="David"/>
          <w:noProof/>
          <w:rtl/>
        </w:rPr>
      </w:pPr>
      <w:r>
        <w:rPr>
          <w:rFonts w:cs="David" w:hint="cs"/>
          <w:b/>
          <w:bCs/>
          <w:noProof/>
          <w:rtl/>
        </w:rPr>
        <w:t>יד.</w:t>
      </w:r>
      <w:r>
        <w:rPr>
          <w:rFonts w:cs="David" w:hint="cs"/>
          <w:b/>
          <w:bCs/>
          <w:noProof/>
          <w:rtl/>
        </w:rPr>
        <w:tab/>
      </w:r>
      <w:hyperlink r:id="rId57" w:history="1">
        <w:r w:rsidRPr="00655372">
          <w:rPr>
            <w:rFonts w:cs="David"/>
            <w:noProof/>
            <w:color w:val="0000FF"/>
            <w:u w:val="single"/>
            <w:rtl/>
          </w:rPr>
          <w:t>ת.פ 54918-05-12</w:t>
        </w:r>
      </w:hyperlink>
      <w:r>
        <w:rPr>
          <w:rFonts w:cs="David" w:hint="cs"/>
          <w:noProof/>
          <w:rtl/>
        </w:rPr>
        <w:t xml:space="preserve"> </w:t>
      </w:r>
      <w:r>
        <w:rPr>
          <w:rFonts w:cs="David" w:hint="cs"/>
          <w:b/>
          <w:bCs/>
          <w:rtl/>
        </w:rPr>
        <w:t>(שלום תל אביב) (מופיע בטבלת הצירוף כפ"א 43132/11 תחנת יפתח)</w:t>
      </w:r>
      <w:r>
        <w:rPr>
          <w:rFonts w:cs="David" w:hint="cs"/>
          <w:rtl/>
        </w:rPr>
        <w:t>–</w:t>
      </w:r>
      <w:r>
        <w:rPr>
          <w:rFonts w:cs="David" w:hint="cs"/>
          <w:noProof/>
          <w:rtl/>
        </w:rPr>
        <w:t xml:space="preserve"> עבירה של החזקת סם מסוכן לצריכה עצמית, עבירה לפי </w:t>
      </w:r>
      <w:hyperlink r:id="rId58" w:history="1">
        <w:r w:rsidR="00932406" w:rsidRPr="00932406">
          <w:rPr>
            <w:rFonts w:cs="David"/>
            <w:noProof/>
            <w:color w:val="0000FF"/>
            <w:u w:val="single"/>
            <w:rtl/>
          </w:rPr>
          <w:t>סעיף 7(א)+(ג)</w:t>
        </w:r>
      </w:hyperlink>
      <w:r>
        <w:rPr>
          <w:rFonts w:cs="David" w:hint="cs"/>
          <w:rtl/>
        </w:rPr>
        <w:t xml:space="preserve"> סיפא לפקודת הסמים.</w:t>
      </w:r>
      <w:r>
        <w:rPr>
          <w:rFonts w:cs="David" w:hint="cs"/>
          <w:noProof/>
          <w:rtl/>
        </w:rPr>
        <w:t xml:space="preserve"> מדובר בהחזקה של 3 טבליות מתוקסימתקאתינון. העבירה בוצעה ביום 31.7.11</w:t>
      </w:r>
    </w:p>
    <w:p w14:paraId="2AB6C75C" w14:textId="77777777" w:rsidR="00D0331C" w:rsidRDefault="00655372">
      <w:pPr>
        <w:pStyle w:val="normal-p"/>
        <w:bidi/>
        <w:spacing w:line="360" w:lineRule="auto"/>
        <w:ind w:left="720"/>
        <w:jc w:val="both"/>
        <w:rPr>
          <w:rFonts w:cs="David"/>
          <w:noProof/>
          <w:u w:val="single"/>
          <w:rtl/>
        </w:rPr>
      </w:pPr>
      <w:r>
        <w:rPr>
          <w:rFonts w:cs="David" w:hint="cs"/>
          <w:noProof/>
          <w:u w:val="single"/>
          <w:rtl/>
        </w:rPr>
        <w:t>הרשעה שניתנה ביום 8.7.13</w:t>
      </w:r>
    </w:p>
    <w:p w14:paraId="410AE472" w14:textId="77777777" w:rsidR="00D0331C" w:rsidRDefault="00655372">
      <w:pPr>
        <w:pStyle w:val="normal-p"/>
        <w:bidi/>
        <w:spacing w:before="0" w:beforeAutospacing="0" w:after="0" w:afterAutospacing="0" w:line="360" w:lineRule="auto"/>
        <w:ind w:left="720" w:hanging="720"/>
        <w:jc w:val="both"/>
        <w:rPr>
          <w:rFonts w:cs="David"/>
          <w:noProof/>
          <w:rtl/>
        </w:rPr>
      </w:pPr>
      <w:r>
        <w:rPr>
          <w:rFonts w:cs="David" w:hint="cs"/>
          <w:b/>
          <w:bCs/>
          <w:noProof/>
          <w:rtl/>
        </w:rPr>
        <w:t>טו.</w:t>
      </w:r>
      <w:r>
        <w:rPr>
          <w:rFonts w:cs="David" w:hint="cs"/>
          <w:b/>
          <w:bCs/>
          <w:noProof/>
          <w:rtl/>
        </w:rPr>
        <w:tab/>
      </w:r>
      <w:hyperlink r:id="rId59" w:history="1">
        <w:r w:rsidRPr="00655372">
          <w:rPr>
            <w:rFonts w:cs="David"/>
            <w:b/>
            <w:bCs/>
            <w:noProof/>
            <w:color w:val="0000FF"/>
            <w:u w:val="single"/>
            <w:rtl/>
          </w:rPr>
          <w:t>ת.פ 35858-06-13</w:t>
        </w:r>
      </w:hyperlink>
      <w:r>
        <w:rPr>
          <w:rFonts w:cs="David" w:hint="cs"/>
          <w:b/>
          <w:bCs/>
          <w:noProof/>
          <w:rtl/>
        </w:rPr>
        <w:t xml:space="preserve"> </w:t>
      </w:r>
      <w:r>
        <w:rPr>
          <w:rFonts w:cs="David" w:hint="cs"/>
          <w:b/>
          <w:bCs/>
          <w:rtl/>
        </w:rPr>
        <w:t>(שלום תל אביב)</w:t>
      </w:r>
      <w:r>
        <w:rPr>
          <w:rFonts w:cs="David" w:hint="cs"/>
          <w:b/>
          <w:bCs/>
          <w:noProof/>
          <w:rtl/>
        </w:rPr>
        <w:t xml:space="preserve"> – </w:t>
      </w:r>
      <w:r>
        <w:rPr>
          <w:rFonts w:cs="David" w:hint="cs"/>
          <w:noProof/>
          <w:rtl/>
        </w:rPr>
        <w:t xml:space="preserve">עבירה של התפרצות לדירת מגורים, עבירה לפי </w:t>
      </w:r>
      <w:hyperlink r:id="rId60" w:history="1">
        <w:r w:rsidR="00932406" w:rsidRPr="00932406">
          <w:rPr>
            <w:rFonts w:cs="David"/>
            <w:noProof/>
            <w:color w:val="0000FF"/>
            <w:u w:val="single"/>
            <w:rtl/>
          </w:rPr>
          <w:t>סעיף 406(ב)</w:t>
        </w:r>
      </w:hyperlink>
      <w:r>
        <w:rPr>
          <w:rFonts w:cs="David" w:hint="cs"/>
          <w:noProof/>
          <w:rtl/>
        </w:rPr>
        <w:t xml:space="preserve"> ל</w:t>
      </w:r>
      <w:hyperlink r:id="rId61" w:history="1">
        <w:r w:rsidRPr="00655372">
          <w:rPr>
            <w:rFonts w:cs="David"/>
            <w:noProof/>
            <w:color w:val="0000FF"/>
            <w:u w:val="single"/>
            <w:rtl/>
          </w:rPr>
          <w:t>חוק העונשין</w:t>
        </w:r>
      </w:hyperlink>
      <w:r>
        <w:rPr>
          <w:rFonts w:cs="David" w:hint="cs"/>
          <w:noProof/>
          <w:rtl/>
        </w:rPr>
        <w:t>. הנאשם פתח את חלון הסלון ונכנס דרכו אל הדירה. בעל הדירה התעורר משנתו, ראה את הנאשם בסלון ושאל לפשר מעשיו, כאשר לאחר מכן עזב הנאשם את הדירה. העבירה בוצעה ביום 10.7.11.</w:t>
      </w:r>
    </w:p>
    <w:p w14:paraId="59EAC2F4" w14:textId="77777777" w:rsidR="00D0331C" w:rsidRDefault="00655372">
      <w:pPr>
        <w:spacing w:line="360" w:lineRule="auto"/>
        <w:ind w:left="720" w:hanging="720"/>
        <w:jc w:val="both"/>
        <w:rPr>
          <w:rtl/>
        </w:rPr>
      </w:pPr>
      <w:r>
        <w:rPr>
          <w:rFonts w:hint="cs"/>
          <w:rtl/>
        </w:rPr>
        <w:tab/>
      </w:r>
    </w:p>
    <w:p w14:paraId="1E45E6CE" w14:textId="77777777" w:rsidR="00D0331C" w:rsidRDefault="00D0331C">
      <w:pPr>
        <w:spacing w:line="360" w:lineRule="auto"/>
        <w:ind w:left="720"/>
        <w:jc w:val="both"/>
        <w:rPr>
          <w:b/>
          <w:bCs/>
          <w:u w:val="single"/>
          <w:rtl/>
        </w:rPr>
      </w:pPr>
    </w:p>
    <w:p w14:paraId="7AB43058" w14:textId="77777777" w:rsidR="00D0331C" w:rsidRDefault="00655372">
      <w:pPr>
        <w:spacing w:line="360" w:lineRule="auto"/>
        <w:ind w:left="720"/>
        <w:jc w:val="both"/>
        <w:rPr>
          <w:b/>
          <w:bCs/>
          <w:u w:val="single"/>
          <w:rtl/>
        </w:rPr>
      </w:pPr>
      <w:r>
        <w:rPr>
          <w:rFonts w:hint="cs"/>
          <w:b/>
          <w:bCs/>
          <w:u w:val="single"/>
          <w:rtl/>
        </w:rPr>
        <w:t>השתלשלות האירועים טרם ניתן גזר הדין הראשון</w:t>
      </w:r>
    </w:p>
    <w:p w14:paraId="6DAF930E" w14:textId="77777777" w:rsidR="00D0331C" w:rsidRDefault="00D0331C">
      <w:pPr>
        <w:spacing w:line="360" w:lineRule="auto"/>
        <w:ind w:left="720" w:hanging="720"/>
        <w:jc w:val="both"/>
        <w:rPr>
          <w:rtl/>
        </w:rPr>
      </w:pPr>
    </w:p>
    <w:p w14:paraId="03A9804B" w14:textId="77777777" w:rsidR="00D0331C" w:rsidRDefault="00655372">
      <w:pPr>
        <w:spacing w:line="360" w:lineRule="auto"/>
        <w:ind w:left="720" w:hanging="720"/>
        <w:jc w:val="both"/>
        <w:rPr>
          <w:rtl/>
        </w:rPr>
      </w:pPr>
      <w:r>
        <w:rPr>
          <w:rFonts w:hint="cs"/>
          <w:rtl/>
        </w:rPr>
        <w:t>3.</w:t>
      </w:r>
      <w:r>
        <w:rPr>
          <w:rFonts w:hint="cs"/>
          <w:rtl/>
        </w:rPr>
        <w:tab/>
        <w:t xml:space="preserve">הנאשם הודה בדיון הראשון ביום 17.2.10 בכתב האישום המקורי בתיק זה. עוד באותו היום נשלח הנאשם לתסקיר שירות מבחן טרם טיעונים לעונש. </w:t>
      </w:r>
    </w:p>
    <w:p w14:paraId="18AB68A2" w14:textId="77777777" w:rsidR="00D0331C" w:rsidRDefault="00D0331C">
      <w:pPr>
        <w:spacing w:line="360" w:lineRule="auto"/>
        <w:ind w:left="720" w:hanging="720"/>
        <w:jc w:val="both"/>
        <w:rPr>
          <w:rtl/>
        </w:rPr>
      </w:pPr>
    </w:p>
    <w:p w14:paraId="02D9C8DA" w14:textId="77777777" w:rsidR="00D0331C" w:rsidRDefault="00655372">
      <w:pPr>
        <w:spacing w:line="360" w:lineRule="auto"/>
        <w:ind w:left="720" w:hanging="720"/>
        <w:jc w:val="both"/>
        <w:rPr>
          <w:rtl/>
        </w:rPr>
      </w:pPr>
      <w:r>
        <w:rPr>
          <w:rFonts w:hint="cs"/>
          <w:rtl/>
        </w:rPr>
        <w:tab/>
        <w:t>שירות המבחן בתסקירו מיום 2.3.10 סקר את נתוניו האישיים של הנאשם: הנאשם, רווק, יליד גיאורגיה, עלה עם אמו לארץ בשנת 1996. הוריו התגרשו בהיותו כבן 9. הנאשם סיים 9 שנות לימוד, קיבל פטור משירות צבאי ככל הנראה בשל עברו הפלילי. לאחר עלייתו של הנאשם ארצה, למד חצי שנה באולפן ובהמשך למד שנה בכיתה ט' בבית ספר תיכון בבת-ים. לדברי הנאשם באותה העת החל להשתמש לראשונה בחייו בסמים מסוג קנאביס ולהתחבר לחברה שולית. בהמשך עזב הנאשם את לימודיו לאור מעורבותו בתגרה אלימה ושהייתו במעצר בית, העמיק התמכרותו לסמים והחל להסתבך בפלילים. בשנת 2000 עברה המשפחה להתגורר בהרצליה כדי להרחיק את הנאשם מהחברה השולית אליה חבר. בשנים הללו החל לעשן סמים מסוג הרואין, קוקאין וקריסטל. על מנת לממן את השימוש בסם עבד בעבודות שונות ובמקביל החל לבצע עבירות גניבה. הנאשם עבר מספר נסיונות גמילה מסמים במהלך השנים. הנאשם לוקח אחריות על ביצוע העבירות אשר בוצעו על רקע שימוש בסמים. שירות המבחן המליץ שהנאשם יצא לראיון בקהילת הדרך.</w:t>
      </w:r>
    </w:p>
    <w:p w14:paraId="77FAF6EF" w14:textId="77777777" w:rsidR="00D0331C" w:rsidRDefault="00D0331C">
      <w:pPr>
        <w:spacing w:line="360" w:lineRule="auto"/>
        <w:ind w:left="720" w:hanging="720"/>
        <w:jc w:val="both"/>
        <w:rPr>
          <w:rtl/>
        </w:rPr>
      </w:pPr>
    </w:p>
    <w:p w14:paraId="71E02150" w14:textId="77777777" w:rsidR="00D0331C" w:rsidRDefault="00655372">
      <w:pPr>
        <w:spacing w:line="360" w:lineRule="auto"/>
        <w:ind w:left="720" w:hanging="720"/>
        <w:jc w:val="both"/>
        <w:rPr>
          <w:rtl/>
        </w:rPr>
      </w:pPr>
      <w:r>
        <w:rPr>
          <w:rFonts w:hint="cs"/>
          <w:rtl/>
        </w:rPr>
        <w:tab/>
        <w:t xml:space="preserve">נוכח המלצת שירות המבחן, ועמדת המותב שדן באותה העת בעניין, הורה בית המשפט על שחרורו של הנאשם לקהילת "הדרך" והנאשם אכן נקלט בקהילה ביום 11.4.2010. </w:t>
      </w:r>
    </w:p>
    <w:p w14:paraId="3E6AFFF6" w14:textId="77777777" w:rsidR="00D0331C" w:rsidRDefault="00D0331C">
      <w:pPr>
        <w:spacing w:line="360" w:lineRule="auto"/>
        <w:ind w:left="720" w:hanging="720"/>
        <w:jc w:val="both"/>
        <w:rPr>
          <w:rtl/>
        </w:rPr>
      </w:pPr>
    </w:p>
    <w:p w14:paraId="29EA4A9F" w14:textId="77777777" w:rsidR="00D0331C" w:rsidRDefault="00655372">
      <w:pPr>
        <w:spacing w:line="360" w:lineRule="auto"/>
        <w:ind w:left="720" w:hanging="720"/>
        <w:jc w:val="both"/>
        <w:rPr>
          <w:rtl/>
        </w:rPr>
      </w:pPr>
      <w:r>
        <w:rPr>
          <w:rFonts w:hint="cs"/>
          <w:rtl/>
        </w:rPr>
        <w:tab/>
        <w:t xml:space="preserve">8 חודשים לאחר מועד קליטתו בקהילה, הוחלט בקהילה על הפסקת הטיפול בנאשם בשל הפרת כללי המקום האוסרת מעורבות ריגשית עם מטופלות. שירות המבחן המליץ על דחייה בת מספר חודשים וזאת לצורך בחינת האפשרות לשילובו של הנאשם במסגרת טיפולית פתוחה. </w:t>
      </w:r>
    </w:p>
    <w:p w14:paraId="1C3D8FD4" w14:textId="77777777" w:rsidR="00D0331C" w:rsidRDefault="00D0331C">
      <w:pPr>
        <w:spacing w:line="360" w:lineRule="auto"/>
        <w:ind w:left="720"/>
        <w:jc w:val="both"/>
        <w:rPr>
          <w:rtl/>
        </w:rPr>
      </w:pPr>
    </w:p>
    <w:p w14:paraId="00C3783C" w14:textId="77777777" w:rsidR="00D0331C" w:rsidRDefault="00655372">
      <w:pPr>
        <w:spacing w:line="360" w:lineRule="auto"/>
        <w:ind w:left="720" w:hanging="720"/>
        <w:jc w:val="both"/>
        <w:rPr>
          <w:rtl/>
        </w:rPr>
      </w:pPr>
      <w:r>
        <w:rPr>
          <w:rFonts w:hint="cs"/>
          <w:rtl/>
        </w:rPr>
        <w:tab/>
        <w:t>בהמשך, ולאור העובדה כי השכיל הנאשם לשמור על קשר עם שירות המבחן ועל ניקיון מסמים, הונחו בפני בית המשפט תסקירים נוספים אשר המליצו על המשך הקשר עם גורמי הטיפול.</w:t>
      </w:r>
    </w:p>
    <w:p w14:paraId="65E83C75" w14:textId="77777777" w:rsidR="00D0331C" w:rsidRDefault="00D0331C">
      <w:pPr>
        <w:spacing w:line="360" w:lineRule="auto"/>
        <w:ind w:left="720"/>
        <w:jc w:val="both"/>
        <w:rPr>
          <w:rtl/>
        </w:rPr>
      </w:pPr>
    </w:p>
    <w:p w14:paraId="19644A38" w14:textId="77777777" w:rsidR="00D0331C" w:rsidRDefault="00655372">
      <w:pPr>
        <w:spacing w:line="360" w:lineRule="auto"/>
        <w:ind w:left="720" w:hanging="720"/>
        <w:jc w:val="both"/>
        <w:rPr>
          <w:rtl/>
        </w:rPr>
      </w:pPr>
      <w:r>
        <w:rPr>
          <w:rFonts w:hint="cs"/>
          <w:rtl/>
        </w:rPr>
        <w:tab/>
        <w:t xml:space="preserve">מתסקירי שירות המבחן מיום 6.7.11 ומיום 6.9.11 עולה כי במהלך חודש מאי החל מצבו של הנאשם להתדרדר, הוא חזר להשתמש בסמים ונפתחו כנגדו 2 תיקים. הנאשם פנה עצמאית לאשפוזית "צעדים" ואף נקלט במסגרתה, אולם עזב את התכנית לאחר פחות מחודש ימים ואף ניתק את הקשר עם שירות המבחן.  </w:t>
      </w:r>
    </w:p>
    <w:p w14:paraId="378012FF" w14:textId="77777777" w:rsidR="00D0331C" w:rsidRDefault="00D0331C">
      <w:pPr>
        <w:spacing w:line="360" w:lineRule="auto"/>
        <w:ind w:left="720"/>
        <w:jc w:val="both"/>
        <w:rPr>
          <w:rtl/>
        </w:rPr>
      </w:pPr>
    </w:p>
    <w:p w14:paraId="47659382" w14:textId="77777777" w:rsidR="00D0331C" w:rsidRDefault="00655372">
      <w:pPr>
        <w:spacing w:line="360" w:lineRule="auto"/>
        <w:ind w:left="720"/>
        <w:jc w:val="both"/>
        <w:rPr>
          <w:rtl/>
        </w:rPr>
      </w:pPr>
      <w:r>
        <w:rPr>
          <w:rFonts w:hint="cs"/>
          <w:rtl/>
        </w:rPr>
        <w:t>בשלב מאוחר יותר הנאשם נעצר, אולם גם באותה נקודת זמן, ובהסכמת הצדדים, הופנה הנאשם לשירות המבחן ובהמשך, ביום 19.2.12</w:t>
      </w:r>
      <w:r>
        <w:rPr>
          <w:rtl/>
        </w:rPr>
        <w:t>–</w:t>
      </w:r>
      <w:r>
        <w:rPr>
          <w:rFonts w:hint="cs"/>
          <w:rtl/>
        </w:rPr>
        <w:t xml:space="preserve"> שוחרר ל"סיבוב נוסף" בקהילה טיפולית אחרת (מלכישוע).</w:t>
      </w:r>
    </w:p>
    <w:p w14:paraId="1ED8B806" w14:textId="77777777" w:rsidR="00D0331C" w:rsidRDefault="00D0331C">
      <w:pPr>
        <w:spacing w:line="360" w:lineRule="auto"/>
        <w:ind w:left="720"/>
        <w:jc w:val="both"/>
        <w:rPr>
          <w:rtl/>
        </w:rPr>
      </w:pPr>
    </w:p>
    <w:p w14:paraId="7B1870D4" w14:textId="77777777" w:rsidR="00D0331C" w:rsidRDefault="00655372">
      <w:pPr>
        <w:spacing w:line="360" w:lineRule="auto"/>
        <w:ind w:left="720" w:hanging="720"/>
        <w:jc w:val="both"/>
        <w:rPr>
          <w:rtl/>
        </w:rPr>
      </w:pPr>
      <w:r>
        <w:rPr>
          <w:rFonts w:hint="cs"/>
          <w:rtl/>
        </w:rPr>
        <w:tab/>
        <w:t xml:space="preserve">הנאשם סיים שנת טיפול מוצלחת בקהילת "מלכישוע", ולאור המלצת שירות המבחן, ועמדתם המשותפת (והראויה </w:t>
      </w:r>
      <w:r>
        <w:rPr>
          <w:rtl/>
        </w:rPr>
        <w:t>–</w:t>
      </w:r>
      <w:r>
        <w:rPr>
          <w:rFonts w:hint="cs"/>
          <w:rtl/>
        </w:rPr>
        <w:t xml:space="preserve"> נכון לאותה העת) של הצדדים, ניתן ביום 8.7.13 גזר דין, במסגרתו הועמד הנאשם בפיקוח שירות מבחן לתקופה של 12 חודשים, וזאת לצד הוראה בדבר הארכת המאסר המותנה שהיה תלוי ועומד כנגדו.</w:t>
      </w:r>
    </w:p>
    <w:p w14:paraId="73AD6D1F" w14:textId="77777777" w:rsidR="00D0331C" w:rsidRDefault="00D0331C">
      <w:pPr>
        <w:spacing w:line="360" w:lineRule="auto"/>
        <w:ind w:left="720"/>
        <w:jc w:val="both"/>
        <w:rPr>
          <w:rtl/>
        </w:rPr>
      </w:pPr>
    </w:p>
    <w:p w14:paraId="5F40450E" w14:textId="77777777" w:rsidR="00D0331C" w:rsidRDefault="00655372">
      <w:pPr>
        <w:spacing w:line="360" w:lineRule="auto"/>
        <w:ind w:left="720"/>
        <w:jc w:val="both"/>
        <w:rPr>
          <w:rtl/>
        </w:rPr>
      </w:pPr>
      <w:r>
        <w:rPr>
          <w:rFonts w:hint="cs"/>
          <w:rtl/>
        </w:rPr>
        <w:t xml:space="preserve">בחודש אפריל 2014 חלה נסיגה לשימוש בסמים והנאשם ניתק קשר עם שירות המבחן. מאוחר יותר חודש הקשר, והנאשם נמצא נקי מסמים, ועל כן, ובהתאם להמלצת קצינת המבחן, בחרתי שלא להפקיע את צו המבחן כבר אז, אלא להעניק לנאשם הזדמנות נוספת ועל כן הוריתי על הארכת תוקף הצו בחצי שנה (החלטה מיום 24.6.14). </w:t>
      </w:r>
    </w:p>
    <w:p w14:paraId="3FA62199" w14:textId="77777777" w:rsidR="00D0331C" w:rsidRDefault="00D0331C">
      <w:pPr>
        <w:spacing w:line="360" w:lineRule="auto"/>
        <w:ind w:left="720"/>
        <w:jc w:val="both"/>
        <w:rPr>
          <w:rtl/>
        </w:rPr>
      </w:pPr>
    </w:p>
    <w:p w14:paraId="6363B98E" w14:textId="77777777" w:rsidR="00D0331C" w:rsidRDefault="00655372">
      <w:pPr>
        <w:spacing w:line="360" w:lineRule="auto"/>
        <w:ind w:left="720"/>
        <w:jc w:val="both"/>
        <w:rPr>
          <w:b/>
          <w:bCs/>
          <w:u w:val="single"/>
          <w:rtl/>
        </w:rPr>
      </w:pPr>
      <w:r>
        <w:rPr>
          <w:rFonts w:hint="cs"/>
          <w:b/>
          <w:bCs/>
          <w:u w:val="single"/>
          <w:rtl/>
        </w:rPr>
        <w:t>הבקשה שלפניי</w:t>
      </w:r>
    </w:p>
    <w:p w14:paraId="03D267AA" w14:textId="77777777" w:rsidR="00D0331C" w:rsidRDefault="00D0331C">
      <w:pPr>
        <w:spacing w:line="360" w:lineRule="auto"/>
        <w:ind w:left="720"/>
        <w:jc w:val="both"/>
        <w:rPr>
          <w:rtl/>
        </w:rPr>
      </w:pPr>
    </w:p>
    <w:p w14:paraId="39DF8786" w14:textId="77777777" w:rsidR="00D0331C" w:rsidRDefault="00655372">
      <w:pPr>
        <w:spacing w:line="360" w:lineRule="auto"/>
        <w:ind w:left="720" w:hanging="720"/>
        <w:jc w:val="both"/>
        <w:rPr>
          <w:rtl/>
        </w:rPr>
      </w:pPr>
      <w:r>
        <w:rPr>
          <w:rFonts w:hint="cs"/>
          <w:rtl/>
        </w:rPr>
        <w:t>4.</w:t>
      </w:r>
      <w:r>
        <w:rPr>
          <w:rFonts w:hint="cs"/>
          <w:rtl/>
        </w:rPr>
        <w:tab/>
        <w:t>ביום 22.7.14 התקבלה בקשה משירות המבחן להפקעת הצו, שכן התברר כי הנאשם ביצע עבירות בתקופת המבחן, הורשע, ונדון לעונש של 8 חודשי מאסר בפועל (בית משפט השלום בחדרה).</w:t>
      </w:r>
    </w:p>
    <w:p w14:paraId="4F5F044F" w14:textId="77777777" w:rsidR="00D0331C" w:rsidRDefault="00D0331C">
      <w:pPr>
        <w:spacing w:line="360" w:lineRule="auto"/>
        <w:ind w:left="720"/>
        <w:jc w:val="both"/>
        <w:rPr>
          <w:rtl/>
        </w:rPr>
      </w:pPr>
    </w:p>
    <w:p w14:paraId="0B35225E" w14:textId="77777777" w:rsidR="00D0331C" w:rsidRDefault="00655372">
      <w:pPr>
        <w:spacing w:line="360" w:lineRule="auto"/>
        <w:ind w:left="720"/>
        <w:jc w:val="both"/>
        <w:rPr>
          <w:u w:val="single"/>
          <w:rtl/>
        </w:rPr>
      </w:pPr>
      <w:r>
        <w:rPr>
          <w:rFonts w:hint="cs"/>
          <w:b/>
          <w:bCs/>
          <w:u w:val="single"/>
          <w:rtl/>
        </w:rPr>
        <w:t>תמצית טיעוני הצדדים לעונש</w:t>
      </w:r>
    </w:p>
    <w:p w14:paraId="1074378F" w14:textId="77777777" w:rsidR="00D0331C" w:rsidRDefault="00D0331C">
      <w:pPr>
        <w:spacing w:line="360" w:lineRule="auto"/>
        <w:ind w:left="720"/>
        <w:jc w:val="both"/>
        <w:rPr>
          <w:rtl/>
        </w:rPr>
      </w:pPr>
    </w:p>
    <w:p w14:paraId="55842065" w14:textId="77777777" w:rsidR="00D0331C" w:rsidRDefault="00655372">
      <w:pPr>
        <w:spacing w:line="360" w:lineRule="auto"/>
        <w:ind w:left="720" w:hanging="720"/>
        <w:jc w:val="both"/>
        <w:rPr>
          <w:rtl/>
        </w:rPr>
      </w:pPr>
      <w:r>
        <w:rPr>
          <w:rFonts w:hint="cs"/>
          <w:rtl/>
        </w:rPr>
        <w:t>5.</w:t>
      </w:r>
      <w:r>
        <w:rPr>
          <w:rFonts w:hint="cs"/>
          <w:rtl/>
        </w:rPr>
        <w:tab/>
      </w:r>
      <w:r>
        <w:rPr>
          <w:rFonts w:hint="cs"/>
          <w:b/>
          <w:bCs/>
          <w:rtl/>
        </w:rPr>
        <w:t>ב"כ התביעה</w:t>
      </w:r>
      <w:r>
        <w:rPr>
          <w:rFonts w:hint="cs"/>
          <w:rtl/>
        </w:rPr>
        <w:t>, עו"ד עומר סגל, סבר כי על אף שרוב הרשעותיו של הנאשם ניתנו עובר למועד כניסתו לתוקף של תיקון 113, יש להחיל את עקרונות התיקון גם על אותן עבירות. באופן ממוקד יותר, ביקש התובע לקבוע את המתחמים הבאים: התפרצות לדירה - 12-24 חודשים, התפרצות לעסק 6-12 חודשים, החזקת סם שלא לצריכה עצמית - 18-36 חודשים, גניבה - מאסר קצר עד 6 חודשים, החזקת סם לצריכה עצמית - מאסר על תנאי עד 6 חודשים והחזקת סכין למטרה לא כשרה - חודש עד 6 חודשים.</w:t>
      </w:r>
    </w:p>
    <w:p w14:paraId="48DBAC6A" w14:textId="77777777" w:rsidR="00D0331C" w:rsidRDefault="00655372">
      <w:pPr>
        <w:spacing w:line="360" w:lineRule="auto"/>
        <w:ind w:left="720"/>
        <w:jc w:val="both"/>
        <w:rPr>
          <w:rtl/>
        </w:rPr>
      </w:pPr>
      <w:r>
        <w:rPr>
          <w:rFonts w:hint="cs"/>
          <w:rtl/>
        </w:rPr>
        <w:t xml:space="preserve"> </w:t>
      </w:r>
    </w:p>
    <w:p w14:paraId="2E7243AA" w14:textId="77777777" w:rsidR="00D0331C" w:rsidRDefault="00655372">
      <w:pPr>
        <w:spacing w:line="360" w:lineRule="auto"/>
        <w:ind w:left="720"/>
        <w:jc w:val="both"/>
        <w:rPr>
          <w:rtl/>
        </w:rPr>
      </w:pPr>
      <w:r>
        <w:rPr>
          <w:rFonts w:hint="cs"/>
          <w:rtl/>
        </w:rPr>
        <w:t xml:space="preserve">התובע הסביר כי לאור עברו הפלילי של הנאשם, הכולל 9 הרשעות קודמות, ומאסר על תנאי בן 12 חודשים, ובשים לב לכשלון ההליך הטיפולי - יש מקום לגזור על הנאשם עונש מאסר ממושך בן 59 חודשים, ובנוסף, יש להפעיל את המאסר המותנה במצטבר. </w:t>
      </w:r>
    </w:p>
    <w:p w14:paraId="709A8C79" w14:textId="77777777" w:rsidR="00D0331C" w:rsidRDefault="00D0331C">
      <w:pPr>
        <w:spacing w:line="360" w:lineRule="auto"/>
        <w:ind w:left="720"/>
        <w:jc w:val="both"/>
        <w:rPr>
          <w:rtl/>
        </w:rPr>
      </w:pPr>
    </w:p>
    <w:p w14:paraId="740BF53D" w14:textId="77777777" w:rsidR="00D0331C" w:rsidRDefault="00655372">
      <w:pPr>
        <w:spacing w:line="360" w:lineRule="auto"/>
        <w:ind w:left="720" w:hanging="720"/>
        <w:jc w:val="both"/>
        <w:rPr>
          <w:rtl/>
        </w:rPr>
      </w:pPr>
      <w:r>
        <w:rPr>
          <w:rFonts w:hint="cs"/>
          <w:rtl/>
        </w:rPr>
        <w:t>6.</w:t>
      </w:r>
      <w:r>
        <w:rPr>
          <w:rFonts w:hint="cs"/>
          <w:rtl/>
        </w:rPr>
        <w:tab/>
      </w:r>
      <w:r>
        <w:rPr>
          <w:rFonts w:hint="cs"/>
          <w:b/>
          <w:bCs/>
          <w:rtl/>
        </w:rPr>
        <w:t>הסניגורית</w:t>
      </w:r>
      <w:r>
        <w:rPr>
          <w:rFonts w:hint="cs"/>
          <w:rtl/>
        </w:rPr>
        <w:t xml:space="preserve">, עו"ד נאוה דהאן, סקרה את נתוניו האישיים הקשים של הנאשם ואת התמודדתו עם ההתמכרות לסמים בעשור האחרון הכוללים ניסיונות שיקום, והסבירה כי הרקע לביצוע העבירה בעטיה מופקע צו המבחן הוא קשר רומנטי אשר במסגרתו הרתה זוגתו של הנאשם. נטען כי הנאשם היה נתון בלחץ רב, מעד וחזר לסם. עוד ביקשה הסניגורית ליתן משקל מוגבר להודאת הנאשם, בוודאי כאשר מדובר בהליך כולל של צירוף תיקים. הסניגורית ביקשה להתחשב בעובדה כי "המעידה" הנוכחית התרחשה כשבועיים לפני תום תקופת הפיקוח במסגרת הארכה. באשר לכשלון ההליך השיקומי </w:t>
      </w:r>
      <w:r>
        <w:rPr>
          <w:rtl/>
        </w:rPr>
        <w:t>–</w:t>
      </w:r>
      <w:r>
        <w:rPr>
          <w:rFonts w:hint="cs"/>
          <w:rtl/>
        </w:rPr>
        <w:t xml:space="preserve"> הסניגורית סברה כי אף שבשורה התחתונה חזר הנאשם לשימוש בסם, אין להתעלם, במסגרת שיקולי הענישה, מנסיונות המשמעותיים לעבור שיקום, הכוללים שתי תקופות לא קלות בקהילות טיפוליות סגורות. </w:t>
      </w:r>
    </w:p>
    <w:p w14:paraId="09CC2BF6" w14:textId="77777777" w:rsidR="00D0331C" w:rsidRDefault="00D0331C">
      <w:pPr>
        <w:spacing w:line="360" w:lineRule="auto"/>
        <w:ind w:left="720" w:hanging="720"/>
        <w:jc w:val="both"/>
        <w:rPr>
          <w:rtl/>
        </w:rPr>
      </w:pPr>
    </w:p>
    <w:p w14:paraId="78BF2726" w14:textId="77777777" w:rsidR="00D0331C" w:rsidRDefault="00655372">
      <w:pPr>
        <w:spacing w:line="360" w:lineRule="auto"/>
        <w:ind w:left="720" w:hanging="720"/>
        <w:jc w:val="both"/>
        <w:rPr>
          <w:rtl/>
        </w:rPr>
      </w:pPr>
      <w:r>
        <w:rPr>
          <w:rFonts w:hint="cs"/>
          <w:rtl/>
        </w:rPr>
        <w:tab/>
        <w:t xml:space="preserve">הנאשם, טרם גזירת דינו, העביר לעיוני מכתב המתאר את נסיבות חייו וביקש כי העונש שיוטל עליו לא יגרום לכך שמשך זמן ארוך הוא לא יוכל לראות את ילדתו הצפויה להיוולד. </w:t>
      </w:r>
    </w:p>
    <w:p w14:paraId="584DD224" w14:textId="77777777" w:rsidR="00D0331C" w:rsidRDefault="00D0331C">
      <w:pPr>
        <w:spacing w:line="360" w:lineRule="auto"/>
        <w:ind w:left="720" w:hanging="720"/>
        <w:jc w:val="both"/>
        <w:rPr>
          <w:rtl/>
        </w:rPr>
      </w:pPr>
    </w:p>
    <w:p w14:paraId="3C839A4D" w14:textId="77777777" w:rsidR="00D0331C" w:rsidRDefault="00D0331C">
      <w:pPr>
        <w:spacing w:line="360" w:lineRule="auto"/>
        <w:ind w:left="720"/>
        <w:jc w:val="both"/>
        <w:rPr>
          <w:b/>
          <w:bCs/>
          <w:u w:val="single"/>
          <w:rtl/>
        </w:rPr>
      </w:pPr>
    </w:p>
    <w:p w14:paraId="1FC3530B" w14:textId="77777777" w:rsidR="00D0331C" w:rsidRDefault="00655372">
      <w:pPr>
        <w:spacing w:line="360" w:lineRule="auto"/>
        <w:ind w:left="720"/>
        <w:jc w:val="both"/>
        <w:rPr>
          <w:b/>
          <w:bCs/>
          <w:u w:val="single"/>
          <w:rtl/>
        </w:rPr>
      </w:pPr>
      <w:r>
        <w:rPr>
          <w:rFonts w:hint="cs"/>
          <w:b/>
          <w:bCs/>
          <w:u w:val="single"/>
          <w:rtl/>
        </w:rPr>
        <w:t>דיון והכרעה</w:t>
      </w:r>
    </w:p>
    <w:p w14:paraId="23558305" w14:textId="77777777" w:rsidR="00D0331C" w:rsidRDefault="00D0331C">
      <w:pPr>
        <w:spacing w:line="360" w:lineRule="auto"/>
        <w:ind w:left="720"/>
        <w:jc w:val="both"/>
        <w:rPr>
          <w:b/>
          <w:bCs/>
          <w:u w:val="single"/>
          <w:rtl/>
        </w:rPr>
      </w:pPr>
    </w:p>
    <w:p w14:paraId="22902F3C" w14:textId="77777777" w:rsidR="00D0331C" w:rsidRDefault="00655372">
      <w:pPr>
        <w:pStyle w:val="a6"/>
      </w:pPr>
      <w:r>
        <w:rPr>
          <w:rFonts w:hint="cs"/>
          <w:rtl/>
        </w:rPr>
        <w:t>משמעותו של תיקון 113 על האופן בו ייגזר דינו של הנאשם</w:t>
      </w:r>
    </w:p>
    <w:p w14:paraId="1070D12A" w14:textId="77777777" w:rsidR="00D0331C" w:rsidRDefault="00655372">
      <w:pPr>
        <w:pStyle w:val="a"/>
        <w:numPr>
          <w:ilvl w:val="0"/>
          <w:numId w:val="0"/>
        </w:numPr>
        <w:tabs>
          <w:tab w:val="left" w:pos="720"/>
        </w:tabs>
        <w:ind w:left="720" w:hanging="720"/>
        <w:jc w:val="both"/>
        <w:rPr>
          <w:rtl/>
        </w:rPr>
      </w:pPr>
      <w:r>
        <w:rPr>
          <w:rFonts w:hint="cs"/>
          <w:rtl/>
        </w:rPr>
        <w:t>7.</w:t>
      </w:r>
      <w:r>
        <w:rPr>
          <w:rFonts w:hint="cs"/>
          <w:rtl/>
        </w:rPr>
        <w:tab/>
        <w:t xml:space="preserve">כפי שפורט לעיל, הנאשם הורשע במספר מועדים, כאשר רק 4 הרשעות (יב'-טו') ניתנו לאחר כניסתו לתוקף של תיקון 113, ועל כן אדרש לקביעת המתחמים רק ביחס להרשעות אלה. יחד עם זאת ברור, כי מכלול הענישה כולו צריך לשקף את אותם ערכים מוגנים שנפגעו כתוצאה ממעשיו של הנאשם, אך יש להתחשב בעובדה כי עקרון ההלימה הפך עקרון בכורה רק במסגרת התיקון. </w:t>
      </w:r>
    </w:p>
    <w:p w14:paraId="5314ECDB" w14:textId="77777777" w:rsidR="00D0331C" w:rsidRDefault="00655372">
      <w:pPr>
        <w:pStyle w:val="a"/>
        <w:numPr>
          <w:ilvl w:val="0"/>
          <w:numId w:val="0"/>
        </w:numPr>
        <w:tabs>
          <w:tab w:val="left" w:pos="720"/>
        </w:tabs>
        <w:ind w:left="720" w:hanging="720"/>
        <w:jc w:val="both"/>
        <w:rPr>
          <w:rtl/>
        </w:rPr>
      </w:pPr>
      <w:r>
        <w:rPr>
          <w:rFonts w:hint="cs"/>
          <w:rtl/>
        </w:rPr>
        <w:t>8.</w:t>
      </w:r>
      <w:r>
        <w:rPr>
          <w:rFonts w:hint="cs"/>
          <w:rtl/>
        </w:rPr>
        <w:tab/>
        <w:t xml:space="preserve">בשים לב לשילוב שבין הרשעות שניתנו לפני התיקון והרשעות שניתנו לאחריו, סבורני כי הדרך הראויה והיעילה לגזירת דינו של הנאשם היא באמצעות עונש כולל, אשר ייתן ביטוי למגוון הנתונים הרלוונטיים לענישה, ולאותם מתחמי ענישה שייקבעו ביחס להרשעות יב'-טו'. גם הרשעה א' היא בעלת משקל לא מבוטל לעניין העונש, בשים לב לאופן בו פרץ הנאשם לאותו בית עסק. </w:t>
      </w:r>
    </w:p>
    <w:p w14:paraId="64CF7B07" w14:textId="77777777" w:rsidR="00D0331C" w:rsidRDefault="00D0331C">
      <w:pPr>
        <w:pStyle w:val="a"/>
        <w:numPr>
          <w:ilvl w:val="0"/>
          <w:numId w:val="0"/>
        </w:numPr>
        <w:tabs>
          <w:tab w:val="left" w:pos="720"/>
        </w:tabs>
        <w:ind w:left="720" w:hanging="720"/>
        <w:jc w:val="both"/>
        <w:rPr>
          <w:rtl/>
        </w:rPr>
      </w:pPr>
    </w:p>
    <w:p w14:paraId="06AFA3D9" w14:textId="77777777" w:rsidR="00D0331C" w:rsidRDefault="00655372">
      <w:pPr>
        <w:pStyle w:val="a"/>
        <w:numPr>
          <w:ilvl w:val="0"/>
          <w:numId w:val="0"/>
        </w:numPr>
        <w:tabs>
          <w:tab w:val="left" w:pos="720"/>
        </w:tabs>
        <w:ind w:left="720" w:hanging="720"/>
        <w:jc w:val="both"/>
        <w:rPr>
          <w:u w:val="single"/>
          <w:rtl/>
        </w:rPr>
      </w:pPr>
      <w:r>
        <w:rPr>
          <w:rFonts w:hint="cs"/>
          <w:rtl/>
        </w:rPr>
        <w:tab/>
      </w:r>
      <w:r>
        <w:rPr>
          <w:rFonts w:hint="cs"/>
          <w:u w:val="single"/>
          <w:rtl/>
        </w:rPr>
        <w:t>קביעת מתחמי הענישה ביחס להרשעות יב'-טו'</w:t>
      </w:r>
    </w:p>
    <w:p w14:paraId="1B2D6951" w14:textId="77777777" w:rsidR="00D0331C" w:rsidRDefault="00D0331C">
      <w:pPr>
        <w:pStyle w:val="a"/>
        <w:numPr>
          <w:ilvl w:val="0"/>
          <w:numId w:val="0"/>
        </w:numPr>
        <w:tabs>
          <w:tab w:val="left" w:pos="720"/>
        </w:tabs>
        <w:ind w:left="720" w:hanging="720"/>
        <w:jc w:val="both"/>
        <w:rPr>
          <w:u w:val="single"/>
          <w:rtl/>
        </w:rPr>
      </w:pPr>
    </w:p>
    <w:p w14:paraId="382E05B8" w14:textId="77777777" w:rsidR="00D0331C" w:rsidRDefault="00655372">
      <w:pPr>
        <w:pStyle w:val="a"/>
        <w:numPr>
          <w:ilvl w:val="0"/>
          <w:numId w:val="0"/>
        </w:numPr>
        <w:tabs>
          <w:tab w:val="left" w:pos="720"/>
        </w:tabs>
        <w:ind w:left="720" w:hanging="720"/>
        <w:jc w:val="both"/>
        <w:rPr>
          <w:rtl/>
        </w:rPr>
      </w:pPr>
      <w:r>
        <w:rPr>
          <w:rFonts w:hint="cs"/>
          <w:rtl/>
        </w:rPr>
        <w:t>9.</w:t>
      </w:r>
      <w:r>
        <w:rPr>
          <w:rFonts w:hint="cs"/>
          <w:rtl/>
        </w:rPr>
        <w:tab/>
        <w:t xml:space="preserve">קביעת מתחם העונש ההולם למעשה העבירות שביצע הנאשם נעשית בהתאם לעקרון המנחה בענישה, שהינו קיומו של יחס הולם בין חומרת מעשה העבירה בנסיבותיו ומידת אשמתו של הנאשם, לבין סוג ומידת העונש המוטל עליו. לשם קביעת מתחם העונש ההולם, בהתאם לעקרון ההלימה, יש להתחשב בערך החברתי שנפגע, במידת הפגיעה בו, במדיניות הענישה הנוהגת ובנסיבות הקשורות בביצוע העבירות. </w:t>
      </w:r>
    </w:p>
    <w:p w14:paraId="589E2DA6" w14:textId="77777777" w:rsidR="00D0331C" w:rsidRDefault="00655372">
      <w:pPr>
        <w:pStyle w:val="a"/>
        <w:numPr>
          <w:ilvl w:val="0"/>
          <w:numId w:val="0"/>
        </w:numPr>
        <w:tabs>
          <w:tab w:val="left" w:pos="720"/>
        </w:tabs>
        <w:ind w:left="720" w:hanging="720"/>
        <w:jc w:val="both"/>
        <w:rPr>
          <w:rtl/>
        </w:rPr>
      </w:pPr>
      <w:r>
        <w:rPr>
          <w:rFonts w:hint="cs"/>
          <w:rtl/>
        </w:rPr>
        <w:tab/>
      </w:r>
      <w:r>
        <w:rPr>
          <w:rFonts w:hint="cs"/>
          <w:b/>
          <w:bCs/>
          <w:rtl/>
        </w:rPr>
        <w:t xml:space="preserve">הרשעות יב' ו-יד': </w:t>
      </w:r>
      <w:r>
        <w:rPr>
          <w:rFonts w:hint="cs"/>
          <w:rtl/>
        </w:rPr>
        <w:t xml:space="preserve">מדובר בשתי הרשעות בעבירות של החזקת סם לצריכה עצמית. בעבירות אלה, ותוך שנתתי דעתי לאותם ערכים הנפגעים כתוצאה משימוש בסמים, ולפסיקה המקובלת, סבורני כי מתחם העונש ההולם בעניינו של כל אחד מהאישומים צריך לנוע ממאסר על תנאי ועד 4 חודשי מאסר. </w:t>
      </w:r>
    </w:p>
    <w:p w14:paraId="474A0FEC" w14:textId="77777777" w:rsidR="00D0331C" w:rsidRDefault="00655372">
      <w:pPr>
        <w:pStyle w:val="normal-p"/>
        <w:bidi/>
        <w:spacing w:before="0" w:beforeAutospacing="0" w:after="0" w:afterAutospacing="0" w:line="360" w:lineRule="auto"/>
        <w:ind w:left="720" w:hanging="720"/>
        <w:jc w:val="both"/>
        <w:rPr>
          <w:rFonts w:cs="David"/>
          <w:noProof/>
          <w:rtl/>
        </w:rPr>
      </w:pPr>
      <w:r>
        <w:rPr>
          <w:rFonts w:hint="cs"/>
          <w:b/>
          <w:bCs/>
          <w:rtl/>
        </w:rPr>
        <w:tab/>
      </w:r>
      <w:r>
        <w:rPr>
          <w:rFonts w:ascii="David" w:hAnsi="David" w:cs="David" w:hint="cs"/>
          <w:b/>
          <w:bCs/>
          <w:color w:val="000000"/>
          <w:rtl/>
        </w:rPr>
        <w:t>הרשעה יג'</w:t>
      </w:r>
      <w:r>
        <w:rPr>
          <w:rFonts w:ascii="David" w:hAnsi="David" w:cs="David" w:hint="cs"/>
          <w:color w:val="000000"/>
          <w:rtl/>
        </w:rPr>
        <w:t>: באותו מקרה, מדובר בגניבה של טלפון נייד ושני כרטיסי אשראי מתיקה של המתלוננת בפאב "תיאודור" ברח' סוקולוב הרצליה, כאשר הנאשם השתמש</w:t>
      </w:r>
      <w:r>
        <w:rPr>
          <w:rFonts w:cs="David" w:hint="cs"/>
          <w:noProof/>
          <w:rtl/>
        </w:rPr>
        <w:t xml:space="preserve"> באחד מכרטיסי האשראי וניסה למשוך כסף בכספומט מכרטיס האשראי השני. הפגיעה בערך של שמירה על רכוש הציבור היא לא מבוטלת, אך אינה נמצאת ברף החומרה העליון. גם רמת התחכום של הנאשם באישום זה היא נמוכה עד בינונית. סבורני כי מתחם העונש ההולם במקרה דנן צריך לנוע ממאסר למשך חודשיים ועד מאסר למשך 6 חודשים.</w:t>
      </w:r>
    </w:p>
    <w:p w14:paraId="7F51A9AC" w14:textId="77777777" w:rsidR="00D0331C" w:rsidRDefault="00655372">
      <w:pPr>
        <w:pStyle w:val="normal-p"/>
        <w:bidi/>
        <w:spacing w:before="0" w:beforeAutospacing="0" w:after="0" w:afterAutospacing="0" w:line="360" w:lineRule="auto"/>
        <w:ind w:left="720" w:hanging="720"/>
        <w:jc w:val="both"/>
        <w:rPr>
          <w:rFonts w:ascii="David" w:hAnsi="David" w:cs="David"/>
          <w:b/>
          <w:bCs/>
          <w:color w:val="000000"/>
          <w:rtl/>
        </w:rPr>
      </w:pPr>
      <w:r>
        <w:rPr>
          <w:rFonts w:ascii="David" w:hAnsi="David" w:cs="David" w:hint="cs"/>
          <w:b/>
          <w:bCs/>
          <w:color w:val="000000"/>
          <w:rtl/>
        </w:rPr>
        <w:tab/>
      </w:r>
    </w:p>
    <w:p w14:paraId="7AE71C9F" w14:textId="77777777" w:rsidR="00D0331C" w:rsidRDefault="00655372">
      <w:pPr>
        <w:pStyle w:val="normal-p"/>
        <w:bidi/>
        <w:spacing w:before="0" w:beforeAutospacing="0" w:after="0" w:afterAutospacing="0" w:line="360" w:lineRule="auto"/>
        <w:ind w:left="720" w:hanging="720"/>
        <w:jc w:val="both"/>
        <w:rPr>
          <w:rFonts w:cs="David"/>
          <w:noProof/>
          <w:rtl/>
        </w:rPr>
      </w:pPr>
      <w:r>
        <w:rPr>
          <w:rFonts w:ascii="David" w:hAnsi="David" w:cs="David" w:hint="cs"/>
          <w:b/>
          <w:bCs/>
          <w:color w:val="000000"/>
          <w:rtl/>
        </w:rPr>
        <w:tab/>
        <w:t xml:space="preserve">הרשעה טו': </w:t>
      </w:r>
      <w:r>
        <w:rPr>
          <w:rFonts w:cs="David" w:hint="cs"/>
          <w:noProof/>
          <w:rtl/>
        </w:rPr>
        <w:t>באותו מקרה, פרץ הנאשם לדירת מגורים בכך שפתח את חלון הסלון ונכנס דרכו אל הדירה. בעל הדירה התעורר משנתו, ראה את הנאשם בסלון ושאל לפשר מעשיו, כאשר לאחר מכן עזב הנאשם את הדירה. יש ליתן את הדעת בהקשר זה גם לערך של שמירה על הרכוש, אך גם לפגיעה בפרטיות בעל הדירה, וגם, במידה מסויימת, לחשש מהתלקחות אלימה. במקרה זה, ואף שאין בצידו עבירת גניבה, סבורני כי האינטראקציה עם בעל הדירה שמצא עצמו בסיטואציה מבהילה ומורכבת, מצדיקה קביעת מתחם עונש הולם הנע בין 12 חודשי מאסר לבין 24 חודשי מאסר.</w:t>
      </w:r>
    </w:p>
    <w:p w14:paraId="0F420AC2" w14:textId="77777777" w:rsidR="00D0331C" w:rsidRDefault="00D0331C">
      <w:pPr>
        <w:pStyle w:val="normal-p"/>
        <w:bidi/>
        <w:spacing w:before="0" w:beforeAutospacing="0" w:after="0" w:afterAutospacing="0" w:line="360" w:lineRule="auto"/>
        <w:ind w:left="720" w:hanging="720"/>
        <w:jc w:val="both"/>
        <w:rPr>
          <w:rFonts w:cs="David"/>
          <w:noProof/>
          <w:rtl/>
        </w:rPr>
      </w:pPr>
      <w:bookmarkStart w:id="8" w:name="_GoBack"/>
      <w:bookmarkEnd w:id="8"/>
    </w:p>
    <w:p w14:paraId="73A365DA" w14:textId="77777777" w:rsidR="00D0331C" w:rsidRDefault="00655372">
      <w:pPr>
        <w:pStyle w:val="normal-p"/>
        <w:bidi/>
        <w:spacing w:before="0" w:beforeAutospacing="0" w:after="0" w:afterAutospacing="0" w:line="360" w:lineRule="auto"/>
        <w:ind w:left="720" w:hanging="720"/>
        <w:jc w:val="both"/>
        <w:rPr>
          <w:rFonts w:cs="David"/>
          <w:noProof/>
          <w:u w:val="single"/>
          <w:rtl/>
        </w:rPr>
      </w:pPr>
      <w:r>
        <w:rPr>
          <w:rFonts w:cs="David" w:hint="cs"/>
          <w:noProof/>
          <w:rtl/>
        </w:rPr>
        <w:tab/>
      </w:r>
      <w:r>
        <w:rPr>
          <w:rFonts w:cs="David" w:hint="cs"/>
          <w:noProof/>
          <w:u w:val="single"/>
          <w:rtl/>
        </w:rPr>
        <w:t>התייחסות להרשעות המוקדמות לתיקון</w:t>
      </w:r>
    </w:p>
    <w:p w14:paraId="5E8750EF" w14:textId="77777777" w:rsidR="00D0331C" w:rsidRDefault="00D0331C">
      <w:pPr>
        <w:pStyle w:val="a"/>
        <w:numPr>
          <w:ilvl w:val="0"/>
          <w:numId w:val="0"/>
        </w:numPr>
        <w:tabs>
          <w:tab w:val="left" w:pos="720"/>
        </w:tabs>
        <w:ind w:left="720" w:hanging="720"/>
        <w:jc w:val="both"/>
        <w:rPr>
          <w:rtl/>
        </w:rPr>
      </w:pPr>
    </w:p>
    <w:p w14:paraId="0838BAAB" w14:textId="77777777" w:rsidR="00D0331C" w:rsidRDefault="00655372">
      <w:pPr>
        <w:pStyle w:val="a"/>
        <w:numPr>
          <w:ilvl w:val="0"/>
          <w:numId w:val="0"/>
        </w:numPr>
        <w:tabs>
          <w:tab w:val="left" w:pos="720"/>
        </w:tabs>
        <w:ind w:left="720" w:hanging="720"/>
        <w:jc w:val="both"/>
        <w:rPr>
          <w:rtl/>
        </w:rPr>
      </w:pPr>
      <w:r>
        <w:rPr>
          <w:rFonts w:hint="cs"/>
          <w:rtl/>
        </w:rPr>
        <w:t>10.</w:t>
      </w:r>
      <w:r>
        <w:rPr>
          <w:rFonts w:hint="cs"/>
          <w:rtl/>
        </w:rPr>
        <w:tab/>
        <w:t>עיון במגוון העבירות שביצע הנאשם בהרשעות א'-יא' מלמד על חומרה הכרוכה במעשיו של הנאשם. כך לדוגמא הרשעה ב', המשקפת, בין היתר, החזקת 22 גרם הירואין בתוך הכלא, וכך לדוגמא הרשעה ו', המשקפת עבירה של התפרצות לדירת מגורים (מעבר לעבירה המתוארת בהרשעה טו').</w:t>
      </w:r>
    </w:p>
    <w:p w14:paraId="035DDD6F" w14:textId="77777777" w:rsidR="00D0331C" w:rsidRDefault="00655372">
      <w:pPr>
        <w:pStyle w:val="a"/>
        <w:numPr>
          <w:ilvl w:val="0"/>
          <w:numId w:val="0"/>
        </w:numPr>
        <w:tabs>
          <w:tab w:val="left" w:pos="720"/>
        </w:tabs>
        <w:ind w:left="720" w:hanging="720"/>
        <w:jc w:val="both"/>
        <w:rPr>
          <w:rtl/>
        </w:rPr>
      </w:pPr>
      <w:r>
        <w:rPr>
          <w:rFonts w:hint="cs"/>
          <w:rtl/>
        </w:rPr>
        <w:tab/>
        <w:t xml:space="preserve">נראה אפוא כי קשה למקד את התנהלותו העבריינית של הנאשם בתחום אחד, אלא ניתן לומר כי הנאשם הוא עבריין סמים ועבריין רכוש. אציין כי ברשימת הצירוף כלולות גם עבירות של החזקת סם לצריכה עצמית, ואלה, מטבע הדברים, תורמת תרומה קלה בלבד לעונש הכולל שיוטל על הנאשם. </w:t>
      </w:r>
    </w:p>
    <w:p w14:paraId="43049E5A" w14:textId="77777777" w:rsidR="00D0331C" w:rsidRDefault="00D0331C">
      <w:pPr>
        <w:pStyle w:val="a"/>
        <w:numPr>
          <w:ilvl w:val="0"/>
          <w:numId w:val="0"/>
        </w:numPr>
        <w:tabs>
          <w:tab w:val="left" w:pos="720"/>
        </w:tabs>
        <w:ind w:left="720" w:hanging="720"/>
        <w:jc w:val="both"/>
        <w:rPr>
          <w:rtl/>
        </w:rPr>
      </w:pPr>
    </w:p>
    <w:p w14:paraId="233BB0EC" w14:textId="77777777" w:rsidR="00D0331C" w:rsidRDefault="00655372">
      <w:pPr>
        <w:pStyle w:val="a"/>
        <w:numPr>
          <w:ilvl w:val="0"/>
          <w:numId w:val="0"/>
        </w:numPr>
        <w:tabs>
          <w:tab w:val="left" w:pos="720"/>
        </w:tabs>
        <w:ind w:left="720" w:hanging="720"/>
        <w:jc w:val="both"/>
        <w:rPr>
          <w:u w:val="single"/>
          <w:rtl/>
        </w:rPr>
      </w:pPr>
      <w:r>
        <w:rPr>
          <w:rFonts w:hint="cs"/>
          <w:rtl/>
        </w:rPr>
        <w:tab/>
      </w:r>
      <w:r>
        <w:rPr>
          <w:rFonts w:hint="cs"/>
          <w:u w:val="single"/>
          <w:rtl/>
        </w:rPr>
        <w:t>שיקולי ענישה רלונטיים</w:t>
      </w:r>
    </w:p>
    <w:p w14:paraId="43FF197D" w14:textId="77777777" w:rsidR="00D0331C" w:rsidRDefault="00D0331C">
      <w:pPr>
        <w:pStyle w:val="a"/>
        <w:numPr>
          <w:ilvl w:val="0"/>
          <w:numId w:val="0"/>
        </w:numPr>
        <w:tabs>
          <w:tab w:val="left" w:pos="720"/>
        </w:tabs>
        <w:ind w:left="720" w:hanging="720"/>
        <w:jc w:val="both"/>
        <w:rPr>
          <w:u w:val="single"/>
          <w:rtl/>
        </w:rPr>
      </w:pPr>
    </w:p>
    <w:p w14:paraId="2C819C64" w14:textId="77777777" w:rsidR="00D0331C" w:rsidRDefault="00655372">
      <w:pPr>
        <w:pStyle w:val="a"/>
        <w:numPr>
          <w:ilvl w:val="0"/>
          <w:numId w:val="0"/>
        </w:numPr>
        <w:tabs>
          <w:tab w:val="left" w:pos="720"/>
        </w:tabs>
        <w:ind w:left="720" w:hanging="720"/>
        <w:jc w:val="both"/>
        <w:rPr>
          <w:b/>
          <w:bCs/>
          <w:u w:val="single"/>
        </w:rPr>
      </w:pPr>
      <w:r>
        <w:rPr>
          <w:rFonts w:hint="cs"/>
          <w:rtl/>
        </w:rPr>
        <w:t>11.</w:t>
      </w:r>
      <w:r>
        <w:rPr>
          <w:rFonts w:hint="cs"/>
          <w:rtl/>
        </w:rPr>
        <w:tab/>
      </w:r>
      <w:r>
        <w:rPr>
          <w:rFonts w:ascii="Arial (W1)" w:hAnsi="Arial (W1)" w:hint="cs"/>
          <w:b/>
          <w:bCs/>
          <w:rtl/>
        </w:rPr>
        <w:t>עבר פלילי</w:t>
      </w:r>
      <w:r>
        <w:rPr>
          <w:rFonts w:ascii="Arial (W1)" w:hAnsi="Arial (W1)" w:hint="cs"/>
          <w:rtl/>
        </w:rPr>
        <w:t xml:space="preserve"> - עברו הפלילי של הנאשם הוא אחד הנתונים הרלוונטיים לקביעת העונש המתאים, ובהקשר זה,</w:t>
      </w:r>
      <w:r>
        <w:rPr>
          <w:rFonts w:hint="cs"/>
          <w:rtl/>
        </w:rPr>
        <w:t xml:space="preserve"> יש לראות אותו כעבר מכביד, שכן הוא כולל הרשעות דומות או זהות, וריצוי תקופות מאסר. העובדה כי הנאשם ביצע את שביצע כאשר עומד לחובתו מאסר מותנה ולאחר מכן ביצע את העבירות האחרונות כאשר נמצא בצו פיקוח שירות מבחן ומרחף מעל ראשו מאסר מותנה שהוארך, מעצימה את החומרה.</w:t>
      </w:r>
    </w:p>
    <w:p w14:paraId="035962DA" w14:textId="77777777" w:rsidR="00D0331C" w:rsidRDefault="00655372">
      <w:pPr>
        <w:pStyle w:val="a"/>
        <w:numPr>
          <w:ilvl w:val="0"/>
          <w:numId w:val="0"/>
        </w:numPr>
        <w:ind w:left="720" w:hanging="720"/>
        <w:jc w:val="both"/>
      </w:pPr>
      <w:r>
        <w:rPr>
          <w:rFonts w:ascii="Arial (W1)" w:hAnsi="Arial (W1)" w:hint="cs"/>
          <w:rtl/>
        </w:rPr>
        <w:t>12.</w:t>
      </w:r>
      <w:r>
        <w:rPr>
          <w:rFonts w:ascii="Arial (W1)" w:hAnsi="Arial (W1)" w:hint="cs"/>
          <w:rtl/>
        </w:rPr>
        <w:tab/>
      </w:r>
      <w:r>
        <w:rPr>
          <w:rFonts w:ascii="Arial (W1)" w:hAnsi="Arial (W1)" w:hint="cs"/>
          <w:b/>
          <w:bCs/>
          <w:rtl/>
        </w:rPr>
        <w:t>הודאת הנאשם וקבלת האחריות</w:t>
      </w:r>
      <w:r>
        <w:rPr>
          <w:rFonts w:ascii="Arial (W1)" w:hAnsi="Arial (W1)" w:hint="cs"/>
          <w:rtl/>
        </w:rPr>
        <w:t xml:space="preserve"> - אין חולק כי יש לראות בהודאת הנאשם כנתון המצדיק הקלה משמעותית בעונש, הן נוכח ההיבט המהותי של ההודאה, והן נוכח החסכון בזמן ציבורי הכרוך בהודאה.</w:t>
      </w:r>
      <w:r>
        <w:rPr>
          <w:rFonts w:hint="cs"/>
          <w:rtl/>
        </w:rPr>
        <w:t xml:space="preserve"> הנאשם הודה עוד בחקירתו במשטרה בכל העבירות שיוחסו לו. הנאשם הודה בתיק זה בדיון הראשון וביקש לצרף את כל התיקים בעניינו (14 תיקים) שגם בהם הודה בהזדמנות הראשונה. </w:t>
      </w:r>
    </w:p>
    <w:p w14:paraId="1731F35B" w14:textId="77777777" w:rsidR="00D0331C" w:rsidRDefault="00655372">
      <w:pPr>
        <w:pStyle w:val="a"/>
        <w:numPr>
          <w:ilvl w:val="0"/>
          <w:numId w:val="0"/>
        </w:numPr>
        <w:ind w:left="720" w:hanging="720"/>
        <w:jc w:val="both"/>
      </w:pPr>
      <w:r>
        <w:rPr>
          <w:rFonts w:ascii="Arial (W1)" w:hAnsi="Arial (W1)" w:hint="cs"/>
          <w:rtl/>
        </w:rPr>
        <w:t>13.</w:t>
      </w:r>
      <w:r>
        <w:rPr>
          <w:rFonts w:ascii="Arial (W1)" w:hAnsi="Arial (W1)" w:hint="cs"/>
          <w:rtl/>
        </w:rPr>
        <w:tab/>
      </w:r>
      <w:r>
        <w:rPr>
          <w:rFonts w:ascii="Arial (W1)" w:hAnsi="Arial (W1)" w:hint="cs"/>
          <w:b/>
          <w:bCs/>
          <w:rtl/>
        </w:rPr>
        <w:t>נתונים אישיים</w:t>
      </w:r>
      <w:r>
        <w:rPr>
          <w:rFonts w:ascii="Arial (W1)" w:hAnsi="Arial (W1)" w:hint="cs"/>
          <w:rtl/>
        </w:rPr>
        <w:t xml:space="preserve"> - כפי שפורט בתסקיר שירות המבחן ובטיעוני הסניגורית, מדובר בנאשם בעל נסיבות חיים מורכבות לרבות העובדה שהדרדר לסמים עוד בכיתה ט', עזב את הלימודים והחל לגנוב על מנת לממן את התמכרותו לסם. הנאשם עבר מספר ניסיונות גמילה מוצלחים אך כשהגיע משבר נוסף שב להשתמש בסמים. מדובר במי שניהל משך שנים ארוכות אורח חיים התמכרותי על כל המשתמע מכך. עוד יצוין כי אמו אשר ליוותה אותו לאורך כל ההליך המשפטי והשיקומי חלתה. נתונים אלה מצדיקים התחשבות מסוימת בענישה, הגם שחלקם "נשחקו" בהליכים קודמים. </w:t>
      </w:r>
    </w:p>
    <w:p w14:paraId="72519956" w14:textId="77777777" w:rsidR="00D0331C" w:rsidRDefault="00655372">
      <w:pPr>
        <w:pStyle w:val="a"/>
        <w:numPr>
          <w:ilvl w:val="0"/>
          <w:numId w:val="0"/>
        </w:numPr>
        <w:ind w:left="720" w:hanging="720"/>
        <w:jc w:val="both"/>
        <w:rPr>
          <w:rFonts w:ascii="Arial (W1)" w:hAnsi="Arial (W1)"/>
        </w:rPr>
      </w:pPr>
      <w:r>
        <w:rPr>
          <w:rFonts w:ascii="Arial (W1)" w:hAnsi="Arial (W1)" w:hint="cs"/>
          <w:rtl/>
        </w:rPr>
        <w:t>14.</w:t>
      </w:r>
      <w:r>
        <w:rPr>
          <w:rFonts w:ascii="Arial (W1)" w:hAnsi="Arial (W1)" w:hint="cs"/>
          <w:rtl/>
        </w:rPr>
        <w:tab/>
      </w:r>
      <w:r>
        <w:rPr>
          <w:rFonts w:ascii="Arial (W1)" w:hAnsi="Arial (W1)" w:hint="cs"/>
          <w:b/>
          <w:bCs/>
          <w:rtl/>
        </w:rPr>
        <w:t xml:space="preserve">ההליך השיקומי </w:t>
      </w:r>
      <w:r>
        <w:rPr>
          <w:rFonts w:ascii="Arial (W1)" w:hAnsi="Arial (W1)" w:hint="cs"/>
          <w:rtl/>
        </w:rPr>
        <w:t>-</w:t>
      </w:r>
      <w:r>
        <w:rPr>
          <w:rFonts w:ascii="Arial (W1)" w:hAnsi="Arial (W1)" w:hint="cs"/>
          <w:b/>
          <w:bCs/>
          <w:rtl/>
        </w:rPr>
        <w:t xml:space="preserve"> </w:t>
      </w:r>
      <w:r>
        <w:rPr>
          <w:rFonts w:ascii="Arial (W1)" w:hAnsi="Arial (W1)" w:hint="cs"/>
          <w:rtl/>
        </w:rPr>
        <w:t xml:space="preserve">לנאשם ניתנו מספר הזדמנויות לשקם את חייו ולהיגמל מסמים (קהילות טיפוליות סגורות ופתוחות, הארכת צו הפיקוח של שירות המבחן) אך הנאשם לא השכיל לנצל הזדמנויות אלה עד תום. יחד עם זאת, ובהקשר זה סבורני כי יש טעם מסוים בטיעון הסניגורית לפיו יש מקום להעניק משקל לקולא לנסיונותיו של הנאשם לשנות את נתיב חייו, במיוחד כאשר מדובר בנסיון שהיה כרוך בשתי תקופות ארוכות בהן שהה בקהילה טיפולית סגורה. במילים אחרות - מאמציו של הנאשם, הגם שנכשל בסופו של דבר, ראויים להתחשבות בקביעת העונש הכולל.  </w:t>
      </w:r>
    </w:p>
    <w:p w14:paraId="3F7469AF" w14:textId="77777777" w:rsidR="00D0331C" w:rsidRDefault="00655372">
      <w:pPr>
        <w:spacing w:line="360" w:lineRule="auto"/>
        <w:ind w:left="720"/>
        <w:jc w:val="both"/>
        <w:rPr>
          <w:u w:val="single"/>
          <w:rtl/>
        </w:rPr>
      </w:pPr>
      <w:r>
        <w:rPr>
          <w:rFonts w:hint="cs"/>
          <w:u w:val="single"/>
          <w:rtl/>
        </w:rPr>
        <w:t>סיכום</w:t>
      </w:r>
    </w:p>
    <w:p w14:paraId="700738B6" w14:textId="77777777" w:rsidR="00D0331C" w:rsidRDefault="00D0331C">
      <w:pPr>
        <w:spacing w:line="360" w:lineRule="auto"/>
        <w:ind w:left="720"/>
        <w:jc w:val="both"/>
        <w:rPr>
          <w:u w:val="single"/>
          <w:rtl/>
        </w:rPr>
      </w:pPr>
    </w:p>
    <w:p w14:paraId="60178BA9" w14:textId="77777777" w:rsidR="00D0331C" w:rsidRDefault="00655372">
      <w:pPr>
        <w:pStyle w:val="a"/>
        <w:numPr>
          <w:ilvl w:val="0"/>
          <w:numId w:val="0"/>
        </w:numPr>
        <w:jc w:val="both"/>
        <w:rPr>
          <w:rFonts w:ascii="Arial (W1)" w:hAnsi="Arial (W1)"/>
          <w:u w:val="single"/>
        </w:rPr>
      </w:pPr>
      <w:r>
        <w:rPr>
          <w:rFonts w:hint="cs"/>
          <w:rtl/>
        </w:rPr>
        <w:t>15.</w:t>
      </w:r>
      <w:r>
        <w:rPr>
          <w:rFonts w:hint="cs"/>
          <w:rtl/>
        </w:rPr>
        <w:tab/>
        <w:t>לאחר שבחנתי את השיקולים השונים שפורטו לעיל, החלטתי להשית על הנאשם את העונשים הבאים:</w:t>
      </w:r>
    </w:p>
    <w:p w14:paraId="0255C1D1" w14:textId="77777777" w:rsidR="00D0331C" w:rsidRDefault="00655372">
      <w:pPr>
        <w:pStyle w:val="a"/>
        <w:numPr>
          <w:ilvl w:val="0"/>
          <w:numId w:val="0"/>
        </w:numPr>
        <w:ind w:left="720"/>
        <w:jc w:val="both"/>
        <w:rPr>
          <w:rFonts w:ascii="Arial (W1)" w:hAnsi="Arial (W1)"/>
        </w:rPr>
      </w:pPr>
      <w:r>
        <w:rPr>
          <w:rFonts w:ascii="Arial (W1)" w:hAnsi="Arial (W1)" w:hint="cs"/>
          <w:rtl/>
        </w:rPr>
        <w:t>(א) 36 חודשי מאסר לריצוי בפועל.</w:t>
      </w:r>
    </w:p>
    <w:p w14:paraId="2EF92639" w14:textId="77777777" w:rsidR="00D0331C" w:rsidRDefault="00655372">
      <w:pPr>
        <w:pStyle w:val="a"/>
        <w:numPr>
          <w:ilvl w:val="0"/>
          <w:numId w:val="0"/>
        </w:numPr>
        <w:ind w:left="720"/>
        <w:jc w:val="both"/>
      </w:pPr>
      <w:r>
        <w:rPr>
          <w:rFonts w:hint="cs"/>
          <w:rtl/>
        </w:rPr>
        <w:t xml:space="preserve">(ב) אני מפעיל את המאסר המותנה בן 12 החודשים שהוטל על הנאשם בת.פ. 40258/05 בבית משפט המחוזי בתל אביב, וזאת במצטבר לעונש שהטלתי בסעיף א'. </w:t>
      </w:r>
    </w:p>
    <w:p w14:paraId="273C3480" w14:textId="77777777" w:rsidR="00D0331C" w:rsidRDefault="00655372">
      <w:pPr>
        <w:pStyle w:val="a"/>
        <w:numPr>
          <w:ilvl w:val="0"/>
          <w:numId w:val="0"/>
        </w:numPr>
        <w:ind w:left="720"/>
        <w:jc w:val="both"/>
        <w:rPr>
          <w:rtl/>
        </w:rPr>
      </w:pPr>
      <w:r>
        <w:rPr>
          <w:rFonts w:hint="cs"/>
          <w:rtl/>
        </w:rPr>
        <w:t>סך הכל ירצה הנאשם  4 שנות מאסר בפועל, ובניכוי תקופות מעצר כפי שהצדדים יעבירו לבית המשפט בהודעה מוסכמת.</w:t>
      </w:r>
    </w:p>
    <w:p w14:paraId="4BB6CA2C" w14:textId="77777777" w:rsidR="00D0331C" w:rsidRDefault="00655372">
      <w:pPr>
        <w:pStyle w:val="a"/>
        <w:numPr>
          <w:ilvl w:val="0"/>
          <w:numId w:val="0"/>
        </w:numPr>
        <w:ind w:left="720"/>
        <w:jc w:val="both"/>
        <w:rPr>
          <w:rtl/>
        </w:rPr>
      </w:pPr>
      <w:r>
        <w:rPr>
          <w:rFonts w:hint="cs"/>
          <w:rtl/>
        </w:rPr>
        <w:t xml:space="preserve">העונש ירוצה במצטבר למאסר אותו מרצה הנאשם היום. </w:t>
      </w:r>
    </w:p>
    <w:p w14:paraId="3E76D240" w14:textId="77777777" w:rsidR="00D0331C" w:rsidRDefault="00655372">
      <w:pPr>
        <w:pStyle w:val="a"/>
        <w:numPr>
          <w:ilvl w:val="0"/>
          <w:numId w:val="0"/>
        </w:numPr>
        <w:ind w:left="720"/>
        <w:jc w:val="both"/>
        <w:rPr>
          <w:rtl/>
        </w:rPr>
      </w:pPr>
      <w:r>
        <w:rPr>
          <w:rFonts w:hint="cs"/>
          <w:rtl/>
        </w:rPr>
        <w:t>(ג) 8 חודשי מאסר אולם הנאשם לא יישא עונש זה אלא אם יעבור תוך 3 שנים מיום שחרורו אחת העבירות בהן הורשע מסוג פשע.</w:t>
      </w:r>
    </w:p>
    <w:p w14:paraId="6F6CBA0A" w14:textId="77777777" w:rsidR="00D0331C" w:rsidRDefault="00655372">
      <w:pPr>
        <w:pStyle w:val="a"/>
        <w:numPr>
          <w:ilvl w:val="0"/>
          <w:numId w:val="0"/>
        </w:numPr>
        <w:ind w:left="720"/>
        <w:jc w:val="both"/>
        <w:rPr>
          <w:rtl/>
        </w:rPr>
      </w:pPr>
      <w:r>
        <w:rPr>
          <w:rFonts w:hint="cs"/>
          <w:rtl/>
        </w:rPr>
        <w:t>(ד) 4 חודשי מאסר אולם הנאשם לא יישא עונש זה אלא אם יעבור תוך 3 שנים מיום שחרורו אחת העבירות בהן הורשע מסוג עוון.</w:t>
      </w:r>
    </w:p>
    <w:p w14:paraId="3929F4D7" w14:textId="77777777" w:rsidR="00D0331C" w:rsidRDefault="00655372">
      <w:pPr>
        <w:pStyle w:val="a"/>
        <w:numPr>
          <w:ilvl w:val="0"/>
          <w:numId w:val="0"/>
        </w:numPr>
        <w:ind w:left="720"/>
        <w:jc w:val="both"/>
        <w:rPr>
          <w:rFonts w:ascii="Arial (W1)" w:hAnsi="Arial (W1)"/>
          <w:rtl/>
        </w:rPr>
      </w:pPr>
      <w:r>
        <w:rPr>
          <w:rFonts w:ascii="Arial (W1)" w:hAnsi="Arial (W1)" w:hint="cs"/>
          <w:rtl/>
        </w:rPr>
        <w:t>ניתן צו כללי למוצגים לשיקול דעת קצין משטרה.</w:t>
      </w:r>
    </w:p>
    <w:p w14:paraId="19A2A277" w14:textId="77777777" w:rsidR="00D0331C" w:rsidRDefault="00655372">
      <w:pPr>
        <w:pStyle w:val="a"/>
        <w:numPr>
          <w:ilvl w:val="0"/>
          <w:numId w:val="0"/>
        </w:numPr>
        <w:ind w:left="720"/>
        <w:jc w:val="both"/>
        <w:rPr>
          <w:rtl/>
        </w:rPr>
      </w:pPr>
      <w:r>
        <w:rPr>
          <w:rFonts w:ascii="Arial (W1)" w:hAnsi="Arial (W1)" w:hint="cs"/>
          <w:rtl/>
        </w:rPr>
        <w:t>זכות ערעור כחוק.</w:t>
      </w:r>
    </w:p>
    <w:p w14:paraId="0F3F7837" w14:textId="77777777" w:rsidR="00D0331C" w:rsidRDefault="00655372">
      <w:pPr>
        <w:tabs>
          <w:tab w:val="left" w:pos="1625"/>
        </w:tabs>
        <w:jc w:val="right"/>
        <w:rPr>
          <w:rtl/>
        </w:rPr>
      </w:pPr>
      <w:r w:rsidRPr="00655372">
        <w:rPr>
          <w:rFonts w:ascii="Arial" w:hAnsi="Arial"/>
          <w:color w:val="FFFFFF"/>
          <w:sz w:val="2"/>
          <w:szCs w:val="2"/>
          <w:rtl/>
        </w:rPr>
        <w:t>5129371</w:t>
      </w:r>
      <w:r>
        <w:rPr>
          <w:rFonts w:ascii="Arial" w:hAnsi="Arial"/>
          <w:rtl/>
        </w:rPr>
        <w:t xml:space="preserve">ניתו היום,  י"ט חשוון תשע"ה , 12 נובמבר 2014, במעמד הצדדים. </w:t>
      </w:r>
    </w:p>
    <w:p w14:paraId="10F38650" w14:textId="77777777" w:rsidR="00D0331C" w:rsidRPr="00655372" w:rsidRDefault="00655372">
      <w:pPr>
        <w:tabs>
          <w:tab w:val="left" w:pos="1625"/>
        </w:tabs>
        <w:ind w:left="4135" w:firstLine="1625"/>
        <w:rPr>
          <w:color w:val="FFFFFF"/>
          <w:sz w:val="2"/>
          <w:szCs w:val="2"/>
          <w:rtl/>
        </w:rPr>
      </w:pPr>
      <w:r w:rsidRPr="00655372">
        <w:rPr>
          <w:color w:val="FFFFFF"/>
          <w:sz w:val="2"/>
          <w:szCs w:val="2"/>
          <w:rtl/>
        </w:rPr>
        <w:t>54678313</w:t>
      </w:r>
    </w:p>
    <w:tbl>
      <w:tblPr>
        <w:bidiVisual/>
        <w:tblW w:w="0" w:type="auto"/>
        <w:tblInd w:w="5733" w:type="dxa"/>
        <w:tblBorders>
          <w:top w:val="single" w:sz="4" w:space="0" w:color="auto"/>
        </w:tblBorders>
        <w:tblLook w:val="01E0" w:firstRow="1" w:lastRow="1" w:firstColumn="1" w:lastColumn="1" w:noHBand="0" w:noVBand="0"/>
      </w:tblPr>
      <w:tblGrid>
        <w:gridCol w:w="2700"/>
      </w:tblGrid>
      <w:tr w:rsidR="00D0331C" w14:paraId="2B3C2A5F" w14:textId="77777777">
        <w:tc>
          <w:tcPr>
            <w:tcW w:w="2700" w:type="dxa"/>
          </w:tcPr>
          <w:p w14:paraId="6974649B" w14:textId="77777777" w:rsidR="00D0331C" w:rsidRDefault="00655372">
            <w:pPr>
              <w:tabs>
                <w:tab w:val="left" w:pos="1625"/>
              </w:tabs>
              <w:jc w:val="center"/>
              <w:rPr>
                <w:b/>
                <w:bCs/>
                <w:sz w:val="26"/>
                <w:szCs w:val="26"/>
                <w:rtl/>
              </w:rPr>
            </w:pPr>
            <w:r>
              <w:rPr>
                <w:rFonts w:hint="cs"/>
                <w:b/>
                <w:bCs/>
                <w:sz w:val="26"/>
                <w:szCs w:val="26"/>
                <w:rtl/>
              </w:rPr>
              <w:t>בני שגיא, שופט</w:t>
            </w:r>
          </w:p>
          <w:p w14:paraId="31447B55" w14:textId="77777777" w:rsidR="00D0331C" w:rsidRDefault="00655372">
            <w:pPr>
              <w:tabs>
                <w:tab w:val="left" w:pos="1625"/>
              </w:tabs>
              <w:jc w:val="center"/>
              <w:rPr>
                <w:b/>
                <w:bCs/>
                <w:sz w:val="26"/>
                <w:szCs w:val="26"/>
                <w:rtl/>
              </w:rPr>
            </w:pPr>
            <w:r>
              <w:rPr>
                <w:rFonts w:hint="cs"/>
                <w:b/>
                <w:bCs/>
                <w:sz w:val="26"/>
                <w:szCs w:val="26"/>
                <w:rtl/>
              </w:rPr>
              <w:t>סגן נשיאה</w:t>
            </w:r>
          </w:p>
        </w:tc>
      </w:tr>
    </w:tbl>
    <w:p w14:paraId="3E3244B8" w14:textId="77777777" w:rsidR="00D0331C" w:rsidRDefault="00D0331C">
      <w:pPr>
        <w:tabs>
          <w:tab w:val="left" w:pos="1625"/>
        </w:tabs>
        <w:jc w:val="center"/>
        <w:rPr>
          <w:rtl/>
        </w:rPr>
      </w:pPr>
    </w:p>
    <w:p w14:paraId="29832841" w14:textId="77777777" w:rsidR="00655372" w:rsidRPr="00655372" w:rsidRDefault="00655372" w:rsidP="00655372">
      <w:pPr>
        <w:keepNext/>
        <w:rPr>
          <w:rFonts w:ascii="David" w:hAnsi="David"/>
          <w:color w:val="000000"/>
          <w:sz w:val="22"/>
          <w:szCs w:val="22"/>
          <w:rtl/>
        </w:rPr>
      </w:pPr>
    </w:p>
    <w:p w14:paraId="27ABFE30" w14:textId="77777777" w:rsidR="00655372" w:rsidRPr="00655372" w:rsidRDefault="00655372" w:rsidP="00655372">
      <w:pPr>
        <w:keepNext/>
        <w:rPr>
          <w:rFonts w:ascii="David" w:hAnsi="David"/>
          <w:color w:val="000000"/>
          <w:sz w:val="22"/>
          <w:szCs w:val="22"/>
          <w:rtl/>
        </w:rPr>
      </w:pPr>
      <w:r w:rsidRPr="00655372">
        <w:rPr>
          <w:rFonts w:ascii="David" w:hAnsi="David" w:hint="eastAsia"/>
          <w:color w:val="000000"/>
          <w:sz w:val="22"/>
          <w:szCs w:val="22"/>
          <w:rtl/>
        </w:rPr>
        <w:t>בני</w:t>
      </w:r>
      <w:r w:rsidRPr="00655372">
        <w:rPr>
          <w:rFonts w:ascii="David" w:hAnsi="David"/>
          <w:color w:val="000000"/>
          <w:sz w:val="22"/>
          <w:szCs w:val="22"/>
          <w:rtl/>
        </w:rPr>
        <w:t xml:space="preserve"> </w:t>
      </w:r>
      <w:r w:rsidRPr="00655372">
        <w:rPr>
          <w:rFonts w:ascii="David" w:hAnsi="David" w:hint="eastAsia"/>
          <w:color w:val="000000"/>
          <w:sz w:val="22"/>
          <w:szCs w:val="22"/>
          <w:rtl/>
        </w:rPr>
        <w:t>שגיא</w:t>
      </w:r>
      <w:r w:rsidRPr="00655372">
        <w:rPr>
          <w:rFonts w:ascii="David" w:hAnsi="David"/>
          <w:color w:val="000000"/>
          <w:sz w:val="22"/>
          <w:szCs w:val="22"/>
          <w:rtl/>
        </w:rPr>
        <w:t xml:space="preserve"> 54678313</w:t>
      </w:r>
    </w:p>
    <w:p w14:paraId="0C43303D" w14:textId="77777777" w:rsidR="00655372" w:rsidRDefault="00655372" w:rsidP="00655372">
      <w:r w:rsidRPr="00655372">
        <w:rPr>
          <w:rFonts w:hint="eastAsia"/>
          <w:color w:val="000000"/>
          <w:rtl/>
        </w:rPr>
        <w:t>נוסח</w:t>
      </w:r>
      <w:r w:rsidRPr="00655372">
        <w:rPr>
          <w:color w:val="000000"/>
          <w:rtl/>
        </w:rPr>
        <w:t xml:space="preserve"> </w:t>
      </w:r>
      <w:r w:rsidRPr="00655372">
        <w:rPr>
          <w:rFonts w:hint="eastAsia"/>
          <w:color w:val="000000"/>
          <w:rtl/>
        </w:rPr>
        <w:t>מסמך</w:t>
      </w:r>
      <w:r w:rsidRPr="00655372">
        <w:rPr>
          <w:color w:val="000000"/>
          <w:rtl/>
        </w:rPr>
        <w:t xml:space="preserve"> </w:t>
      </w:r>
      <w:r w:rsidRPr="00655372">
        <w:rPr>
          <w:rFonts w:hint="eastAsia"/>
          <w:color w:val="000000"/>
          <w:rtl/>
        </w:rPr>
        <w:t>זה</w:t>
      </w:r>
      <w:r w:rsidRPr="00655372">
        <w:rPr>
          <w:color w:val="000000"/>
          <w:rtl/>
        </w:rPr>
        <w:t xml:space="preserve"> </w:t>
      </w:r>
      <w:r w:rsidRPr="00655372">
        <w:rPr>
          <w:rFonts w:hint="eastAsia"/>
          <w:color w:val="000000"/>
          <w:rtl/>
        </w:rPr>
        <w:t>כפוף</w:t>
      </w:r>
      <w:r w:rsidRPr="00655372">
        <w:rPr>
          <w:color w:val="000000"/>
          <w:rtl/>
        </w:rPr>
        <w:t xml:space="preserve"> </w:t>
      </w:r>
      <w:r w:rsidRPr="00655372">
        <w:rPr>
          <w:rFonts w:hint="eastAsia"/>
          <w:color w:val="000000"/>
          <w:rtl/>
        </w:rPr>
        <w:t>לשינויי</w:t>
      </w:r>
      <w:r w:rsidRPr="00655372">
        <w:rPr>
          <w:color w:val="000000"/>
          <w:rtl/>
        </w:rPr>
        <w:t xml:space="preserve"> </w:t>
      </w:r>
      <w:r w:rsidRPr="00655372">
        <w:rPr>
          <w:rFonts w:hint="eastAsia"/>
          <w:color w:val="000000"/>
          <w:rtl/>
        </w:rPr>
        <w:t>ניסוח</w:t>
      </w:r>
      <w:r w:rsidRPr="00655372">
        <w:rPr>
          <w:color w:val="000000"/>
          <w:rtl/>
        </w:rPr>
        <w:t xml:space="preserve"> </w:t>
      </w:r>
      <w:r w:rsidRPr="00655372">
        <w:rPr>
          <w:rFonts w:hint="eastAsia"/>
          <w:color w:val="000000"/>
          <w:rtl/>
        </w:rPr>
        <w:t>ועריכה</w:t>
      </w:r>
    </w:p>
    <w:p w14:paraId="089E3B80" w14:textId="77777777" w:rsidR="00655372" w:rsidRDefault="00655372" w:rsidP="00655372">
      <w:pPr>
        <w:rPr>
          <w:rtl/>
        </w:rPr>
      </w:pPr>
    </w:p>
    <w:p w14:paraId="395D5ED7" w14:textId="77777777" w:rsidR="00655372" w:rsidRDefault="00655372" w:rsidP="00655372">
      <w:pPr>
        <w:jc w:val="center"/>
        <w:rPr>
          <w:color w:val="0000FF"/>
          <w:u w:val="single"/>
        </w:rPr>
      </w:pPr>
      <w:hyperlink r:id="rId62" w:history="1">
        <w:r>
          <w:rPr>
            <w:rFonts w:hint="eastAsia"/>
            <w:color w:val="0000FF"/>
            <w:u w:val="single"/>
            <w:rtl/>
          </w:rPr>
          <w:t>בעניין</w:t>
        </w:r>
        <w:r>
          <w:rPr>
            <w:color w:val="0000FF"/>
            <w:u w:val="single"/>
            <w:rtl/>
          </w:rPr>
          <w:t xml:space="preserve"> </w:t>
        </w:r>
        <w:r>
          <w:rPr>
            <w:rFonts w:hint="eastAsia"/>
            <w:color w:val="0000FF"/>
            <w:u w:val="single"/>
            <w:rtl/>
          </w:rPr>
          <w:t>עריכה</w:t>
        </w:r>
        <w:r>
          <w:rPr>
            <w:color w:val="0000FF"/>
            <w:u w:val="single"/>
            <w:rtl/>
          </w:rPr>
          <w:t xml:space="preserve"> </w:t>
        </w:r>
        <w:r>
          <w:rPr>
            <w:rFonts w:hint="eastAsia"/>
            <w:color w:val="0000FF"/>
            <w:u w:val="single"/>
            <w:rtl/>
          </w:rPr>
          <w:t>ושינויים</w:t>
        </w:r>
        <w:r>
          <w:rPr>
            <w:color w:val="0000FF"/>
            <w:u w:val="single"/>
            <w:rtl/>
          </w:rPr>
          <w:t xml:space="preserve"> </w:t>
        </w:r>
        <w:r>
          <w:rPr>
            <w:rFonts w:hint="eastAsia"/>
            <w:color w:val="0000FF"/>
            <w:u w:val="single"/>
            <w:rtl/>
          </w:rPr>
          <w:t>במסמכי</w:t>
        </w:r>
        <w:r>
          <w:rPr>
            <w:color w:val="0000FF"/>
            <w:u w:val="single"/>
            <w:rtl/>
          </w:rPr>
          <w:t xml:space="preserve"> </w:t>
        </w:r>
        <w:r>
          <w:rPr>
            <w:rFonts w:hint="eastAsia"/>
            <w:color w:val="0000FF"/>
            <w:u w:val="single"/>
            <w:rtl/>
          </w:rPr>
          <w:t>פסיקה</w:t>
        </w:r>
        <w:r>
          <w:rPr>
            <w:color w:val="0000FF"/>
            <w:u w:val="single"/>
            <w:rtl/>
          </w:rPr>
          <w:t xml:space="preserve">, </w:t>
        </w:r>
        <w:r>
          <w:rPr>
            <w:rFonts w:hint="eastAsia"/>
            <w:color w:val="0000FF"/>
            <w:u w:val="single"/>
            <w:rtl/>
          </w:rPr>
          <w:t>חקיקה</w:t>
        </w:r>
        <w:r>
          <w:rPr>
            <w:color w:val="0000FF"/>
            <w:u w:val="single"/>
            <w:rtl/>
          </w:rPr>
          <w:t xml:space="preserve"> </w:t>
        </w:r>
        <w:r>
          <w:rPr>
            <w:rFonts w:hint="eastAsia"/>
            <w:color w:val="0000FF"/>
            <w:u w:val="single"/>
            <w:rtl/>
          </w:rPr>
          <w:t>ועוד</w:t>
        </w:r>
        <w:r>
          <w:rPr>
            <w:color w:val="0000FF"/>
            <w:u w:val="single"/>
            <w:rtl/>
          </w:rPr>
          <w:t xml:space="preserve"> </w:t>
        </w:r>
        <w:r>
          <w:rPr>
            <w:rFonts w:hint="eastAsia"/>
            <w:color w:val="0000FF"/>
            <w:u w:val="single"/>
            <w:rtl/>
          </w:rPr>
          <w:t>באתר</w:t>
        </w:r>
        <w:r>
          <w:rPr>
            <w:color w:val="0000FF"/>
            <w:u w:val="single"/>
            <w:rtl/>
          </w:rPr>
          <w:t xml:space="preserve"> </w:t>
        </w:r>
        <w:r>
          <w:rPr>
            <w:rFonts w:hint="eastAsia"/>
            <w:color w:val="0000FF"/>
            <w:u w:val="single"/>
            <w:rtl/>
          </w:rPr>
          <w:t>נבו</w:t>
        </w:r>
        <w:r>
          <w:rPr>
            <w:color w:val="0000FF"/>
            <w:u w:val="single"/>
            <w:rtl/>
          </w:rPr>
          <w:t xml:space="preserve"> – </w:t>
        </w:r>
        <w:r>
          <w:rPr>
            <w:rFonts w:hint="eastAsia"/>
            <w:color w:val="0000FF"/>
            <w:u w:val="single"/>
            <w:rtl/>
          </w:rPr>
          <w:t>הקש</w:t>
        </w:r>
        <w:r>
          <w:rPr>
            <w:color w:val="0000FF"/>
            <w:u w:val="single"/>
            <w:rtl/>
          </w:rPr>
          <w:t xml:space="preserve"> </w:t>
        </w:r>
        <w:r>
          <w:rPr>
            <w:rFonts w:hint="eastAsia"/>
            <w:color w:val="0000FF"/>
            <w:u w:val="single"/>
            <w:rtl/>
          </w:rPr>
          <w:t>כאן</w:t>
        </w:r>
      </w:hyperlink>
    </w:p>
    <w:p w14:paraId="4E0C2091" w14:textId="77777777" w:rsidR="00D0331C" w:rsidRPr="00655372" w:rsidRDefault="00D0331C" w:rsidP="00655372">
      <w:pPr>
        <w:jc w:val="center"/>
        <w:rPr>
          <w:color w:val="0000FF"/>
          <w:u w:val="single"/>
        </w:rPr>
      </w:pPr>
    </w:p>
    <w:sectPr w:rsidR="00D0331C" w:rsidRPr="00655372" w:rsidSect="00655372">
      <w:headerReference w:type="even" r:id="rId63"/>
      <w:headerReference w:type="default" r:id="rId64"/>
      <w:footerReference w:type="even" r:id="rId65"/>
      <w:footerReference w:type="default" r:id="rId66"/>
      <w:pgSz w:w="11907" w:h="16840" w:code="9"/>
      <w:pgMar w:top="1701" w:right="1080" w:bottom="1440" w:left="1080"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FE8EEB1" w14:textId="77777777" w:rsidR="00A67409" w:rsidRPr="004D35F4" w:rsidRDefault="00A67409">
      <w:pPr>
        <w:rPr>
          <w:rFonts w:cs="Arial"/>
          <w:szCs w:val="20"/>
        </w:rPr>
      </w:pPr>
      <w:r>
        <w:separator/>
      </w:r>
    </w:p>
  </w:endnote>
  <w:endnote w:type="continuationSeparator" w:id="0">
    <w:p w14:paraId="62D812B2" w14:textId="77777777" w:rsidR="00A67409" w:rsidRPr="004D35F4" w:rsidRDefault="00A67409">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1)">
    <w:altName w:val="Arial"/>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CF4C57" w14:textId="77777777" w:rsidR="00655372" w:rsidRDefault="00655372" w:rsidP="00655372">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rtl/>
      </w:rPr>
      <w:t>8</w:t>
    </w:r>
    <w:r>
      <w:rPr>
        <w:rFonts w:ascii="FrankRuehl" w:hAnsi="FrankRuehl" w:cs="FrankRuehl"/>
        <w:rtl/>
      </w:rPr>
      <w:fldChar w:fldCharType="end"/>
    </w:r>
  </w:p>
  <w:p w14:paraId="09B097A6" w14:textId="77777777" w:rsidR="00655372" w:rsidRPr="00655372" w:rsidRDefault="00655372" w:rsidP="00655372">
    <w:pPr>
      <w:pStyle w:val="a5"/>
      <w:pBdr>
        <w:top w:val="single" w:sz="4" w:space="1" w:color="auto"/>
        <w:between w:val="single" w:sz="4" w:space="0" w:color="auto"/>
      </w:pBdr>
      <w:spacing w:after="60"/>
      <w:jc w:val="center"/>
      <w:rPr>
        <w:rFonts w:ascii="FrankRuehl" w:hAnsi="FrankRuehl" w:cs="FrankRuehl"/>
        <w:color w:val="000000"/>
      </w:rPr>
    </w:pPr>
    <w:r w:rsidRPr="00655372">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6B21CF" w14:textId="77777777" w:rsidR="00655372" w:rsidRDefault="00655372" w:rsidP="00655372">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4D5760">
      <w:rPr>
        <w:rFonts w:ascii="FrankRuehl" w:hAnsi="FrankRuehl" w:cs="FrankRuehl"/>
        <w:rtl/>
      </w:rPr>
      <w:t>1</w:t>
    </w:r>
    <w:r>
      <w:rPr>
        <w:rFonts w:ascii="FrankRuehl" w:hAnsi="FrankRuehl" w:cs="FrankRuehl"/>
        <w:rtl/>
      </w:rPr>
      <w:fldChar w:fldCharType="end"/>
    </w:r>
  </w:p>
  <w:p w14:paraId="52FCCE1A" w14:textId="77777777" w:rsidR="00D0331C" w:rsidRPr="00655372" w:rsidRDefault="00655372" w:rsidP="00655372">
    <w:pPr>
      <w:pStyle w:val="a5"/>
      <w:pBdr>
        <w:top w:val="single" w:sz="4" w:space="1" w:color="auto"/>
        <w:between w:val="single" w:sz="4" w:space="0" w:color="auto"/>
      </w:pBdr>
      <w:spacing w:after="60"/>
      <w:jc w:val="center"/>
      <w:rPr>
        <w:rFonts w:ascii="FrankRuehl" w:hAnsi="FrankRuehl" w:cs="FrankRuehl"/>
        <w:color w:val="000000"/>
      </w:rPr>
    </w:pPr>
    <w:r w:rsidRPr="00655372">
      <w:rPr>
        <w:rFonts w:ascii="FrankRuehl" w:hAnsi="FrankRuehl" w:cs="FrankRuehl"/>
        <w:color w:val="000000"/>
      </w:rPr>
      <w:pict w14:anchorId="6FD1121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47715FF" w14:textId="77777777" w:rsidR="00A67409" w:rsidRPr="004D35F4" w:rsidRDefault="00A67409">
      <w:pPr>
        <w:rPr>
          <w:rFonts w:cs="Arial"/>
          <w:szCs w:val="20"/>
        </w:rPr>
      </w:pPr>
      <w:r>
        <w:separator/>
      </w:r>
    </w:p>
  </w:footnote>
  <w:footnote w:type="continuationSeparator" w:id="0">
    <w:p w14:paraId="5609DE24" w14:textId="77777777" w:rsidR="00A67409" w:rsidRPr="004D35F4" w:rsidRDefault="00A67409">
      <w:pP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DC792D" w14:textId="77777777" w:rsidR="00655372" w:rsidRPr="00655372" w:rsidRDefault="00655372" w:rsidP="00655372">
    <w:pPr>
      <w:pStyle w:val="a4"/>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(ת"א) 13504-12-09</w:t>
    </w:r>
    <w:r>
      <w:rPr>
        <w:rFonts w:ascii="David" w:hAnsi="David"/>
        <w:color w:val="000000"/>
        <w:sz w:val="22"/>
        <w:szCs w:val="22"/>
        <w:rtl/>
      </w:rPr>
      <w:tab/>
      <w:t xml:space="preserve"> מדינת ישראל נ' מיכאל שמחה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AA7425" w14:textId="77777777" w:rsidR="00655372" w:rsidRPr="00655372" w:rsidRDefault="00655372" w:rsidP="00655372">
    <w:pPr>
      <w:pStyle w:val="a4"/>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(ת"א) 13504-12-09</w:t>
    </w:r>
    <w:r>
      <w:rPr>
        <w:rFonts w:ascii="David" w:hAnsi="David"/>
        <w:color w:val="000000"/>
        <w:sz w:val="22"/>
        <w:szCs w:val="22"/>
        <w:rtl/>
      </w:rPr>
      <w:tab/>
      <w:t xml:space="preserve"> מדינת ישראל נ' מיכאל שמחה</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5E6DF5"/>
    <w:multiLevelType w:val="hybridMultilevel"/>
    <w:tmpl w:val="98A0C664"/>
    <w:lvl w:ilvl="0" w:tplc="93A48508">
      <w:start w:val="1"/>
      <w:numFmt w:val="decimal"/>
      <w:pStyle w:val="a"/>
      <w:lvlText w:val="%1."/>
      <w:lvlJc w:val="left"/>
      <w:pPr>
        <w:tabs>
          <w:tab w:val="num" w:pos="720"/>
        </w:tabs>
        <w:ind w:left="720" w:hanging="720"/>
      </w:pPr>
      <w:rPr>
        <w:rFonts w:cs="David"/>
        <w:lang w:val="en-US"/>
      </w:rPr>
    </w:lvl>
    <w:lvl w:ilvl="1" w:tplc="BA1C55E6">
      <w:start w:val="1"/>
      <w:numFmt w:val="hebrew1"/>
      <w:lvlText w:val="%2."/>
      <w:lvlJc w:val="left"/>
      <w:pPr>
        <w:tabs>
          <w:tab w:val="num" w:pos="1777"/>
        </w:tabs>
        <w:ind w:left="1777" w:hanging="360"/>
      </w:pPr>
      <w:rPr>
        <w:rFonts w:cs="David"/>
        <w:szCs w:val="24"/>
      </w:rPr>
    </w:lvl>
    <w:lvl w:ilvl="2" w:tplc="C3B0CB38">
      <w:start w:val="1"/>
      <w:numFmt w:val="decimal"/>
      <w:lvlText w:val="(%3)"/>
      <w:lvlJc w:val="left"/>
      <w:pPr>
        <w:tabs>
          <w:tab w:val="num" w:pos="2482"/>
        </w:tabs>
        <w:ind w:left="2482" w:hanging="360"/>
      </w:pPr>
      <w:rPr>
        <w:rFonts w:cs="Times New Roman"/>
      </w:rPr>
    </w:lvl>
    <w:lvl w:ilvl="3" w:tplc="0409000F">
      <w:start w:val="1"/>
      <w:numFmt w:val="decimal"/>
      <w:lvlText w:val="%4."/>
      <w:lvlJc w:val="left"/>
      <w:pPr>
        <w:tabs>
          <w:tab w:val="num" w:pos="3022"/>
        </w:tabs>
        <w:ind w:left="3022" w:hanging="360"/>
      </w:pPr>
      <w:rPr>
        <w:rFonts w:cs="Times New Roman"/>
      </w:rPr>
    </w:lvl>
    <w:lvl w:ilvl="4" w:tplc="04090019">
      <w:start w:val="1"/>
      <w:numFmt w:val="lowerLetter"/>
      <w:lvlText w:val="%5."/>
      <w:lvlJc w:val="left"/>
      <w:pPr>
        <w:tabs>
          <w:tab w:val="num" w:pos="3742"/>
        </w:tabs>
        <w:ind w:left="3742" w:hanging="360"/>
      </w:pPr>
      <w:rPr>
        <w:rFonts w:cs="Times New Roman"/>
      </w:rPr>
    </w:lvl>
    <w:lvl w:ilvl="5" w:tplc="0409001B">
      <w:start w:val="1"/>
      <w:numFmt w:val="lowerRoman"/>
      <w:lvlText w:val="%6."/>
      <w:lvlJc w:val="right"/>
      <w:pPr>
        <w:tabs>
          <w:tab w:val="num" w:pos="4462"/>
        </w:tabs>
        <w:ind w:left="4462" w:hanging="180"/>
      </w:pPr>
      <w:rPr>
        <w:rFonts w:cs="Times New Roman"/>
      </w:rPr>
    </w:lvl>
    <w:lvl w:ilvl="6" w:tplc="0409000F">
      <w:start w:val="1"/>
      <w:numFmt w:val="decimal"/>
      <w:lvlText w:val="%7."/>
      <w:lvlJc w:val="left"/>
      <w:pPr>
        <w:tabs>
          <w:tab w:val="num" w:pos="5182"/>
        </w:tabs>
        <w:ind w:left="5182" w:hanging="360"/>
      </w:pPr>
      <w:rPr>
        <w:rFonts w:cs="Times New Roman"/>
      </w:rPr>
    </w:lvl>
    <w:lvl w:ilvl="7" w:tplc="04090019">
      <w:start w:val="1"/>
      <w:numFmt w:val="lowerLetter"/>
      <w:lvlText w:val="%8."/>
      <w:lvlJc w:val="left"/>
      <w:pPr>
        <w:tabs>
          <w:tab w:val="num" w:pos="5902"/>
        </w:tabs>
        <w:ind w:left="5902" w:hanging="360"/>
      </w:pPr>
      <w:rPr>
        <w:rFonts w:cs="Times New Roman"/>
      </w:rPr>
    </w:lvl>
    <w:lvl w:ilvl="8" w:tplc="0409001B">
      <w:start w:val="1"/>
      <w:numFmt w:val="lowerRoman"/>
      <w:lvlText w:val="%9."/>
      <w:lvlJc w:val="right"/>
      <w:pPr>
        <w:tabs>
          <w:tab w:val="num" w:pos="6622"/>
        </w:tabs>
        <w:ind w:left="6622" w:hanging="180"/>
      </w:pPr>
      <w:rPr>
        <w:rFonts w:cs="Times New Roman"/>
      </w:rPr>
    </w:lvl>
  </w:abstractNum>
  <w:num w:numId="1" w16cid:durableId="208787166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D0331C"/>
    <w:rsid w:val="002721D6"/>
    <w:rsid w:val="004D5760"/>
    <w:rsid w:val="00655372"/>
    <w:rsid w:val="00932406"/>
    <w:rsid w:val="009E6E52"/>
    <w:rsid w:val="00A67409"/>
    <w:rsid w:val="00D0331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6190257B"/>
  <w15:chartTrackingRefBased/>
  <w15:docId w15:val="{6B8C9C66-3A81-4E48-A707-2CCBF6E3F2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0">
    <w:name w:val="Normal"/>
    <w:qFormat/>
    <w:rsid w:val="00D0331C"/>
    <w:pPr>
      <w:bidi/>
    </w:pPr>
    <w:rPr>
      <w:rFonts w:ascii="Arial (W1)" w:hAnsi="Arial (W1)" w:cs="David"/>
      <w:noProof/>
      <w:sz w:val="24"/>
      <w:szCs w:val="24"/>
    </w:rPr>
  </w:style>
  <w:style w:type="character" w:default="1" w:styleId="a1">
    <w:name w:val="Default Paragraph Font"/>
    <w:semiHidden/>
  </w:style>
  <w:style w:type="table" w:default="1" w:styleId="a2">
    <w:name w:val="Normal Table"/>
    <w:semiHidden/>
    <w:tblPr>
      <w:tblInd w:w="0" w:type="dxa"/>
      <w:tblCellMar>
        <w:top w:w="0" w:type="dxa"/>
        <w:left w:w="108" w:type="dxa"/>
        <w:bottom w:w="0" w:type="dxa"/>
        <w:right w:w="108" w:type="dxa"/>
      </w:tblCellMar>
    </w:tblPr>
  </w:style>
  <w:style w:type="numbering" w:default="1" w:styleId="a3">
    <w:name w:val="No List"/>
    <w:semiHidden/>
  </w:style>
  <w:style w:type="paragraph" w:styleId="a4">
    <w:name w:val="header"/>
    <w:basedOn w:val="a0"/>
    <w:rsid w:val="00D0331C"/>
    <w:pPr>
      <w:tabs>
        <w:tab w:val="center" w:pos="4153"/>
        <w:tab w:val="right" w:pos="8306"/>
      </w:tabs>
    </w:pPr>
  </w:style>
  <w:style w:type="paragraph" w:styleId="a5">
    <w:name w:val="footer"/>
    <w:basedOn w:val="a0"/>
    <w:rsid w:val="00D0331C"/>
    <w:pPr>
      <w:tabs>
        <w:tab w:val="center" w:pos="4153"/>
        <w:tab w:val="right" w:pos="8306"/>
      </w:tabs>
    </w:pPr>
  </w:style>
  <w:style w:type="paragraph" w:customStyle="1" w:styleId="normal-p">
    <w:name w:val="normal-p"/>
    <w:basedOn w:val="a0"/>
    <w:rsid w:val="00D0331C"/>
    <w:pPr>
      <w:bidi w:val="0"/>
      <w:spacing w:before="100" w:beforeAutospacing="1" w:after="100" w:afterAutospacing="1"/>
    </w:pPr>
    <w:rPr>
      <w:rFonts w:ascii="Times New Roman" w:hAnsi="Times New Roman" w:cs="Times New Roman"/>
      <w:noProof w:val="0"/>
    </w:rPr>
  </w:style>
  <w:style w:type="paragraph" w:customStyle="1" w:styleId="a6">
    <w:name w:val="כותרת"/>
    <w:basedOn w:val="a0"/>
    <w:next w:val="a7"/>
    <w:autoRedefine/>
    <w:rsid w:val="00D0331C"/>
    <w:pPr>
      <w:spacing w:after="120" w:line="360" w:lineRule="auto"/>
      <w:ind w:firstLine="720"/>
      <w:jc w:val="both"/>
    </w:pPr>
    <w:rPr>
      <w:rFonts w:ascii="Times New Roman" w:hAnsi="Times New Roman"/>
      <w:b/>
      <w:noProof w:val="0"/>
      <w:u w:val="single"/>
      <w:lang w:eastAsia="he-IL"/>
    </w:rPr>
  </w:style>
  <w:style w:type="character" w:customStyle="1" w:styleId="a8">
    <w:name w:val="ממוספר תו"/>
    <w:link w:val="a"/>
    <w:locked/>
    <w:rsid w:val="00D0331C"/>
    <w:rPr>
      <w:rFonts w:ascii="David" w:hAnsi="David"/>
      <w:color w:val="000000"/>
      <w:sz w:val="24"/>
      <w:szCs w:val="24"/>
      <w:lang w:bidi="he-IL"/>
    </w:rPr>
  </w:style>
  <w:style w:type="paragraph" w:customStyle="1" w:styleId="a">
    <w:name w:val="ממוספר"/>
    <w:basedOn w:val="a0"/>
    <w:link w:val="a8"/>
    <w:rsid w:val="00D0331C"/>
    <w:pPr>
      <w:numPr>
        <w:numId w:val="1"/>
      </w:numPr>
      <w:spacing w:after="120" w:line="360" w:lineRule="auto"/>
    </w:pPr>
    <w:rPr>
      <w:rFonts w:ascii="David" w:hAnsi="David" w:cs="Times New Roman"/>
      <w:noProof w:val="0"/>
      <w:color w:val="000000"/>
    </w:rPr>
  </w:style>
  <w:style w:type="paragraph" w:styleId="a7">
    <w:name w:val="List"/>
    <w:basedOn w:val="a0"/>
    <w:rsid w:val="00D0331C"/>
    <w:pPr>
      <w:ind w:left="283" w:hanging="283"/>
    </w:pPr>
  </w:style>
  <w:style w:type="character" w:styleId="a9">
    <w:name w:val="page number"/>
    <w:basedOn w:val="a1"/>
    <w:rsid w:val="00655372"/>
  </w:style>
  <w:style w:type="character" w:styleId="Hyperlink">
    <w:name w:val="Hyperlink"/>
    <w:basedOn w:val="a1"/>
    <w:rsid w:val="0065537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4216" TargetMode="External"/><Relationship Id="rId21" Type="http://schemas.openxmlformats.org/officeDocument/2006/relationships/hyperlink" Target="http://www.nevo.co.il/law/70301/407.b" TargetMode="External"/><Relationship Id="rId34" Type="http://schemas.openxmlformats.org/officeDocument/2006/relationships/hyperlink" Target="http://www.nevo.co.il/law/70301" TargetMode="External"/><Relationship Id="rId42" Type="http://schemas.openxmlformats.org/officeDocument/2006/relationships/hyperlink" Target="http://www.nevo.co.il/law/70301/384" TargetMode="External"/><Relationship Id="rId47" Type="http://schemas.openxmlformats.org/officeDocument/2006/relationships/hyperlink" Target="http://www.nevo.co.il/law/4216/7.a.;7.c" TargetMode="External"/><Relationship Id="rId50" Type="http://schemas.openxmlformats.org/officeDocument/2006/relationships/hyperlink" Target="http://www.nevo.co.il/law/4216/7.a.;7.c" TargetMode="External"/><Relationship Id="rId55" Type="http://schemas.openxmlformats.org/officeDocument/2006/relationships/hyperlink" Target="http://www.nevo.co.il/law/70301/384" TargetMode="External"/><Relationship Id="rId63" Type="http://schemas.openxmlformats.org/officeDocument/2006/relationships/header" Target="header1.xml"/><Relationship Id="rId68" Type="http://schemas.openxmlformats.org/officeDocument/2006/relationships/theme" Target="theme/theme1.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law/4216/7.c" TargetMode="External"/><Relationship Id="rId29" Type="http://schemas.openxmlformats.org/officeDocument/2006/relationships/hyperlink" Target="http://www.nevo.co.il/law/70301" TargetMode="External"/><Relationship Id="rId11" Type="http://schemas.openxmlformats.org/officeDocument/2006/relationships/hyperlink" Target="http://www.nevo.co.il/law/70301/406.b" TargetMode="External"/><Relationship Id="rId24" Type="http://schemas.openxmlformats.org/officeDocument/2006/relationships/hyperlink" Target="http://www.nevo.co.il/case/4192566" TargetMode="External"/><Relationship Id="rId32" Type="http://schemas.openxmlformats.org/officeDocument/2006/relationships/hyperlink" Target="http://www.nevo.co.il/law/4216/7.a.c" TargetMode="External"/><Relationship Id="rId37" Type="http://schemas.openxmlformats.org/officeDocument/2006/relationships/hyperlink" Target="http://www.nevo.co.il/law/70301" TargetMode="External"/><Relationship Id="rId40" Type="http://schemas.openxmlformats.org/officeDocument/2006/relationships/hyperlink" Target="http://www.nevo.co.il/law/70301/384" TargetMode="External"/><Relationship Id="rId45" Type="http://schemas.openxmlformats.org/officeDocument/2006/relationships/hyperlink" Target="http://www.nevo.co.il/law/70301" TargetMode="External"/><Relationship Id="rId53" Type="http://schemas.openxmlformats.org/officeDocument/2006/relationships/hyperlink" Target="http://www.nevo.co.il/law/72265" TargetMode="External"/><Relationship Id="rId58" Type="http://schemas.openxmlformats.org/officeDocument/2006/relationships/hyperlink" Target="http://www.nevo.co.il/law/4216/7.a.;7.c" TargetMode="External"/><Relationship Id="rId66" Type="http://schemas.openxmlformats.org/officeDocument/2006/relationships/footer" Target="footer2.xml"/><Relationship Id="rId5" Type="http://schemas.openxmlformats.org/officeDocument/2006/relationships/footnotes" Target="footnotes.xml"/><Relationship Id="rId61" Type="http://schemas.openxmlformats.org/officeDocument/2006/relationships/hyperlink" Target="http://www.nevo.co.il/law/70301" TargetMode="External"/><Relationship Id="rId19" Type="http://schemas.openxmlformats.org/officeDocument/2006/relationships/hyperlink" Target="http://www.nevo.co.il/law/72265/17" TargetMode="External"/><Relationship Id="rId14" Type="http://schemas.openxmlformats.org/officeDocument/2006/relationships/hyperlink" Target="http://www.nevo.co.il/law/4216/7.a." TargetMode="External"/><Relationship Id="rId22" Type="http://schemas.openxmlformats.org/officeDocument/2006/relationships/hyperlink" Target="http://www.nevo.co.il/law/70301/384" TargetMode="External"/><Relationship Id="rId27" Type="http://schemas.openxmlformats.org/officeDocument/2006/relationships/hyperlink" Target="http://www.nevo.co.il/case/4564093" TargetMode="External"/><Relationship Id="rId30" Type="http://schemas.openxmlformats.org/officeDocument/2006/relationships/hyperlink" Target="http://www.nevo.co.il/law/70301/275" TargetMode="External"/><Relationship Id="rId35" Type="http://schemas.openxmlformats.org/officeDocument/2006/relationships/hyperlink" Target="http://www.nevo.co.il/case/2583669" TargetMode="External"/><Relationship Id="rId43" Type="http://schemas.openxmlformats.org/officeDocument/2006/relationships/hyperlink" Target="http://www.nevo.co.il/law/70301" TargetMode="External"/><Relationship Id="rId48" Type="http://schemas.openxmlformats.org/officeDocument/2006/relationships/hyperlink" Target="http://www.nevo.co.il/law/70301/275" TargetMode="External"/><Relationship Id="rId56" Type="http://schemas.openxmlformats.org/officeDocument/2006/relationships/hyperlink" Target="http://www.nevo.co.il/law/70301" TargetMode="External"/><Relationship Id="rId64" Type="http://schemas.openxmlformats.org/officeDocument/2006/relationships/header" Target="header2.xml"/><Relationship Id="rId8" Type="http://schemas.openxmlformats.org/officeDocument/2006/relationships/hyperlink" Target="http://www.nevo.co.il/law/70301/186.a" TargetMode="External"/><Relationship Id="rId51" Type="http://schemas.openxmlformats.org/officeDocument/2006/relationships/hyperlink" Target="http://www.nevo.co.il/case/4641205" TargetMode="External"/><Relationship Id="rId3" Type="http://schemas.openxmlformats.org/officeDocument/2006/relationships/settings" Target="settings.xml"/><Relationship Id="rId12" Type="http://schemas.openxmlformats.org/officeDocument/2006/relationships/hyperlink" Target="http://www.nevo.co.il/law/70301/407.b" TargetMode="External"/><Relationship Id="rId17" Type="http://schemas.openxmlformats.org/officeDocument/2006/relationships/hyperlink" Target="http://www.nevo.co.il/law/72265" TargetMode="External"/><Relationship Id="rId25" Type="http://schemas.openxmlformats.org/officeDocument/2006/relationships/hyperlink" Target="http://www.nevo.co.il/law/4216/7.a.c" TargetMode="External"/><Relationship Id="rId33" Type="http://schemas.openxmlformats.org/officeDocument/2006/relationships/hyperlink" Target="http://www.nevo.co.il/law/70301/186.a" TargetMode="External"/><Relationship Id="rId38" Type="http://schemas.openxmlformats.org/officeDocument/2006/relationships/hyperlink" Target="http://www.nevo.co.il/law/70301/384" TargetMode="External"/><Relationship Id="rId46" Type="http://schemas.openxmlformats.org/officeDocument/2006/relationships/hyperlink" Target="http://www.nevo.co.il/case/6245441" TargetMode="External"/><Relationship Id="rId59" Type="http://schemas.openxmlformats.org/officeDocument/2006/relationships/hyperlink" Target="http://www.nevo.co.il/case/7845874" TargetMode="External"/><Relationship Id="rId67" Type="http://schemas.openxmlformats.org/officeDocument/2006/relationships/fontTable" Target="fontTable.xml"/><Relationship Id="rId20" Type="http://schemas.openxmlformats.org/officeDocument/2006/relationships/hyperlink" Target="http://www.nevo.co.il/case/4724496" TargetMode="External"/><Relationship Id="rId41" Type="http://schemas.openxmlformats.org/officeDocument/2006/relationships/hyperlink" Target="http://www.nevo.co.il/law/70301" TargetMode="External"/><Relationship Id="rId54" Type="http://schemas.openxmlformats.org/officeDocument/2006/relationships/hyperlink" Target="http://www.nevo.co.il/law/72265/17" TargetMode="External"/><Relationship Id="rId62" Type="http://schemas.openxmlformats.org/officeDocument/2006/relationships/hyperlink" Target="http://www.nevo.co.il/advertisements/nevo-100.doc"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4216/7.a.c" TargetMode="External"/><Relationship Id="rId23" Type="http://schemas.openxmlformats.org/officeDocument/2006/relationships/hyperlink" Target="http://www.nevo.co.il/law/70301" TargetMode="External"/><Relationship Id="rId28" Type="http://schemas.openxmlformats.org/officeDocument/2006/relationships/hyperlink" Target="http://www.nevo.co.il/law/70301/384" TargetMode="External"/><Relationship Id="rId36" Type="http://schemas.openxmlformats.org/officeDocument/2006/relationships/hyperlink" Target="http://www.nevo.co.il/law/70301/406.b" TargetMode="External"/><Relationship Id="rId49" Type="http://schemas.openxmlformats.org/officeDocument/2006/relationships/hyperlink" Target="http://www.nevo.co.il/law/70301" TargetMode="External"/><Relationship Id="rId57" Type="http://schemas.openxmlformats.org/officeDocument/2006/relationships/hyperlink" Target="http://www.nevo.co.il/case/4600934" TargetMode="External"/><Relationship Id="rId10" Type="http://schemas.openxmlformats.org/officeDocument/2006/relationships/hyperlink" Target="http://www.nevo.co.il/law/70301/384" TargetMode="External"/><Relationship Id="rId31" Type="http://schemas.openxmlformats.org/officeDocument/2006/relationships/hyperlink" Target="http://www.nevo.co.il/case/5627311" TargetMode="External"/><Relationship Id="rId44" Type="http://schemas.openxmlformats.org/officeDocument/2006/relationships/hyperlink" Target="http://www.nevo.co.il/law/70301/384" TargetMode="External"/><Relationship Id="rId52" Type="http://schemas.openxmlformats.org/officeDocument/2006/relationships/hyperlink" Target="http://www.nevo.co.il/law/72265/16" TargetMode="External"/><Relationship Id="rId60" Type="http://schemas.openxmlformats.org/officeDocument/2006/relationships/hyperlink" Target="http://www.nevo.co.il/law/70301/406.b" TargetMode="External"/><Relationship Id="rId65"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nevo.co.il/law/70301/275" TargetMode="External"/><Relationship Id="rId13" Type="http://schemas.openxmlformats.org/officeDocument/2006/relationships/hyperlink" Target="http://www.nevo.co.il/law/4216" TargetMode="External"/><Relationship Id="rId18" Type="http://schemas.openxmlformats.org/officeDocument/2006/relationships/hyperlink" Target="http://www.nevo.co.il/law/72265/16" TargetMode="External"/><Relationship Id="rId39" Type="http://schemas.openxmlformats.org/officeDocument/2006/relationships/hyperlink" Target="http://www.nevo.co.il/law/70301"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2965</Words>
  <Characters>14827</Characters>
  <Application>Microsoft Office Word</Application>
  <DocSecurity>0</DocSecurity>
  <Lines>123</Lines>
  <Paragraphs>35</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17757</CharactersWithSpaces>
  <SharedDoc>false</SharedDoc>
  <HLinks>
    <vt:vector size="336" baseType="variant">
      <vt:variant>
        <vt:i4>393283</vt:i4>
      </vt:variant>
      <vt:variant>
        <vt:i4>165</vt:i4>
      </vt:variant>
      <vt:variant>
        <vt:i4>0</vt:i4>
      </vt:variant>
      <vt:variant>
        <vt:i4>5</vt:i4>
      </vt:variant>
      <vt:variant>
        <vt:lpwstr>http://www.nevo.co.il/advertisements/nevo-100.doc</vt:lpwstr>
      </vt:variant>
      <vt:variant>
        <vt:lpwstr/>
      </vt:variant>
      <vt:variant>
        <vt:i4>7995492</vt:i4>
      </vt:variant>
      <vt:variant>
        <vt:i4>162</vt:i4>
      </vt:variant>
      <vt:variant>
        <vt:i4>0</vt:i4>
      </vt:variant>
      <vt:variant>
        <vt:i4>5</vt:i4>
      </vt:variant>
      <vt:variant>
        <vt:lpwstr>http://www.nevo.co.il/law/70301</vt:lpwstr>
      </vt:variant>
      <vt:variant>
        <vt:lpwstr/>
      </vt:variant>
      <vt:variant>
        <vt:i4>4915287</vt:i4>
      </vt:variant>
      <vt:variant>
        <vt:i4>159</vt:i4>
      </vt:variant>
      <vt:variant>
        <vt:i4>0</vt:i4>
      </vt:variant>
      <vt:variant>
        <vt:i4>5</vt:i4>
      </vt:variant>
      <vt:variant>
        <vt:lpwstr>http://www.nevo.co.il/law/70301/406.b</vt:lpwstr>
      </vt:variant>
      <vt:variant>
        <vt:lpwstr/>
      </vt:variant>
      <vt:variant>
        <vt:i4>4128894</vt:i4>
      </vt:variant>
      <vt:variant>
        <vt:i4>156</vt:i4>
      </vt:variant>
      <vt:variant>
        <vt:i4>0</vt:i4>
      </vt:variant>
      <vt:variant>
        <vt:i4>5</vt:i4>
      </vt:variant>
      <vt:variant>
        <vt:lpwstr>http://www.nevo.co.il/case/7845874</vt:lpwstr>
      </vt:variant>
      <vt:variant>
        <vt:lpwstr/>
      </vt:variant>
      <vt:variant>
        <vt:i4>3997821</vt:i4>
      </vt:variant>
      <vt:variant>
        <vt:i4>153</vt:i4>
      </vt:variant>
      <vt:variant>
        <vt:i4>0</vt:i4>
      </vt:variant>
      <vt:variant>
        <vt:i4>5</vt:i4>
      </vt:variant>
      <vt:variant>
        <vt:lpwstr>http://www.nevo.co.il/law/4216/7.a.;7.c</vt:lpwstr>
      </vt:variant>
      <vt:variant>
        <vt:lpwstr/>
      </vt:variant>
      <vt:variant>
        <vt:i4>3735665</vt:i4>
      </vt:variant>
      <vt:variant>
        <vt:i4>150</vt:i4>
      </vt:variant>
      <vt:variant>
        <vt:i4>0</vt:i4>
      </vt:variant>
      <vt:variant>
        <vt:i4>5</vt:i4>
      </vt:variant>
      <vt:variant>
        <vt:lpwstr>http://www.nevo.co.il/case/4600934</vt:lpwstr>
      </vt:variant>
      <vt:variant>
        <vt:lpwstr/>
      </vt:variant>
      <vt:variant>
        <vt:i4>7995492</vt:i4>
      </vt:variant>
      <vt:variant>
        <vt:i4>147</vt:i4>
      </vt:variant>
      <vt:variant>
        <vt:i4>0</vt:i4>
      </vt:variant>
      <vt:variant>
        <vt:i4>5</vt:i4>
      </vt:variant>
      <vt:variant>
        <vt:lpwstr>http://www.nevo.co.il/law/70301</vt:lpwstr>
      </vt:variant>
      <vt:variant>
        <vt:lpwstr/>
      </vt:variant>
      <vt:variant>
        <vt:i4>7143526</vt:i4>
      </vt:variant>
      <vt:variant>
        <vt:i4>144</vt:i4>
      </vt:variant>
      <vt:variant>
        <vt:i4>0</vt:i4>
      </vt:variant>
      <vt:variant>
        <vt:i4>5</vt:i4>
      </vt:variant>
      <vt:variant>
        <vt:lpwstr>http://www.nevo.co.il/law/70301/384</vt:lpwstr>
      </vt:variant>
      <vt:variant>
        <vt:lpwstr/>
      </vt:variant>
      <vt:variant>
        <vt:i4>6684769</vt:i4>
      </vt:variant>
      <vt:variant>
        <vt:i4>141</vt:i4>
      </vt:variant>
      <vt:variant>
        <vt:i4>0</vt:i4>
      </vt:variant>
      <vt:variant>
        <vt:i4>5</vt:i4>
      </vt:variant>
      <vt:variant>
        <vt:lpwstr>http://www.nevo.co.il/law/72265/17</vt:lpwstr>
      </vt:variant>
      <vt:variant>
        <vt:lpwstr/>
      </vt:variant>
      <vt:variant>
        <vt:i4>8257637</vt:i4>
      </vt:variant>
      <vt:variant>
        <vt:i4>138</vt:i4>
      </vt:variant>
      <vt:variant>
        <vt:i4>0</vt:i4>
      </vt:variant>
      <vt:variant>
        <vt:i4>5</vt:i4>
      </vt:variant>
      <vt:variant>
        <vt:lpwstr>http://www.nevo.co.il/law/72265</vt:lpwstr>
      </vt:variant>
      <vt:variant>
        <vt:lpwstr/>
      </vt:variant>
      <vt:variant>
        <vt:i4>6750305</vt:i4>
      </vt:variant>
      <vt:variant>
        <vt:i4>135</vt:i4>
      </vt:variant>
      <vt:variant>
        <vt:i4>0</vt:i4>
      </vt:variant>
      <vt:variant>
        <vt:i4>5</vt:i4>
      </vt:variant>
      <vt:variant>
        <vt:lpwstr>http://www.nevo.co.il/law/72265/16</vt:lpwstr>
      </vt:variant>
      <vt:variant>
        <vt:lpwstr/>
      </vt:variant>
      <vt:variant>
        <vt:i4>3604595</vt:i4>
      </vt:variant>
      <vt:variant>
        <vt:i4>132</vt:i4>
      </vt:variant>
      <vt:variant>
        <vt:i4>0</vt:i4>
      </vt:variant>
      <vt:variant>
        <vt:i4>5</vt:i4>
      </vt:variant>
      <vt:variant>
        <vt:lpwstr>http://www.nevo.co.il/case/4641205</vt:lpwstr>
      </vt:variant>
      <vt:variant>
        <vt:lpwstr/>
      </vt:variant>
      <vt:variant>
        <vt:i4>3997821</vt:i4>
      </vt:variant>
      <vt:variant>
        <vt:i4>129</vt:i4>
      </vt:variant>
      <vt:variant>
        <vt:i4>0</vt:i4>
      </vt:variant>
      <vt:variant>
        <vt:i4>5</vt:i4>
      </vt:variant>
      <vt:variant>
        <vt:lpwstr>http://www.nevo.co.il/law/4216/7.a.;7.c</vt:lpwstr>
      </vt:variant>
      <vt:variant>
        <vt:lpwstr/>
      </vt:variant>
      <vt:variant>
        <vt:i4>7995492</vt:i4>
      </vt:variant>
      <vt:variant>
        <vt:i4>126</vt:i4>
      </vt:variant>
      <vt:variant>
        <vt:i4>0</vt:i4>
      </vt:variant>
      <vt:variant>
        <vt:i4>5</vt:i4>
      </vt:variant>
      <vt:variant>
        <vt:lpwstr>http://www.nevo.co.il/law/70301</vt:lpwstr>
      </vt:variant>
      <vt:variant>
        <vt:lpwstr/>
      </vt:variant>
      <vt:variant>
        <vt:i4>6422631</vt:i4>
      </vt:variant>
      <vt:variant>
        <vt:i4>123</vt:i4>
      </vt:variant>
      <vt:variant>
        <vt:i4>0</vt:i4>
      </vt:variant>
      <vt:variant>
        <vt:i4>5</vt:i4>
      </vt:variant>
      <vt:variant>
        <vt:lpwstr>http://www.nevo.co.il/law/70301/275</vt:lpwstr>
      </vt:variant>
      <vt:variant>
        <vt:lpwstr/>
      </vt:variant>
      <vt:variant>
        <vt:i4>3997821</vt:i4>
      </vt:variant>
      <vt:variant>
        <vt:i4>120</vt:i4>
      </vt:variant>
      <vt:variant>
        <vt:i4>0</vt:i4>
      </vt:variant>
      <vt:variant>
        <vt:i4>5</vt:i4>
      </vt:variant>
      <vt:variant>
        <vt:lpwstr>http://www.nevo.co.il/law/4216/7.a.;7.c</vt:lpwstr>
      </vt:variant>
      <vt:variant>
        <vt:lpwstr/>
      </vt:variant>
      <vt:variant>
        <vt:i4>3604599</vt:i4>
      </vt:variant>
      <vt:variant>
        <vt:i4>117</vt:i4>
      </vt:variant>
      <vt:variant>
        <vt:i4>0</vt:i4>
      </vt:variant>
      <vt:variant>
        <vt:i4>5</vt:i4>
      </vt:variant>
      <vt:variant>
        <vt:lpwstr>http://www.nevo.co.il/case/6245441</vt:lpwstr>
      </vt:variant>
      <vt:variant>
        <vt:lpwstr/>
      </vt:variant>
      <vt:variant>
        <vt:i4>7995492</vt:i4>
      </vt:variant>
      <vt:variant>
        <vt:i4>114</vt:i4>
      </vt:variant>
      <vt:variant>
        <vt:i4>0</vt:i4>
      </vt:variant>
      <vt:variant>
        <vt:i4>5</vt:i4>
      </vt:variant>
      <vt:variant>
        <vt:lpwstr>http://www.nevo.co.il/law/70301</vt:lpwstr>
      </vt:variant>
      <vt:variant>
        <vt:lpwstr/>
      </vt:variant>
      <vt:variant>
        <vt:i4>7143526</vt:i4>
      </vt:variant>
      <vt:variant>
        <vt:i4>111</vt:i4>
      </vt:variant>
      <vt:variant>
        <vt:i4>0</vt:i4>
      </vt:variant>
      <vt:variant>
        <vt:i4>5</vt:i4>
      </vt:variant>
      <vt:variant>
        <vt:lpwstr>http://www.nevo.co.il/law/70301/384</vt:lpwstr>
      </vt:variant>
      <vt:variant>
        <vt:lpwstr/>
      </vt:variant>
      <vt:variant>
        <vt:i4>7995492</vt:i4>
      </vt:variant>
      <vt:variant>
        <vt:i4>108</vt:i4>
      </vt:variant>
      <vt:variant>
        <vt:i4>0</vt:i4>
      </vt:variant>
      <vt:variant>
        <vt:i4>5</vt:i4>
      </vt:variant>
      <vt:variant>
        <vt:lpwstr>http://www.nevo.co.il/law/70301</vt:lpwstr>
      </vt:variant>
      <vt:variant>
        <vt:lpwstr/>
      </vt:variant>
      <vt:variant>
        <vt:i4>7143526</vt:i4>
      </vt:variant>
      <vt:variant>
        <vt:i4>105</vt:i4>
      </vt:variant>
      <vt:variant>
        <vt:i4>0</vt:i4>
      </vt:variant>
      <vt:variant>
        <vt:i4>5</vt:i4>
      </vt:variant>
      <vt:variant>
        <vt:lpwstr>http://www.nevo.co.il/law/70301/384</vt:lpwstr>
      </vt:variant>
      <vt:variant>
        <vt:lpwstr/>
      </vt:variant>
      <vt:variant>
        <vt:i4>7995492</vt:i4>
      </vt:variant>
      <vt:variant>
        <vt:i4>102</vt:i4>
      </vt:variant>
      <vt:variant>
        <vt:i4>0</vt:i4>
      </vt:variant>
      <vt:variant>
        <vt:i4>5</vt:i4>
      </vt:variant>
      <vt:variant>
        <vt:lpwstr>http://www.nevo.co.il/law/70301</vt:lpwstr>
      </vt:variant>
      <vt:variant>
        <vt:lpwstr/>
      </vt:variant>
      <vt:variant>
        <vt:i4>7143526</vt:i4>
      </vt:variant>
      <vt:variant>
        <vt:i4>99</vt:i4>
      </vt:variant>
      <vt:variant>
        <vt:i4>0</vt:i4>
      </vt:variant>
      <vt:variant>
        <vt:i4>5</vt:i4>
      </vt:variant>
      <vt:variant>
        <vt:lpwstr>http://www.nevo.co.il/law/70301/384</vt:lpwstr>
      </vt:variant>
      <vt:variant>
        <vt:lpwstr/>
      </vt:variant>
      <vt:variant>
        <vt:i4>7995492</vt:i4>
      </vt:variant>
      <vt:variant>
        <vt:i4>96</vt:i4>
      </vt:variant>
      <vt:variant>
        <vt:i4>0</vt:i4>
      </vt:variant>
      <vt:variant>
        <vt:i4>5</vt:i4>
      </vt:variant>
      <vt:variant>
        <vt:lpwstr>http://www.nevo.co.il/law/70301</vt:lpwstr>
      </vt:variant>
      <vt:variant>
        <vt:lpwstr/>
      </vt:variant>
      <vt:variant>
        <vt:i4>7143526</vt:i4>
      </vt:variant>
      <vt:variant>
        <vt:i4>93</vt:i4>
      </vt:variant>
      <vt:variant>
        <vt:i4>0</vt:i4>
      </vt:variant>
      <vt:variant>
        <vt:i4>5</vt:i4>
      </vt:variant>
      <vt:variant>
        <vt:lpwstr>http://www.nevo.co.il/law/70301/384</vt:lpwstr>
      </vt:variant>
      <vt:variant>
        <vt:lpwstr/>
      </vt:variant>
      <vt:variant>
        <vt:i4>7995492</vt:i4>
      </vt:variant>
      <vt:variant>
        <vt:i4>90</vt:i4>
      </vt:variant>
      <vt:variant>
        <vt:i4>0</vt:i4>
      </vt:variant>
      <vt:variant>
        <vt:i4>5</vt:i4>
      </vt:variant>
      <vt:variant>
        <vt:lpwstr>http://www.nevo.co.il/law/70301</vt:lpwstr>
      </vt:variant>
      <vt:variant>
        <vt:lpwstr/>
      </vt:variant>
      <vt:variant>
        <vt:i4>4915287</vt:i4>
      </vt:variant>
      <vt:variant>
        <vt:i4>87</vt:i4>
      </vt:variant>
      <vt:variant>
        <vt:i4>0</vt:i4>
      </vt:variant>
      <vt:variant>
        <vt:i4>5</vt:i4>
      </vt:variant>
      <vt:variant>
        <vt:lpwstr>http://www.nevo.co.il/law/70301/406.b</vt:lpwstr>
      </vt:variant>
      <vt:variant>
        <vt:lpwstr/>
      </vt:variant>
      <vt:variant>
        <vt:i4>3473524</vt:i4>
      </vt:variant>
      <vt:variant>
        <vt:i4>84</vt:i4>
      </vt:variant>
      <vt:variant>
        <vt:i4>0</vt:i4>
      </vt:variant>
      <vt:variant>
        <vt:i4>5</vt:i4>
      </vt:variant>
      <vt:variant>
        <vt:lpwstr>http://www.nevo.co.il/case/2583669</vt:lpwstr>
      </vt:variant>
      <vt:variant>
        <vt:lpwstr/>
      </vt:variant>
      <vt:variant>
        <vt:i4>7995492</vt:i4>
      </vt:variant>
      <vt:variant>
        <vt:i4>81</vt:i4>
      </vt:variant>
      <vt:variant>
        <vt:i4>0</vt:i4>
      </vt:variant>
      <vt:variant>
        <vt:i4>5</vt:i4>
      </vt:variant>
      <vt:variant>
        <vt:lpwstr>http://www.nevo.co.il/law/70301</vt:lpwstr>
      </vt:variant>
      <vt:variant>
        <vt:lpwstr/>
      </vt:variant>
      <vt:variant>
        <vt:i4>4390994</vt:i4>
      </vt:variant>
      <vt:variant>
        <vt:i4>78</vt:i4>
      </vt:variant>
      <vt:variant>
        <vt:i4>0</vt:i4>
      </vt:variant>
      <vt:variant>
        <vt:i4>5</vt:i4>
      </vt:variant>
      <vt:variant>
        <vt:lpwstr>http://www.nevo.co.il/law/70301/186.a</vt:lpwstr>
      </vt:variant>
      <vt:variant>
        <vt:lpwstr/>
      </vt:variant>
      <vt:variant>
        <vt:i4>4915274</vt:i4>
      </vt:variant>
      <vt:variant>
        <vt:i4>75</vt:i4>
      </vt:variant>
      <vt:variant>
        <vt:i4>0</vt:i4>
      </vt:variant>
      <vt:variant>
        <vt:i4>5</vt:i4>
      </vt:variant>
      <vt:variant>
        <vt:lpwstr>http://www.nevo.co.il/law/4216/7.a.c</vt:lpwstr>
      </vt:variant>
      <vt:variant>
        <vt:lpwstr/>
      </vt:variant>
      <vt:variant>
        <vt:i4>3473524</vt:i4>
      </vt:variant>
      <vt:variant>
        <vt:i4>72</vt:i4>
      </vt:variant>
      <vt:variant>
        <vt:i4>0</vt:i4>
      </vt:variant>
      <vt:variant>
        <vt:i4>5</vt:i4>
      </vt:variant>
      <vt:variant>
        <vt:lpwstr>http://www.nevo.co.il/case/5627311</vt:lpwstr>
      </vt:variant>
      <vt:variant>
        <vt:lpwstr/>
      </vt:variant>
      <vt:variant>
        <vt:i4>6422631</vt:i4>
      </vt:variant>
      <vt:variant>
        <vt:i4>69</vt:i4>
      </vt:variant>
      <vt:variant>
        <vt:i4>0</vt:i4>
      </vt:variant>
      <vt:variant>
        <vt:i4>5</vt:i4>
      </vt:variant>
      <vt:variant>
        <vt:lpwstr>http://www.nevo.co.il/law/70301/275</vt:lpwstr>
      </vt:variant>
      <vt:variant>
        <vt:lpwstr/>
      </vt:variant>
      <vt:variant>
        <vt:i4>7995492</vt:i4>
      </vt:variant>
      <vt:variant>
        <vt:i4>66</vt:i4>
      </vt:variant>
      <vt:variant>
        <vt:i4>0</vt:i4>
      </vt:variant>
      <vt:variant>
        <vt:i4>5</vt:i4>
      </vt:variant>
      <vt:variant>
        <vt:lpwstr>http://www.nevo.co.il/law/70301</vt:lpwstr>
      </vt:variant>
      <vt:variant>
        <vt:lpwstr/>
      </vt:variant>
      <vt:variant>
        <vt:i4>7143526</vt:i4>
      </vt:variant>
      <vt:variant>
        <vt:i4>63</vt:i4>
      </vt:variant>
      <vt:variant>
        <vt:i4>0</vt:i4>
      </vt:variant>
      <vt:variant>
        <vt:i4>5</vt:i4>
      </vt:variant>
      <vt:variant>
        <vt:lpwstr>http://www.nevo.co.il/law/70301/384</vt:lpwstr>
      </vt:variant>
      <vt:variant>
        <vt:lpwstr/>
      </vt:variant>
      <vt:variant>
        <vt:i4>3211388</vt:i4>
      </vt:variant>
      <vt:variant>
        <vt:i4>60</vt:i4>
      </vt:variant>
      <vt:variant>
        <vt:i4>0</vt:i4>
      </vt:variant>
      <vt:variant>
        <vt:i4>5</vt:i4>
      </vt:variant>
      <vt:variant>
        <vt:lpwstr>http://www.nevo.co.il/case/4564093</vt:lpwstr>
      </vt:variant>
      <vt:variant>
        <vt:lpwstr/>
      </vt:variant>
      <vt:variant>
        <vt:i4>8257637</vt:i4>
      </vt:variant>
      <vt:variant>
        <vt:i4>57</vt:i4>
      </vt:variant>
      <vt:variant>
        <vt:i4>0</vt:i4>
      </vt:variant>
      <vt:variant>
        <vt:i4>5</vt:i4>
      </vt:variant>
      <vt:variant>
        <vt:lpwstr>http://www.nevo.co.il/law/4216</vt:lpwstr>
      </vt:variant>
      <vt:variant>
        <vt:lpwstr/>
      </vt:variant>
      <vt:variant>
        <vt:i4>4915274</vt:i4>
      </vt:variant>
      <vt:variant>
        <vt:i4>54</vt:i4>
      </vt:variant>
      <vt:variant>
        <vt:i4>0</vt:i4>
      </vt:variant>
      <vt:variant>
        <vt:i4>5</vt:i4>
      </vt:variant>
      <vt:variant>
        <vt:lpwstr>http://www.nevo.co.il/law/4216/7.a.c</vt:lpwstr>
      </vt:variant>
      <vt:variant>
        <vt:lpwstr/>
      </vt:variant>
      <vt:variant>
        <vt:i4>4063345</vt:i4>
      </vt:variant>
      <vt:variant>
        <vt:i4>51</vt:i4>
      </vt:variant>
      <vt:variant>
        <vt:i4>0</vt:i4>
      </vt:variant>
      <vt:variant>
        <vt:i4>5</vt:i4>
      </vt:variant>
      <vt:variant>
        <vt:lpwstr>http://www.nevo.co.il/case/4192566</vt:lpwstr>
      </vt:variant>
      <vt:variant>
        <vt:lpwstr/>
      </vt:variant>
      <vt:variant>
        <vt:i4>7995492</vt:i4>
      </vt:variant>
      <vt:variant>
        <vt:i4>48</vt:i4>
      </vt:variant>
      <vt:variant>
        <vt:i4>0</vt:i4>
      </vt:variant>
      <vt:variant>
        <vt:i4>5</vt:i4>
      </vt:variant>
      <vt:variant>
        <vt:lpwstr>http://www.nevo.co.il/law/70301</vt:lpwstr>
      </vt:variant>
      <vt:variant>
        <vt:lpwstr/>
      </vt:variant>
      <vt:variant>
        <vt:i4>7143526</vt:i4>
      </vt:variant>
      <vt:variant>
        <vt:i4>45</vt:i4>
      </vt:variant>
      <vt:variant>
        <vt:i4>0</vt:i4>
      </vt:variant>
      <vt:variant>
        <vt:i4>5</vt:i4>
      </vt:variant>
      <vt:variant>
        <vt:lpwstr>http://www.nevo.co.il/law/70301/384</vt:lpwstr>
      </vt:variant>
      <vt:variant>
        <vt:lpwstr/>
      </vt:variant>
      <vt:variant>
        <vt:i4>4915286</vt:i4>
      </vt:variant>
      <vt:variant>
        <vt:i4>42</vt:i4>
      </vt:variant>
      <vt:variant>
        <vt:i4>0</vt:i4>
      </vt:variant>
      <vt:variant>
        <vt:i4>5</vt:i4>
      </vt:variant>
      <vt:variant>
        <vt:lpwstr>http://www.nevo.co.il/law/70301/407.b</vt:lpwstr>
      </vt:variant>
      <vt:variant>
        <vt:lpwstr/>
      </vt:variant>
      <vt:variant>
        <vt:i4>3407998</vt:i4>
      </vt:variant>
      <vt:variant>
        <vt:i4>39</vt:i4>
      </vt:variant>
      <vt:variant>
        <vt:i4>0</vt:i4>
      </vt:variant>
      <vt:variant>
        <vt:i4>5</vt:i4>
      </vt:variant>
      <vt:variant>
        <vt:lpwstr>http://www.nevo.co.il/case/4724496</vt:lpwstr>
      </vt:variant>
      <vt:variant>
        <vt:lpwstr/>
      </vt:variant>
      <vt:variant>
        <vt:i4>6684769</vt:i4>
      </vt:variant>
      <vt:variant>
        <vt:i4>36</vt:i4>
      </vt:variant>
      <vt:variant>
        <vt:i4>0</vt:i4>
      </vt:variant>
      <vt:variant>
        <vt:i4>5</vt:i4>
      </vt:variant>
      <vt:variant>
        <vt:lpwstr>http://www.nevo.co.il/law/72265/17</vt:lpwstr>
      </vt:variant>
      <vt:variant>
        <vt:lpwstr/>
      </vt:variant>
      <vt:variant>
        <vt:i4>6750305</vt:i4>
      </vt:variant>
      <vt:variant>
        <vt:i4>33</vt:i4>
      </vt:variant>
      <vt:variant>
        <vt:i4>0</vt:i4>
      </vt:variant>
      <vt:variant>
        <vt:i4>5</vt:i4>
      </vt:variant>
      <vt:variant>
        <vt:lpwstr>http://www.nevo.co.il/law/72265/16</vt:lpwstr>
      </vt:variant>
      <vt:variant>
        <vt:lpwstr/>
      </vt:variant>
      <vt:variant>
        <vt:i4>8257637</vt:i4>
      </vt:variant>
      <vt:variant>
        <vt:i4>30</vt:i4>
      </vt:variant>
      <vt:variant>
        <vt:i4>0</vt:i4>
      </vt:variant>
      <vt:variant>
        <vt:i4>5</vt:i4>
      </vt:variant>
      <vt:variant>
        <vt:lpwstr>http://www.nevo.co.il/law/72265</vt:lpwstr>
      </vt:variant>
      <vt:variant>
        <vt:lpwstr/>
      </vt:variant>
      <vt:variant>
        <vt:i4>2752612</vt:i4>
      </vt:variant>
      <vt:variant>
        <vt:i4>27</vt:i4>
      </vt:variant>
      <vt:variant>
        <vt:i4>0</vt:i4>
      </vt:variant>
      <vt:variant>
        <vt:i4>5</vt:i4>
      </vt:variant>
      <vt:variant>
        <vt:lpwstr>http://www.nevo.co.il/law/4216/7.c</vt:lpwstr>
      </vt:variant>
      <vt:variant>
        <vt:lpwstr/>
      </vt:variant>
      <vt:variant>
        <vt:i4>4915274</vt:i4>
      </vt:variant>
      <vt:variant>
        <vt:i4>24</vt:i4>
      </vt:variant>
      <vt:variant>
        <vt:i4>0</vt:i4>
      </vt:variant>
      <vt:variant>
        <vt:i4>5</vt:i4>
      </vt:variant>
      <vt:variant>
        <vt:lpwstr>http://www.nevo.co.il/law/4216/7.a.c</vt:lpwstr>
      </vt:variant>
      <vt:variant>
        <vt:lpwstr/>
      </vt:variant>
      <vt:variant>
        <vt:i4>2621540</vt:i4>
      </vt:variant>
      <vt:variant>
        <vt:i4>21</vt:i4>
      </vt:variant>
      <vt:variant>
        <vt:i4>0</vt:i4>
      </vt:variant>
      <vt:variant>
        <vt:i4>5</vt:i4>
      </vt:variant>
      <vt:variant>
        <vt:lpwstr>http://www.nevo.co.il/law/4216/7.a.</vt:lpwstr>
      </vt:variant>
      <vt:variant>
        <vt:lpwstr/>
      </vt:variant>
      <vt:variant>
        <vt:i4>8257637</vt:i4>
      </vt:variant>
      <vt:variant>
        <vt:i4>18</vt:i4>
      </vt:variant>
      <vt:variant>
        <vt:i4>0</vt:i4>
      </vt:variant>
      <vt:variant>
        <vt:i4>5</vt:i4>
      </vt:variant>
      <vt:variant>
        <vt:lpwstr>http://www.nevo.co.il/law/4216</vt:lpwstr>
      </vt:variant>
      <vt:variant>
        <vt:lpwstr/>
      </vt:variant>
      <vt:variant>
        <vt:i4>4915286</vt:i4>
      </vt:variant>
      <vt:variant>
        <vt:i4>15</vt:i4>
      </vt:variant>
      <vt:variant>
        <vt:i4>0</vt:i4>
      </vt:variant>
      <vt:variant>
        <vt:i4>5</vt:i4>
      </vt:variant>
      <vt:variant>
        <vt:lpwstr>http://www.nevo.co.il/law/70301/407.b</vt:lpwstr>
      </vt:variant>
      <vt:variant>
        <vt:lpwstr/>
      </vt:variant>
      <vt:variant>
        <vt:i4>4915287</vt:i4>
      </vt:variant>
      <vt:variant>
        <vt:i4>12</vt:i4>
      </vt:variant>
      <vt:variant>
        <vt:i4>0</vt:i4>
      </vt:variant>
      <vt:variant>
        <vt:i4>5</vt:i4>
      </vt:variant>
      <vt:variant>
        <vt:lpwstr>http://www.nevo.co.il/law/70301/406.b</vt:lpwstr>
      </vt:variant>
      <vt:variant>
        <vt:lpwstr/>
      </vt:variant>
      <vt:variant>
        <vt:i4>7143526</vt:i4>
      </vt:variant>
      <vt:variant>
        <vt:i4>9</vt:i4>
      </vt:variant>
      <vt:variant>
        <vt:i4>0</vt:i4>
      </vt:variant>
      <vt:variant>
        <vt:i4>5</vt:i4>
      </vt:variant>
      <vt:variant>
        <vt:lpwstr>http://www.nevo.co.il/law/70301/384</vt:lpwstr>
      </vt:variant>
      <vt:variant>
        <vt:lpwstr/>
      </vt:variant>
      <vt:variant>
        <vt:i4>6422631</vt:i4>
      </vt:variant>
      <vt:variant>
        <vt:i4>6</vt:i4>
      </vt:variant>
      <vt:variant>
        <vt:i4>0</vt:i4>
      </vt:variant>
      <vt:variant>
        <vt:i4>5</vt:i4>
      </vt:variant>
      <vt:variant>
        <vt:lpwstr>http://www.nevo.co.il/law/70301/275</vt:lpwstr>
      </vt:variant>
      <vt:variant>
        <vt:lpwstr/>
      </vt:variant>
      <vt:variant>
        <vt:i4>4390994</vt:i4>
      </vt:variant>
      <vt:variant>
        <vt:i4>3</vt:i4>
      </vt:variant>
      <vt:variant>
        <vt:i4>0</vt:i4>
      </vt:variant>
      <vt:variant>
        <vt:i4>5</vt:i4>
      </vt:variant>
      <vt:variant>
        <vt:lpwstr>http://www.nevo.co.il/law/70301/186.a</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2025-04-22T21:33:00Z</dcterms:created>
  <dcterms:modified xsi:type="dcterms:W3CDTF">2025-04-22T21:33:00Z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13504</vt:lpwstr>
  </property>
  <property fmtid="{D5CDD505-2E9C-101B-9397-08002B2CF9AE}" pid="6" name="NEWPARTB">
    <vt:lpwstr>12</vt:lpwstr>
  </property>
  <property fmtid="{D5CDD505-2E9C-101B-9397-08002B2CF9AE}" pid="7" name="NEWPARTC">
    <vt:lpwstr>09</vt:lpwstr>
  </property>
  <property fmtid="{D5CDD505-2E9C-101B-9397-08002B2CF9AE}" pid="8" name="APPELLANT">
    <vt:lpwstr>מדינת ישראל</vt:lpwstr>
  </property>
  <property fmtid="{D5CDD505-2E9C-101B-9397-08002B2CF9AE}" pid="9" name="APPELLEE">
    <vt:lpwstr>מיכאל שמחה</vt:lpwstr>
  </property>
  <property fmtid="{D5CDD505-2E9C-101B-9397-08002B2CF9AE}" pid="10" name="LAWYER">
    <vt:lpwstr>עומר סגל;נאוה דהאן</vt:lpwstr>
  </property>
  <property fmtid="{D5CDD505-2E9C-101B-9397-08002B2CF9AE}" pid="11" name="JUDGE">
    <vt:lpwstr>בני שגיא</vt:lpwstr>
  </property>
  <property fmtid="{D5CDD505-2E9C-101B-9397-08002B2CF9AE}" pid="12" name="CITY">
    <vt:lpwstr>ת"א</vt:lpwstr>
  </property>
  <property fmtid="{D5CDD505-2E9C-101B-9397-08002B2CF9AE}" pid="13" name="DATE">
    <vt:lpwstr>20141112</vt:lpwstr>
  </property>
  <property fmtid="{D5CDD505-2E9C-101B-9397-08002B2CF9AE}" pid="14" name="TYPE_N_DATE">
    <vt:lpwstr>38020141112</vt:lpwstr>
  </property>
  <property fmtid="{D5CDD505-2E9C-101B-9397-08002B2CF9AE}" pid="15" name="CASESLISTTMP1">
    <vt:lpwstr>4724496;4192566;4564093;5627311;2583669;6245441;4641205;4600934;7845874</vt:lpwstr>
  </property>
  <property fmtid="{D5CDD505-2E9C-101B-9397-08002B2CF9AE}" pid="16" name="CASENOTES1">
    <vt:lpwstr>ProcID=154;184&amp;PartA=32162&amp;PartC=08</vt:lpwstr>
  </property>
  <property fmtid="{D5CDD505-2E9C-101B-9397-08002B2CF9AE}" pid="17" name="CASENOTES2">
    <vt:lpwstr>ProcID=154;184&amp;PartA=41269&amp;PartC=09</vt:lpwstr>
  </property>
  <property fmtid="{D5CDD505-2E9C-101B-9397-08002B2CF9AE}" pid="18" name="CASENOTES3">
    <vt:lpwstr>ProcID=154;184&amp;PartA=35302&amp;PartC=09</vt:lpwstr>
  </property>
  <property fmtid="{D5CDD505-2E9C-101B-9397-08002B2CF9AE}" pid="19" name="CASENOTES4">
    <vt:lpwstr>ProcID=154;184&amp;PartA=36460&amp;PartC=09</vt:lpwstr>
  </property>
  <property fmtid="{D5CDD505-2E9C-101B-9397-08002B2CF9AE}" pid="20" name="CASENOTES5">
    <vt:lpwstr>ProcID=154;184&amp;PartA=44643&amp;PartC=11</vt:lpwstr>
  </property>
  <property fmtid="{D5CDD505-2E9C-101B-9397-08002B2CF9AE}" pid="21" name="CASENOTES6">
    <vt:lpwstr>ProcID=154;184&amp;PartA=40094&amp;PartC=11</vt:lpwstr>
  </property>
  <property fmtid="{D5CDD505-2E9C-101B-9397-08002B2CF9AE}" pid="22" name="CASENOTES7">
    <vt:lpwstr>ProcID=154;184&amp;PartA=44996&amp;PartC=11</vt:lpwstr>
  </property>
  <property fmtid="{D5CDD505-2E9C-101B-9397-08002B2CF9AE}" pid="23" name="CASENOTES8">
    <vt:lpwstr>ProcID=154;184&amp;PartA=41488&amp;PartC=11</vt:lpwstr>
  </property>
  <property fmtid="{D5CDD505-2E9C-101B-9397-08002B2CF9AE}" pid="24" name="CASENOTES9">
    <vt:lpwstr>ProcID=154;184&amp;PartA=41807&amp;PartC=11</vt:lpwstr>
  </property>
  <property fmtid="{D5CDD505-2E9C-101B-9397-08002B2CF9AE}" pid="25" name="CASENOTES10">
    <vt:lpwstr>ProcID=154;184&amp;PartA=43668&amp;PartC=11</vt:lpwstr>
  </property>
  <property fmtid="{D5CDD505-2E9C-101B-9397-08002B2CF9AE}" pid="26" name="CASENOTES11">
    <vt:lpwstr>ProcID=154;184&amp;PartA=41849&amp;PartC=11</vt:lpwstr>
  </property>
  <property fmtid="{D5CDD505-2E9C-101B-9397-08002B2CF9AE}" pid="27" name="CASENOTES12">
    <vt:lpwstr>ProcID=154;184&amp;PartA=43132&amp;PartC=11</vt:lpwstr>
  </property>
  <property fmtid="{D5CDD505-2E9C-101B-9397-08002B2CF9AE}" pid="28" name="CASENOTES13">
    <vt:lpwstr>ProcID=155&amp;PartA=200&amp;PartC=30</vt:lpwstr>
  </property>
  <property fmtid="{D5CDD505-2E9C-101B-9397-08002B2CF9AE}" pid="29" name="CASENOTES14">
    <vt:lpwstr>ProcID=209&amp;PartA=40258&amp;PartC=05</vt:lpwstr>
  </property>
  <property fmtid="{D5CDD505-2E9C-101B-9397-08002B2CF9AE}" pid="30" name="WORDNUMPAGES">
    <vt:lpwstr>8</vt:lpwstr>
  </property>
  <property fmtid="{D5CDD505-2E9C-101B-9397-08002B2CF9AE}" pid="31" name="TYPE_ABS_DATE">
    <vt:lpwstr>380020141112</vt:lpwstr>
  </property>
  <property fmtid="{D5CDD505-2E9C-101B-9397-08002B2CF9AE}" pid="32" name="ISABSTRACT">
    <vt:lpwstr>Y</vt:lpwstr>
  </property>
  <property fmtid="{D5CDD505-2E9C-101B-9397-08002B2CF9AE}" pid="33" name="APPELLANT1">
    <vt:lpwstr/>
  </property>
  <property fmtid="{D5CDD505-2E9C-101B-9397-08002B2CF9AE}" pid="34" name="APPELLANT2">
    <vt:lpwstr/>
  </property>
  <property fmtid="{D5CDD505-2E9C-101B-9397-08002B2CF9AE}" pid="35" name="APPELLEE1">
    <vt:lpwstr/>
  </property>
  <property fmtid="{D5CDD505-2E9C-101B-9397-08002B2CF9AE}" pid="36" name="APPELLEE2">
    <vt:lpwstr/>
  </property>
  <property fmtid="{D5CDD505-2E9C-101B-9397-08002B2CF9AE}" pid="37" name="PROCESS">
    <vt:lpwstr/>
  </property>
  <property fmtid="{D5CDD505-2E9C-101B-9397-08002B2CF9AE}" pid="38" name="PROCNUM">
    <vt:lpwstr/>
  </property>
  <property fmtid="{D5CDD505-2E9C-101B-9397-08002B2CF9AE}" pid="39" name="PROCYEAR">
    <vt:lpwstr/>
  </property>
  <property fmtid="{D5CDD505-2E9C-101B-9397-08002B2CF9AE}" pid="40" name="VOLUME">
    <vt:lpwstr/>
  </property>
  <property fmtid="{D5CDD505-2E9C-101B-9397-08002B2CF9AE}" pid="41" name="PART">
    <vt:lpwstr/>
  </property>
  <property fmtid="{D5CDD505-2E9C-101B-9397-08002B2CF9AE}" pid="42" name="PAGE">
    <vt:lpwstr/>
  </property>
  <property fmtid="{D5CDD505-2E9C-101B-9397-08002B2CF9AE}" pid="43" name="PADIMAIL">
    <vt:lpwstr/>
  </property>
  <property fmtid="{D5CDD505-2E9C-101B-9397-08002B2CF9AE}" pid="44" name="DELEMATA">
    <vt:lpwstr/>
  </property>
  <property fmtid="{D5CDD505-2E9C-101B-9397-08002B2CF9AE}" pid="45" name="LINKK1">
    <vt:lpwstr/>
  </property>
  <property fmtid="{D5CDD505-2E9C-101B-9397-08002B2CF9AE}" pid="46" name="LINKK2">
    <vt:lpwstr/>
  </property>
  <property fmtid="{D5CDD505-2E9C-101B-9397-08002B2CF9AE}" pid="47" name="LINKK3">
    <vt:lpwstr/>
  </property>
  <property fmtid="{D5CDD505-2E9C-101B-9397-08002B2CF9AE}" pid="48" name="LINKK4">
    <vt:lpwstr/>
  </property>
  <property fmtid="{D5CDD505-2E9C-101B-9397-08002B2CF9AE}" pid="49" name="LINKK5">
    <vt:lpwstr/>
  </property>
  <property fmtid="{D5CDD505-2E9C-101B-9397-08002B2CF9AE}" pid="50" name="LAWLISTTMP1">
    <vt:lpwstr>70301/407.b;384;275;186.a;406.b</vt:lpwstr>
  </property>
  <property fmtid="{D5CDD505-2E9C-101B-9397-08002B2CF9AE}" pid="51" name="LAWLISTTMP2">
    <vt:lpwstr>4216/007.a.c:2;007.a.;007.c</vt:lpwstr>
  </property>
  <property fmtid="{D5CDD505-2E9C-101B-9397-08002B2CF9AE}" pid="52" name="LAWLISTTMP3">
    <vt:lpwstr>72265/016;017</vt:lpwstr>
  </property>
</Properties>
</file>