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9C15D4" w:rsidRPr="002C4023" w14:paraId="285CD185" w14:textId="77777777">
        <w:trPr>
          <w:trHeight w:hRule="exact" w:val="418"/>
          <w:jc w:val="center"/>
        </w:trPr>
        <w:tc>
          <w:tcPr>
            <w:tcW w:w="8720" w:type="dxa"/>
            <w:gridSpan w:val="3"/>
          </w:tcPr>
          <w:p w14:paraId="18DE6F34" w14:textId="77777777" w:rsidR="009C15D4" w:rsidRPr="002C4023" w:rsidRDefault="002C4023">
            <w:pPr>
              <w:pStyle w:val="a3"/>
              <w:tabs>
                <w:tab w:val="clear" w:pos="8306"/>
              </w:tabs>
              <w:jc w:val="center"/>
              <w:rPr>
                <w:rFonts w:ascii="Tahoma" w:hAnsi="Tahoma" w:cs="Tahoma"/>
                <w:b/>
                <w:bCs/>
                <w:color w:val="000080"/>
                <w:sz w:val="20"/>
                <w:szCs w:val="20"/>
                <w:rtl/>
              </w:rPr>
            </w:pPr>
            <w:bookmarkStart w:id="0" w:name="LastJudge"/>
            <w:r w:rsidRPr="002C4023">
              <w:rPr>
                <w:rFonts w:ascii="Tahoma" w:hAnsi="Tahoma" w:cs="Tahoma"/>
                <w:b/>
                <w:bCs/>
                <w:color w:val="000080"/>
                <w:sz w:val="20"/>
                <w:szCs w:val="20"/>
                <w:rtl/>
              </w:rPr>
              <w:t>בית משפט השלום בתל אביב - יפו</w:t>
            </w:r>
          </w:p>
        </w:tc>
      </w:tr>
      <w:tr w:rsidR="009C15D4" w:rsidRPr="002C4023" w14:paraId="21C11696" w14:textId="77777777">
        <w:trPr>
          <w:trHeight w:val="337"/>
          <w:jc w:val="center"/>
        </w:trPr>
        <w:tc>
          <w:tcPr>
            <w:tcW w:w="3973" w:type="dxa"/>
          </w:tcPr>
          <w:p w14:paraId="0BDE9491" w14:textId="77777777" w:rsidR="009C15D4" w:rsidRPr="002C4023" w:rsidRDefault="002C4023">
            <w:pPr>
              <w:rPr>
                <w:rFonts w:cs="FrankRuehl"/>
                <w:b/>
                <w:bCs/>
                <w:sz w:val="26"/>
                <w:szCs w:val="26"/>
                <w:rtl/>
              </w:rPr>
            </w:pPr>
            <w:r w:rsidRPr="002C4023">
              <w:rPr>
                <w:rFonts w:cs="FrankRuehl"/>
                <w:b/>
                <w:bCs/>
                <w:sz w:val="26"/>
                <w:szCs w:val="26"/>
                <w:rtl/>
              </w:rPr>
              <w:t>ת"פ</w:t>
            </w:r>
            <w:r w:rsidRPr="002C4023">
              <w:rPr>
                <w:rFonts w:cs="FrankRuehl" w:hint="cs"/>
                <w:b/>
                <w:bCs/>
                <w:sz w:val="26"/>
                <w:szCs w:val="26"/>
                <w:rtl/>
              </w:rPr>
              <w:t xml:space="preserve"> </w:t>
            </w:r>
            <w:r w:rsidRPr="002C4023">
              <w:rPr>
                <w:rFonts w:cs="FrankRuehl"/>
                <w:b/>
                <w:bCs/>
                <w:sz w:val="26"/>
                <w:szCs w:val="26"/>
                <w:rtl/>
              </w:rPr>
              <w:t>45672-02-10</w:t>
            </w:r>
            <w:r w:rsidRPr="002C4023">
              <w:rPr>
                <w:rFonts w:cs="FrankRuehl" w:hint="cs"/>
                <w:b/>
                <w:bCs/>
                <w:sz w:val="26"/>
                <w:szCs w:val="26"/>
                <w:rtl/>
              </w:rPr>
              <w:t xml:space="preserve"> </w:t>
            </w:r>
            <w:r w:rsidRPr="002C4023">
              <w:rPr>
                <w:rFonts w:cs="FrankRuehl"/>
                <w:b/>
                <w:bCs/>
                <w:sz w:val="26"/>
                <w:szCs w:val="26"/>
                <w:rtl/>
              </w:rPr>
              <w:t>מדינת ישראל נ' לוי</w:t>
            </w:r>
          </w:p>
          <w:p w14:paraId="74F62975" w14:textId="77777777" w:rsidR="009C15D4" w:rsidRPr="002C4023" w:rsidRDefault="009C15D4">
            <w:pPr>
              <w:rPr>
                <w:rFonts w:cs="FrankRuehl"/>
                <w:b/>
                <w:bCs/>
                <w:sz w:val="26"/>
                <w:szCs w:val="26"/>
                <w:rtl/>
              </w:rPr>
            </w:pPr>
          </w:p>
        </w:tc>
        <w:tc>
          <w:tcPr>
            <w:tcW w:w="1068" w:type="dxa"/>
          </w:tcPr>
          <w:p w14:paraId="22A162D8" w14:textId="77777777" w:rsidR="009C15D4" w:rsidRPr="002C4023" w:rsidRDefault="009C15D4">
            <w:pPr>
              <w:pStyle w:val="a3"/>
              <w:jc w:val="right"/>
              <w:rPr>
                <w:rFonts w:cs="FrankRuehl"/>
                <w:b/>
                <w:bCs/>
                <w:sz w:val="26"/>
                <w:szCs w:val="26"/>
                <w:rtl/>
              </w:rPr>
            </w:pPr>
          </w:p>
        </w:tc>
        <w:tc>
          <w:tcPr>
            <w:tcW w:w="3679" w:type="dxa"/>
          </w:tcPr>
          <w:p w14:paraId="2459BD54" w14:textId="77777777" w:rsidR="009C15D4" w:rsidRPr="002C4023" w:rsidRDefault="002C4023">
            <w:pPr>
              <w:pStyle w:val="a3"/>
              <w:tabs>
                <w:tab w:val="clear" w:pos="4153"/>
              </w:tabs>
              <w:jc w:val="right"/>
              <w:rPr>
                <w:rFonts w:cs="FrankRuehl"/>
                <w:b/>
                <w:bCs/>
                <w:sz w:val="26"/>
                <w:szCs w:val="26"/>
                <w:rtl/>
              </w:rPr>
            </w:pPr>
            <w:r w:rsidRPr="002C4023">
              <w:rPr>
                <w:rFonts w:cs="FrankRuehl"/>
                <w:b/>
                <w:bCs/>
                <w:sz w:val="26"/>
                <w:szCs w:val="26"/>
                <w:rtl/>
              </w:rPr>
              <w:t>28 מאי 2014</w:t>
            </w:r>
          </w:p>
        </w:tc>
      </w:tr>
    </w:tbl>
    <w:p w14:paraId="078C2E85" w14:textId="77777777" w:rsidR="009C15D4" w:rsidRPr="002C4023" w:rsidRDefault="009C15D4">
      <w:pPr>
        <w:pStyle w:val="a3"/>
        <w:jc w:val="center"/>
        <w:rPr>
          <w:rFonts w:ascii="Tahoma" w:hAnsi="Tahoma" w:cs="Tahoma"/>
          <w:b/>
          <w:bCs/>
          <w:color w:val="000080"/>
          <w:sz w:val="20"/>
          <w:szCs w:val="20"/>
          <w:rtl/>
        </w:rPr>
      </w:pPr>
    </w:p>
    <w:p w14:paraId="27E1565F" w14:textId="77777777" w:rsidR="009C15D4" w:rsidRPr="002C4023" w:rsidRDefault="009C15D4">
      <w:pPr>
        <w:spacing w:line="360" w:lineRule="auto"/>
        <w:jc w:val="both"/>
        <w:rPr>
          <w:rFonts w:ascii="Arial" w:hAnsi="Arial" w:cs="FrankRuehl"/>
          <w:sz w:val="28"/>
          <w:szCs w:val="28"/>
          <w:rtl/>
        </w:rPr>
      </w:pPr>
    </w:p>
    <w:tbl>
      <w:tblPr>
        <w:bidiVisual/>
        <w:tblW w:w="0" w:type="auto"/>
        <w:jc w:val="center"/>
        <w:tblLook w:val="0000" w:firstRow="0" w:lastRow="0" w:firstColumn="0" w:lastColumn="0" w:noHBand="0" w:noVBand="0"/>
      </w:tblPr>
      <w:tblGrid>
        <w:gridCol w:w="5856"/>
        <w:gridCol w:w="236"/>
        <w:gridCol w:w="2628"/>
      </w:tblGrid>
      <w:tr w:rsidR="009C15D4" w:rsidRPr="002C4023" w14:paraId="428FAC6B" w14:textId="77777777">
        <w:trPr>
          <w:trHeight w:val="337"/>
          <w:jc w:val="center"/>
        </w:trPr>
        <w:tc>
          <w:tcPr>
            <w:tcW w:w="5856" w:type="dxa"/>
          </w:tcPr>
          <w:p w14:paraId="0ABB3AE1" w14:textId="77777777" w:rsidR="009C15D4" w:rsidRPr="002C4023" w:rsidRDefault="002C4023">
            <w:pPr>
              <w:spacing w:line="360" w:lineRule="auto"/>
              <w:jc w:val="both"/>
              <w:rPr>
                <w:rFonts w:cs="FrankRuehl"/>
                <w:b/>
                <w:bCs/>
                <w:sz w:val="28"/>
                <w:szCs w:val="28"/>
                <w:rtl/>
              </w:rPr>
            </w:pPr>
            <w:r w:rsidRPr="002C4023">
              <w:rPr>
                <w:rFonts w:cs="FrankRuehl" w:hint="cs"/>
                <w:b/>
                <w:bCs/>
                <w:sz w:val="28"/>
                <w:szCs w:val="28"/>
                <w:rtl/>
              </w:rPr>
              <w:t>לפני כב' ה</w:t>
            </w:r>
            <w:r w:rsidRPr="002C4023">
              <w:rPr>
                <w:rFonts w:hint="cs"/>
                <w:rtl/>
              </w:rPr>
              <w:t>שופטת מיכל ברק נבו</w:t>
            </w:r>
          </w:p>
        </w:tc>
        <w:tc>
          <w:tcPr>
            <w:tcW w:w="236" w:type="dxa"/>
          </w:tcPr>
          <w:p w14:paraId="4BCE7E56" w14:textId="77777777" w:rsidR="009C15D4" w:rsidRPr="002C4023" w:rsidRDefault="009C15D4">
            <w:pPr>
              <w:pStyle w:val="a3"/>
              <w:jc w:val="both"/>
              <w:rPr>
                <w:rFonts w:cs="FrankRuehl"/>
                <w:b/>
                <w:bCs/>
                <w:sz w:val="28"/>
                <w:szCs w:val="28"/>
                <w:rtl/>
              </w:rPr>
            </w:pPr>
          </w:p>
        </w:tc>
        <w:tc>
          <w:tcPr>
            <w:tcW w:w="2628" w:type="dxa"/>
          </w:tcPr>
          <w:p w14:paraId="4BD196B6" w14:textId="77777777" w:rsidR="009C15D4" w:rsidRPr="002C4023" w:rsidRDefault="009C15D4">
            <w:pPr>
              <w:pStyle w:val="a3"/>
              <w:jc w:val="both"/>
              <w:rPr>
                <w:rFonts w:cs="FrankRuehl"/>
                <w:b/>
                <w:bCs/>
                <w:sz w:val="28"/>
                <w:szCs w:val="28"/>
                <w:rtl/>
              </w:rPr>
            </w:pPr>
          </w:p>
        </w:tc>
      </w:tr>
    </w:tbl>
    <w:p w14:paraId="1CD658B8" w14:textId="77777777" w:rsidR="009C15D4" w:rsidRPr="002C4023" w:rsidRDefault="009C15D4">
      <w:pPr>
        <w:spacing w:line="360" w:lineRule="auto"/>
        <w:jc w:val="both"/>
        <w:rPr>
          <w:rFonts w:ascii="Arial" w:hAnsi="Arial" w:cs="FrankRuehl"/>
          <w:sz w:val="28"/>
          <w:szCs w:val="28"/>
          <w:rtl/>
        </w:rPr>
      </w:pPr>
    </w:p>
    <w:p w14:paraId="66164822" w14:textId="77777777" w:rsidR="009C15D4" w:rsidRPr="002C4023" w:rsidRDefault="009C15D4">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9C15D4" w:rsidRPr="002C4023" w14:paraId="1AEF8DC4" w14:textId="77777777">
        <w:tc>
          <w:tcPr>
            <w:tcW w:w="3240" w:type="dxa"/>
          </w:tcPr>
          <w:p w14:paraId="7FDA3084" w14:textId="77777777" w:rsidR="009C15D4" w:rsidRPr="002C4023" w:rsidRDefault="002C4023">
            <w:pPr>
              <w:ind w:left="26"/>
              <w:rPr>
                <w:rFonts w:ascii="Times New Roman" w:eastAsia="Times New Roman" w:hAnsi="Times New Roman" w:cs="FrankRuehl"/>
                <w:b/>
                <w:bCs/>
                <w:sz w:val="28"/>
                <w:szCs w:val="28"/>
                <w:rtl/>
              </w:rPr>
            </w:pPr>
            <w:bookmarkStart w:id="1" w:name="FirstAppellant"/>
            <w:r w:rsidRPr="002C4023">
              <w:rPr>
                <w:rFonts w:ascii="Times New Roman" w:eastAsia="Times New Roman" w:hAnsi="Times New Roman" w:cs="FrankRuehl" w:hint="cs"/>
                <w:b/>
                <w:bCs/>
                <w:sz w:val="28"/>
                <w:szCs w:val="28"/>
                <w:rtl/>
              </w:rPr>
              <w:t>ה</w:t>
            </w:r>
            <w:r w:rsidRPr="002C4023">
              <w:rPr>
                <w:rFonts w:ascii="Times New Roman" w:eastAsia="Times New Roman" w:hAnsi="Times New Roman" w:hint="cs"/>
                <w:rtl/>
              </w:rPr>
              <w:t>מאשימה</w:t>
            </w:r>
          </w:p>
        </w:tc>
        <w:tc>
          <w:tcPr>
            <w:tcW w:w="5562" w:type="dxa"/>
          </w:tcPr>
          <w:p w14:paraId="708434EE" w14:textId="77777777" w:rsidR="009C15D4" w:rsidRPr="002C4023" w:rsidRDefault="002C4023">
            <w:pPr>
              <w:rPr>
                <w:rFonts w:ascii="Times New Roman" w:eastAsia="Times New Roman" w:hAnsi="Times New Roman" w:cs="FrankRuehl"/>
                <w:b/>
                <w:bCs/>
                <w:sz w:val="28"/>
                <w:szCs w:val="28"/>
                <w:rtl/>
              </w:rPr>
            </w:pPr>
            <w:r w:rsidRPr="002C4023">
              <w:rPr>
                <w:rFonts w:ascii="Times New Roman" w:eastAsia="Times New Roman" w:hAnsi="Times New Roman" w:cs="FrankRuehl" w:hint="cs"/>
                <w:b/>
                <w:bCs/>
                <w:sz w:val="28"/>
                <w:szCs w:val="28"/>
                <w:rtl/>
              </w:rPr>
              <w:t xml:space="preserve"> </w:t>
            </w:r>
            <w:r w:rsidRPr="002C4023">
              <w:rPr>
                <w:rFonts w:ascii="Times New Roman" w:eastAsia="Times New Roman" w:hAnsi="Times New Roman" w:hint="cs"/>
                <w:rtl/>
              </w:rPr>
              <w:t>מדינת ישראל</w:t>
            </w:r>
          </w:p>
        </w:tc>
      </w:tr>
      <w:bookmarkEnd w:id="1"/>
      <w:tr w:rsidR="009C15D4" w:rsidRPr="002C4023" w14:paraId="4E562514" w14:textId="77777777">
        <w:tc>
          <w:tcPr>
            <w:tcW w:w="8802" w:type="dxa"/>
            <w:gridSpan w:val="2"/>
          </w:tcPr>
          <w:p w14:paraId="731E630E" w14:textId="77777777" w:rsidR="009C15D4" w:rsidRPr="002C4023" w:rsidRDefault="009C15D4">
            <w:pPr>
              <w:jc w:val="both"/>
              <w:rPr>
                <w:rFonts w:ascii="Arial" w:eastAsia="Times New Roman" w:hAnsi="Arial" w:cs="FrankRuehl"/>
                <w:b/>
                <w:bCs/>
                <w:sz w:val="28"/>
                <w:szCs w:val="28"/>
                <w:rtl/>
              </w:rPr>
            </w:pPr>
          </w:p>
          <w:p w14:paraId="6FCAFB88" w14:textId="77777777" w:rsidR="009C15D4" w:rsidRPr="002C4023" w:rsidRDefault="002C4023">
            <w:pPr>
              <w:jc w:val="center"/>
              <w:rPr>
                <w:rFonts w:ascii="Arial" w:eastAsia="Times New Roman" w:hAnsi="Arial" w:cs="FrankRuehl"/>
                <w:b/>
                <w:bCs/>
                <w:sz w:val="28"/>
                <w:szCs w:val="28"/>
                <w:rtl/>
              </w:rPr>
            </w:pPr>
            <w:r w:rsidRPr="002C4023">
              <w:rPr>
                <w:rFonts w:ascii="Arial" w:eastAsia="Times New Roman" w:hAnsi="Arial" w:cs="FrankRuehl"/>
                <w:b/>
                <w:bCs/>
                <w:sz w:val="28"/>
                <w:szCs w:val="28"/>
                <w:rtl/>
              </w:rPr>
              <w:t>נגד</w:t>
            </w:r>
          </w:p>
          <w:p w14:paraId="59207C87" w14:textId="77777777" w:rsidR="009C15D4" w:rsidRPr="002C4023" w:rsidRDefault="009C15D4">
            <w:pPr>
              <w:jc w:val="center"/>
              <w:rPr>
                <w:rFonts w:ascii="Arial" w:eastAsia="Times New Roman" w:hAnsi="Arial" w:cs="FrankRuehl"/>
                <w:b/>
                <w:bCs/>
                <w:sz w:val="28"/>
                <w:szCs w:val="28"/>
              </w:rPr>
            </w:pPr>
          </w:p>
        </w:tc>
      </w:tr>
      <w:tr w:rsidR="009C15D4" w:rsidRPr="002C4023" w14:paraId="1283FB5F" w14:textId="77777777">
        <w:tc>
          <w:tcPr>
            <w:tcW w:w="3240" w:type="dxa"/>
          </w:tcPr>
          <w:p w14:paraId="59D94888" w14:textId="77777777" w:rsidR="009C15D4" w:rsidRPr="002C4023" w:rsidRDefault="002C4023">
            <w:pPr>
              <w:ind w:left="26"/>
              <w:rPr>
                <w:rFonts w:ascii="Times New Roman" w:eastAsia="Times New Roman" w:hAnsi="Times New Roman" w:cs="FrankRuehl"/>
                <w:b/>
                <w:bCs/>
                <w:sz w:val="28"/>
                <w:szCs w:val="28"/>
                <w:rtl/>
              </w:rPr>
            </w:pPr>
            <w:r w:rsidRPr="002C4023">
              <w:rPr>
                <w:rFonts w:ascii="Times New Roman" w:eastAsia="Times New Roman" w:hAnsi="Times New Roman" w:cs="FrankRuehl" w:hint="cs"/>
                <w:b/>
                <w:bCs/>
                <w:sz w:val="28"/>
                <w:szCs w:val="28"/>
                <w:rtl/>
              </w:rPr>
              <w:t>ה</w:t>
            </w:r>
            <w:r w:rsidRPr="002C4023">
              <w:rPr>
                <w:rFonts w:ascii="Times New Roman" w:eastAsia="Times New Roman" w:hAnsi="Times New Roman" w:hint="cs"/>
                <w:rtl/>
              </w:rPr>
              <w:t>נאשם</w:t>
            </w:r>
          </w:p>
        </w:tc>
        <w:tc>
          <w:tcPr>
            <w:tcW w:w="5562" w:type="dxa"/>
          </w:tcPr>
          <w:p w14:paraId="7FC06231" w14:textId="77777777" w:rsidR="009C15D4" w:rsidRPr="002C4023" w:rsidRDefault="002C4023">
            <w:pPr>
              <w:rPr>
                <w:rFonts w:ascii="Times New Roman" w:eastAsia="Times New Roman" w:hAnsi="Times New Roman" w:cs="FrankRuehl"/>
                <w:b/>
                <w:bCs/>
                <w:sz w:val="28"/>
                <w:szCs w:val="28"/>
                <w:rtl/>
              </w:rPr>
            </w:pPr>
            <w:r w:rsidRPr="002C4023">
              <w:rPr>
                <w:rFonts w:ascii="Times New Roman" w:eastAsia="Times New Roman" w:hAnsi="Times New Roman" w:cs="Times New Roman"/>
                <w:rtl/>
              </w:rPr>
              <w:t xml:space="preserve">     </w:t>
            </w:r>
            <w:r w:rsidRPr="002C4023">
              <w:rPr>
                <w:rFonts w:ascii="Times New Roman" w:eastAsia="Times New Roman" w:hAnsi="Times New Roman" w:cs="FrankRuehl" w:hint="cs"/>
                <w:b/>
                <w:bCs/>
                <w:sz w:val="28"/>
                <w:szCs w:val="28"/>
                <w:rtl/>
              </w:rPr>
              <w:t xml:space="preserve"> </w:t>
            </w:r>
            <w:r w:rsidRPr="002C4023">
              <w:rPr>
                <w:rFonts w:ascii="Times New Roman" w:eastAsia="Times New Roman" w:hAnsi="Times New Roman" w:hint="cs"/>
                <w:rtl/>
              </w:rPr>
              <w:t>ישראל לוי</w:t>
            </w:r>
          </w:p>
        </w:tc>
      </w:tr>
    </w:tbl>
    <w:p w14:paraId="6C4F31DE" w14:textId="77777777" w:rsidR="009C15D4" w:rsidRPr="002C4023" w:rsidRDefault="002C4023">
      <w:pPr>
        <w:spacing w:line="360" w:lineRule="auto"/>
        <w:jc w:val="both"/>
        <w:rPr>
          <w:sz w:val="6"/>
          <w:szCs w:val="6"/>
          <w:rtl/>
        </w:rPr>
      </w:pPr>
      <w:r w:rsidRPr="002C4023">
        <w:rPr>
          <w:sz w:val="6"/>
          <w:szCs w:val="6"/>
          <w:rtl/>
        </w:rPr>
        <w:t>&lt;#1#&gt;</w:t>
      </w:r>
    </w:p>
    <w:p w14:paraId="353900FE" w14:textId="77777777" w:rsidR="009C15D4" w:rsidRPr="002C4023" w:rsidRDefault="002C4023">
      <w:pPr>
        <w:pStyle w:val="12"/>
        <w:spacing w:line="360" w:lineRule="auto"/>
        <w:rPr>
          <w:b w:val="0"/>
          <w:bCs w:val="0"/>
          <w:u w:val="none"/>
        </w:rPr>
      </w:pPr>
      <w:r w:rsidRPr="002C4023">
        <w:rPr>
          <w:rFonts w:hint="cs"/>
          <w:u w:val="none"/>
          <w:rtl/>
        </w:rPr>
        <w:t>נוכחים</w:t>
      </w:r>
      <w:r w:rsidRPr="002C4023">
        <w:rPr>
          <w:rFonts w:hint="cs"/>
          <w:b w:val="0"/>
          <w:bCs w:val="0"/>
          <w:u w:val="none"/>
          <w:rtl/>
        </w:rPr>
        <w:t>:</w:t>
      </w:r>
    </w:p>
    <w:p w14:paraId="66E7E71D" w14:textId="77777777" w:rsidR="009C15D4" w:rsidRPr="002C4023" w:rsidRDefault="002C4023">
      <w:pPr>
        <w:pStyle w:val="12"/>
        <w:spacing w:line="360" w:lineRule="auto"/>
        <w:rPr>
          <w:b w:val="0"/>
          <w:bCs w:val="0"/>
          <w:u w:val="none"/>
        </w:rPr>
      </w:pPr>
      <w:bookmarkStart w:id="2" w:name="FirstLawyer"/>
      <w:r w:rsidRPr="002C4023">
        <w:rPr>
          <w:rFonts w:hint="cs"/>
          <w:u w:val="none"/>
          <w:rtl/>
        </w:rPr>
        <w:t>ב"כ</w:t>
      </w:r>
      <w:bookmarkEnd w:id="2"/>
      <w:r w:rsidRPr="002C4023">
        <w:rPr>
          <w:rFonts w:hint="cs"/>
          <w:u w:val="none"/>
          <w:rtl/>
        </w:rPr>
        <w:t xml:space="preserve"> המאשימה</w:t>
      </w:r>
      <w:r w:rsidRPr="002C4023">
        <w:rPr>
          <w:rFonts w:hint="cs"/>
          <w:b w:val="0"/>
          <w:bCs w:val="0"/>
          <w:u w:val="none"/>
          <w:rtl/>
        </w:rPr>
        <w:t>: עו"ד אורלי טל</w:t>
      </w:r>
    </w:p>
    <w:p w14:paraId="699A3161" w14:textId="77777777" w:rsidR="009C15D4" w:rsidRPr="002C4023" w:rsidRDefault="002C4023">
      <w:pPr>
        <w:pStyle w:val="12"/>
        <w:spacing w:line="360" w:lineRule="auto"/>
        <w:rPr>
          <w:b w:val="0"/>
          <w:bCs w:val="0"/>
          <w:u w:val="none"/>
        </w:rPr>
      </w:pPr>
      <w:r w:rsidRPr="002C4023">
        <w:rPr>
          <w:rFonts w:hint="cs"/>
          <w:u w:val="none"/>
          <w:rtl/>
        </w:rPr>
        <w:t>ב"כ הנאשם</w:t>
      </w:r>
      <w:r w:rsidRPr="002C4023">
        <w:rPr>
          <w:rFonts w:hint="cs"/>
          <w:b w:val="0"/>
          <w:bCs w:val="0"/>
          <w:u w:val="none"/>
          <w:rtl/>
        </w:rPr>
        <w:t>: עו"ד יוסי שילוח</w:t>
      </w:r>
    </w:p>
    <w:p w14:paraId="5B653B04" w14:textId="77777777" w:rsidR="009C15D4" w:rsidRPr="002C4023" w:rsidRDefault="002C4023">
      <w:pPr>
        <w:pStyle w:val="12"/>
        <w:spacing w:line="360" w:lineRule="auto"/>
        <w:rPr>
          <w:u w:val="none"/>
        </w:rPr>
      </w:pPr>
      <w:r w:rsidRPr="002C4023">
        <w:rPr>
          <w:rFonts w:hint="cs"/>
          <w:u w:val="none"/>
          <w:rtl/>
        </w:rPr>
        <w:t>הנאשם התייצב</w:t>
      </w:r>
    </w:p>
    <w:p w14:paraId="5595EE0E" w14:textId="77777777" w:rsidR="009C15D4" w:rsidRPr="002C4023" w:rsidRDefault="009C15D4">
      <w:pPr>
        <w:pStyle w:val="12"/>
        <w:rPr>
          <w:b w:val="0"/>
          <w:bCs w:val="0"/>
          <w:u w:val="none"/>
          <w:rtl/>
        </w:rPr>
      </w:pPr>
    </w:p>
    <w:p w14:paraId="73DA749C" w14:textId="77777777" w:rsidR="004F6DCD" w:rsidRDefault="002C4023">
      <w:pPr>
        <w:spacing w:line="360" w:lineRule="auto"/>
        <w:jc w:val="center"/>
        <w:rPr>
          <w:rFonts w:ascii="Arial" w:hAnsi="Arial"/>
          <w:b/>
          <w:color w:val="FF0000"/>
          <w:sz w:val="28"/>
          <w:rtl/>
        </w:rPr>
      </w:pPr>
      <w:r w:rsidRPr="002C4023">
        <w:rPr>
          <w:rFonts w:ascii="Arial" w:hAnsi="Arial"/>
          <w:b/>
          <w:color w:val="FF0000"/>
          <w:sz w:val="28"/>
          <w:rtl/>
        </w:rPr>
        <w:t>במסמך זה הושמטו פרוטוקולים</w:t>
      </w:r>
      <w:bookmarkStart w:id="3" w:name="LawTable"/>
      <w:bookmarkEnd w:id="3"/>
    </w:p>
    <w:p w14:paraId="1EB88999" w14:textId="77777777" w:rsidR="004F6DCD" w:rsidRPr="004F6DCD" w:rsidRDefault="004F6DCD" w:rsidP="004F6DCD">
      <w:pPr>
        <w:spacing w:after="120" w:line="240" w:lineRule="exact"/>
        <w:ind w:left="283" w:hanging="283"/>
        <w:jc w:val="both"/>
        <w:rPr>
          <w:rFonts w:ascii="FrankRuehl" w:hAnsi="FrankRuehl" w:cs="FrankRuehl"/>
          <w:color w:val="FF0000"/>
          <w:rtl/>
        </w:rPr>
      </w:pPr>
    </w:p>
    <w:p w14:paraId="28836F0D" w14:textId="77777777" w:rsidR="004F6DCD" w:rsidRPr="004F6DCD" w:rsidRDefault="004F6DCD" w:rsidP="004F6DCD">
      <w:pPr>
        <w:spacing w:after="120" w:line="240" w:lineRule="exact"/>
        <w:ind w:left="283" w:hanging="283"/>
        <w:jc w:val="both"/>
        <w:rPr>
          <w:rFonts w:ascii="FrankRuehl" w:hAnsi="FrankRuehl" w:cs="FrankRuehl"/>
          <w:color w:val="FF0000"/>
          <w:rtl/>
        </w:rPr>
      </w:pPr>
      <w:r w:rsidRPr="004F6DCD">
        <w:rPr>
          <w:rFonts w:ascii="FrankRuehl" w:hAnsi="FrankRuehl" w:cs="FrankRuehl"/>
          <w:color w:val="FF0000"/>
          <w:rtl/>
        </w:rPr>
        <w:t xml:space="preserve">חקיקה שאוזכרה: </w:t>
      </w:r>
    </w:p>
    <w:p w14:paraId="55480F9A" w14:textId="77777777" w:rsidR="004F6DCD" w:rsidRPr="004F6DCD" w:rsidRDefault="004F6DCD" w:rsidP="004F6DCD">
      <w:pPr>
        <w:spacing w:after="120" w:line="240" w:lineRule="exact"/>
        <w:ind w:left="283" w:hanging="283"/>
        <w:jc w:val="both"/>
        <w:rPr>
          <w:rFonts w:ascii="FrankRuehl" w:hAnsi="FrankRuehl" w:cs="FrankRuehl"/>
          <w:color w:val="0000FF"/>
          <w:u w:val="single"/>
          <w:rtl/>
        </w:rPr>
      </w:pPr>
      <w:hyperlink r:id="rId6" w:history="1">
        <w:r w:rsidRPr="004F6DCD">
          <w:rPr>
            <w:rStyle w:val="Hyperlink"/>
            <w:rFonts w:ascii="FrankRuehl" w:hAnsi="FrankRuehl" w:cs="FrankRuehl"/>
            <w:rtl/>
          </w:rPr>
          <w:t>חוק העונשין, תשל"ז-1977</w:t>
        </w:r>
      </w:hyperlink>
      <w:r w:rsidRPr="004F6DCD">
        <w:rPr>
          <w:rFonts w:ascii="FrankRuehl" w:hAnsi="FrankRuehl" w:cs="FrankRuehl"/>
          <w:color w:val="0000FF"/>
          <w:u w:val="single"/>
          <w:rtl/>
        </w:rPr>
        <w:t xml:space="preserve">: סע'  </w:t>
      </w:r>
      <w:hyperlink r:id="rId7" w:history="1">
        <w:r w:rsidRPr="004F6DCD">
          <w:rPr>
            <w:rStyle w:val="Hyperlink"/>
            <w:rFonts w:ascii="FrankRuehl" w:hAnsi="FrankRuehl" w:cs="FrankRuehl"/>
          </w:rPr>
          <w:t>25</w:t>
        </w:r>
      </w:hyperlink>
      <w:r w:rsidRPr="004F6DCD">
        <w:rPr>
          <w:rFonts w:ascii="FrankRuehl" w:hAnsi="FrankRuehl" w:cs="FrankRuehl"/>
          <w:color w:val="0000FF"/>
          <w:u w:val="single"/>
          <w:rtl/>
        </w:rPr>
        <w:t xml:space="preserve">, </w:t>
      </w:r>
      <w:hyperlink r:id="rId8" w:history="1">
        <w:r w:rsidRPr="004F6DCD">
          <w:rPr>
            <w:rStyle w:val="Hyperlink"/>
            <w:rFonts w:ascii="FrankRuehl" w:hAnsi="FrankRuehl" w:cs="FrankRuehl"/>
          </w:rPr>
          <w:t>192</w:t>
        </w:r>
      </w:hyperlink>
      <w:r w:rsidRPr="004F6DCD">
        <w:rPr>
          <w:rFonts w:ascii="FrankRuehl" w:hAnsi="FrankRuehl" w:cs="FrankRuehl"/>
          <w:color w:val="0000FF"/>
          <w:u w:val="single"/>
          <w:rtl/>
        </w:rPr>
        <w:t xml:space="preserve">, </w:t>
      </w:r>
      <w:hyperlink r:id="rId9" w:history="1">
        <w:r w:rsidRPr="004F6DCD">
          <w:rPr>
            <w:rStyle w:val="Hyperlink"/>
            <w:rFonts w:ascii="FrankRuehl" w:hAnsi="FrankRuehl" w:cs="FrankRuehl"/>
          </w:rPr>
          <w:t>273</w:t>
        </w:r>
      </w:hyperlink>
      <w:r w:rsidRPr="004F6DCD">
        <w:rPr>
          <w:rFonts w:ascii="FrankRuehl" w:hAnsi="FrankRuehl" w:cs="FrankRuehl"/>
          <w:color w:val="0000FF"/>
          <w:u w:val="single"/>
          <w:rtl/>
        </w:rPr>
        <w:t xml:space="preserve">, </w:t>
      </w:r>
      <w:hyperlink r:id="rId10" w:history="1">
        <w:r w:rsidRPr="004F6DCD">
          <w:rPr>
            <w:rStyle w:val="Hyperlink"/>
            <w:rFonts w:ascii="FrankRuehl" w:hAnsi="FrankRuehl" w:cs="FrankRuehl"/>
          </w:rPr>
          <w:t>275</w:t>
        </w:r>
      </w:hyperlink>
      <w:r w:rsidRPr="004F6DCD">
        <w:rPr>
          <w:rFonts w:ascii="FrankRuehl" w:hAnsi="FrankRuehl" w:cs="FrankRuehl"/>
          <w:color w:val="0000FF"/>
          <w:u w:val="single"/>
          <w:rtl/>
        </w:rPr>
        <w:t xml:space="preserve">, </w:t>
      </w:r>
      <w:hyperlink r:id="rId11" w:history="1">
        <w:r w:rsidRPr="004F6DCD">
          <w:rPr>
            <w:rStyle w:val="Hyperlink"/>
            <w:rFonts w:ascii="FrankRuehl" w:hAnsi="FrankRuehl" w:cs="FrankRuehl"/>
          </w:rPr>
          <w:t>288</w:t>
        </w:r>
      </w:hyperlink>
      <w:r w:rsidRPr="004F6DCD">
        <w:rPr>
          <w:rFonts w:ascii="FrankRuehl" w:hAnsi="FrankRuehl" w:cs="FrankRuehl"/>
          <w:color w:val="0000FF"/>
          <w:u w:val="single"/>
          <w:rtl/>
        </w:rPr>
        <w:t xml:space="preserve">, </w:t>
      </w:r>
      <w:hyperlink r:id="rId12" w:history="1">
        <w:r w:rsidRPr="004F6DCD">
          <w:rPr>
            <w:rStyle w:val="Hyperlink"/>
            <w:rFonts w:ascii="FrankRuehl" w:hAnsi="FrankRuehl" w:cs="FrankRuehl"/>
          </w:rPr>
          <w:t>452</w:t>
        </w:r>
      </w:hyperlink>
    </w:p>
    <w:p w14:paraId="488B6488" w14:textId="77777777" w:rsidR="004F6DCD" w:rsidRPr="004F6DCD" w:rsidRDefault="004F6DCD" w:rsidP="004F6DCD">
      <w:pPr>
        <w:spacing w:after="120" w:line="240" w:lineRule="exact"/>
        <w:ind w:left="283" w:hanging="283"/>
        <w:jc w:val="both"/>
        <w:rPr>
          <w:rFonts w:ascii="FrankRuehl" w:hAnsi="FrankRuehl" w:cs="FrankRuehl"/>
          <w:color w:val="0000FF"/>
          <w:u w:val="single"/>
          <w:rtl/>
        </w:rPr>
      </w:pPr>
      <w:hyperlink r:id="rId13" w:history="1">
        <w:r w:rsidRPr="004F6DCD">
          <w:rPr>
            <w:rStyle w:val="Hyperlink"/>
            <w:rFonts w:ascii="FrankRuehl" w:hAnsi="FrankRuehl" w:cs="FrankRuehl"/>
            <w:rtl/>
          </w:rPr>
          <w:t>פקודת סדר הדין הפלילי (מעצר וחיפוש) [נוסח חדש], תשכ"ט-1969</w:t>
        </w:r>
      </w:hyperlink>
      <w:r w:rsidRPr="004F6DCD">
        <w:rPr>
          <w:rFonts w:ascii="FrankRuehl" w:hAnsi="FrankRuehl" w:cs="FrankRuehl"/>
          <w:color w:val="0000FF"/>
          <w:u w:val="single"/>
          <w:rtl/>
        </w:rPr>
        <w:t xml:space="preserve">: סע'  </w:t>
      </w:r>
      <w:hyperlink r:id="rId14" w:history="1">
        <w:r w:rsidRPr="004F6DCD">
          <w:rPr>
            <w:rStyle w:val="Hyperlink"/>
            <w:rFonts w:ascii="FrankRuehl" w:hAnsi="FrankRuehl" w:cs="FrankRuehl"/>
          </w:rPr>
          <w:t>47(</w:t>
        </w:r>
        <w:r w:rsidRPr="004F6DCD">
          <w:rPr>
            <w:rStyle w:val="Hyperlink"/>
            <w:rFonts w:ascii="FrankRuehl" w:hAnsi="FrankRuehl" w:cs="FrankRuehl"/>
            <w:rtl/>
          </w:rPr>
          <w:t>א</w:t>
        </w:r>
        <w:r w:rsidRPr="004F6DCD">
          <w:rPr>
            <w:rStyle w:val="Hyperlink"/>
            <w:rFonts w:ascii="FrankRuehl" w:hAnsi="FrankRuehl" w:cs="FrankRuehl"/>
          </w:rPr>
          <w:t>)</w:t>
        </w:r>
      </w:hyperlink>
    </w:p>
    <w:p w14:paraId="269C8A3A" w14:textId="77777777" w:rsidR="004F6DCD" w:rsidRPr="004F6DCD" w:rsidRDefault="004F6DCD" w:rsidP="004F6DCD">
      <w:pPr>
        <w:spacing w:after="120" w:line="240" w:lineRule="exact"/>
        <w:ind w:left="283" w:hanging="283"/>
        <w:jc w:val="both"/>
        <w:rPr>
          <w:rFonts w:ascii="FrankRuehl" w:hAnsi="FrankRuehl" w:cs="FrankRuehl"/>
          <w:color w:val="0000FF"/>
          <w:u w:val="single"/>
          <w:rtl/>
        </w:rPr>
      </w:pPr>
      <w:hyperlink r:id="rId15" w:history="1">
        <w:r w:rsidRPr="004F6DCD">
          <w:rPr>
            <w:rStyle w:val="Hyperlink"/>
            <w:rFonts w:ascii="FrankRuehl" w:hAnsi="FrankRuehl" w:cs="FrankRuehl"/>
            <w:rtl/>
          </w:rPr>
          <w:t>חוק הבזק (אישור תוקפה של התוספת לחוק הבזק, תשמ"ב-1982), תשנ"ז-1997</w:t>
        </w:r>
      </w:hyperlink>
      <w:r w:rsidRPr="004F6DCD">
        <w:rPr>
          <w:rFonts w:ascii="FrankRuehl" w:hAnsi="FrankRuehl" w:cs="FrankRuehl"/>
          <w:color w:val="0000FF"/>
          <w:u w:val="single"/>
          <w:rtl/>
        </w:rPr>
        <w:t xml:space="preserve">: סע'  </w:t>
      </w:r>
      <w:hyperlink r:id="rId16" w:history="1">
        <w:r w:rsidRPr="004F6DCD">
          <w:rPr>
            <w:rStyle w:val="Hyperlink"/>
            <w:rFonts w:ascii="FrankRuehl" w:hAnsi="FrankRuehl" w:cs="FrankRuehl"/>
          </w:rPr>
          <w:t>30</w:t>
        </w:r>
      </w:hyperlink>
    </w:p>
    <w:p w14:paraId="5E6F9E39" w14:textId="77777777" w:rsidR="004F6DCD" w:rsidRPr="004F6DCD" w:rsidRDefault="004F6DCD" w:rsidP="004F6DCD">
      <w:pPr>
        <w:spacing w:after="120" w:line="240" w:lineRule="exact"/>
        <w:ind w:left="283" w:hanging="283"/>
        <w:jc w:val="both"/>
        <w:rPr>
          <w:rFonts w:ascii="FrankRuehl" w:hAnsi="FrankRuehl" w:cs="FrankRuehl"/>
          <w:color w:val="0000FF"/>
          <w:u w:val="single"/>
          <w:rtl/>
        </w:rPr>
      </w:pPr>
      <w:hyperlink r:id="rId17" w:history="1">
        <w:r w:rsidRPr="004F6DCD">
          <w:rPr>
            <w:rStyle w:val="Hyperlink"/>
            <w:rFonts w:ascii="FrankRuehl" w:hAnsi="FrankRuehl" w:cs="FrankRuehl"/>
            <w:rtl/>
          </w:rPr>
          <w:t>פקודת הסמים המסוכנים [נוסח חדש], תשל"ג-1973</w:t>
        </w:r>
      </w:hyperlink>
    </w:p>
    <w:p w14:paraId="7B15D1A9" w14:textId="77777777" w:rsidR="004F6DCD" w:rsidRPr="004F6DCD" w:rsidRDefault="004F6DCD" w:rsidP="004F6DCD">
      <w:pPr>
        <w:spacing w:after="120" w:line="240" w:lineRule="exact"/>
        <w:ind w:left="283" w:hanging="283"/>
        <w:jc w:val="both"/>
        <w:rPr>
          <w:rFonts w:ascii="FrankRuehl" w:hAnsi="FrankRuehl" w:cs="FrankRuehl"/>
          <w:rtl/>
        </w:rPr>
      </w:pPr>
    </w:p>
    <w:p w14:paraId="0F194240" w14:textId="77777777" w:rsidR="002C4023" w:rsidRPr="002C4023" w:rsidRDefault="002C4023" w:rsidP="002C4023">
      <w:pPr>
        <w:spacing w:line="360" w:lineRule="auto"/>
        <w:jc w:val="center"/>
        <w:rPr>
          <w:rFonts w:ascii="Arial" w:hAnsi="Arial"/>
          <w:b/>
          <w:bCs/>
          <w:sz w:val="28"/>
          <w:szCs w:val="28"/>
          <w:u w:val="single"/>
          <w:rtl/>
        </w:rPr>
      </w:pPr>
      <w:bookmarkStart w:id="4" w:name="LawTable_End"/>
      <w:bookmarkStart w:id="5" w:name="PsakDin"/>
      <w:bookmarkEnd w:id="0"/>
      <w:bookmarkEnd w:id="4"/>
      <w:r w:rsidRPr="002C4023">
        <w:rPr>
          <w:rFonts w:ascii="Arial" w:hAnsi="Arial"/>
          <w:b/>
          <w:bCs/>
          <w:sz w:val="28"/>
          <w:szCs w:val="28"/>
          <w:u w:val="single"/>
          <w:rtl/>
        </w:rPr>
        <w:t>גזר דין</w:t>
      </w:r>
    </w:p>
    <w:bookmarkEnd w:id="5"/>
    <w:p w14:paraId="570F3C7C" w14:textId="77777777" w:rsidR="009C15D4" w:rsidRDefault="009C15D4">
      <w:pPr>
        <w:spacing w:line="360" w:lineRule="auto"/>
        <w:jc w:val="both"/>
        <w:rPr>
          <w:rFonts w:ascii="Arial" w:hAnsi="Arial"/>
        </w:rPr>
      </w:pPr>
    </w:p>
    <w:p w14:paraId="7E903377" w14:textId="77777777" w:rsidR="009C15D4" w:rsidRDefault="002C4023">
      <w:pPr>
        <w:spacing w:line="360" w:lineRule="auto"/>
        <w:jc w:val="both"/>
        <w:rPr>
          <w:rtl/>
        </w:rPr>
      </w:pPr>
      <w:bookmarkStart w:id="6" w:name="ABSTRACT_START"/>
      <w:bookmarkEnd w:id="6"/>
      <w:r>
        <w:rPr>
          <w:rFonts w:hint="cs"/>
          <w:rtl/>
        </w:rPr>
        <w:t xml:space="preserve">הנאשם שלפניי, יליד 1983, הורשע לאחר ניהול הוכחות בביצוע העבירות הבאות: תקיפת שוטר, לפי </w:t>
      </w:r>
      <w:hyperlink r:id="rId18" w:history="1">
        <w:r w:rsidR="004F6DCD" w:rsidRPr="004F6DCD">
          <w:rPr>
            <w:rStyle w:val="Hyperlink"/>
            <w:rFonts w:hint="eastAsia"/>
            <w:rtl/>
          </w:rPr>
          <w:t>סעיף</w:t>
        </w:r>
        <w:r w:rsidR="004F6DCD" w:rsidRPr="004F6DCD">
          <w:rPr>
            <w:rStyle w:val="Hyperlink"/>
            <w:rtl/>
          </w:rPr>
          <w:t xml:space="preserve"> 273</w:t>
        </w:r>
      </w:hyperlink>
      <w:r>
        <w:rPr>
          <w:rFonts w:hint="cs"/>
          <w:rtl/>
        </w:rPr>
        <w:t xml:space="preserve"> ל</w:t>
      </w:r>
      <w:hyperlink r:id="rId19" w:history="1">
        <w:r w:rsidRPr="002C4023">
          <w:rPr>
            <w:color w:val="0000FF"/>
            <w:u w:val="single"/>
            <w:rtl/>
          </w:rPr>
          <w:t>חוק העונשין</w:t>
        </w:r>
      </w:hyperlink>
      <w:r>
        <w:rPr>
          <w:rFonts w:hint="cs"/>
          <w:rtl/>
        </w:rPr>
        <w:t xml:space="preserve">, הפרעה לשוטר במילוי תפקידו לפי </w:t>
      </w:r>
      <w:hyperlink r:id="rId20" w:history="1">
        <w:r w:rsidR="004F6DCD" w:rsidRPr="004F6DCD">
          <w:rPr>
            <w:rStyle w:val="Hyperlink"/>
            <w:rFonts w:hint="eastAsia"/>
            <w:rtl/>
          </w:rPr>
          <w:t>סעיף</w:t>
        </w:r>
        <w:r w:rsidR="004F6DCD" w:rsidRPr="004F6DCD">
          <w:rPr>
            <w:rStyle w:val="Hyperlink"/>
            <w:rtl/>
          </w:rPr>
          <w:t xml:space="preserve"> 275</w:t>
        </w:r>
      </w:hyperlink>
      <w:r>
        <w:rPr>
          <w:rFonts w:hint="cs"/>
          <w:rtl/>
        </w:rPr>
        <w:t xml:space="preserve"> לחוק, ניסיון לתקוף שוטר לפי </w:t>
      </w:r>
      <w:hyperlink r:id="rId21" w:history="1">
        <w:r w:rsidR="004F6DCD" w:rsidRPr="004F6DCD">
          <w:rPr>
            <w:rStyle w:val="Hyperlink"/>
            <w:rFonts w:hint="eastAsia"/>
            <w:rtl/>
          </w:rPr>
          <w:t>סעיפים</w:t>
        </w:r>
        <w:r w:rsidR="004F6DCD" w:rsidRPr="004F6DCD">
          <w:rPr>
            <w:rStyle w:val="Hyperlink"/>
            <w:rtl/>
          </w:rPr>
          <w:t xml:space="preserve"> 273</w:t>
        </w:r>
      </w:hyperlink>
      <w:r>
        <w:rPr>
          <w:rFonts w:hint="cs"/>
          <w:rtl/>
        </w:rPr>
        <w:t xml:space="preserve"> ביחד עם </w:t>
      </w:r>
      <w:hyperlink r:id="rId22" w:history="1">
        <w:r w:rsidR="004F6DCD" w:rsidRPr="004F6DCD">
          <w:rPr>
            <w:rStyle w:val="Hyperlink"/>
            <w:rtl/>
          </w:rPr>
          <w:t>25</w:t>
        </w:r>
      </w:hyperlink>
      <w:r>
        <w:rPr>
          <w:rFonts w:hint="cs"/>
          <w:rtl/>
        </w:rPr>
        <w:t xml:space="preserve"> לחוק העונשין, איומים לפי </w:t>
      </w:r>
      <w:hyperlink r:id="rId23" w:history="1">
        <w:r w:rsidR="004F6DCD" w:rsidRPr="004F6DCD">
          <w:rPr>
            <w:rStyle w:val="Hyperlink"/>
            <w:rFonts w:hint="eastAsia"/>
            <w:rtl/>
          </w:rPr>
          <w:t>סעיף</w:t>
        </w:r>
        <w:r w:rsidR="004F6DCD" w:rsidRPr="004F6DCD">
          <w:rPr>
            <w:rStyle w:val="Hyperlink"/>
            <w:rtl/>
          </w:rPr>
          <w:t xml:space="preserve"> 192</w:t>
        </w:r>
      </w:hyperlink>
      <w:r>
        <w:rPr>
          <w:rFonts w:hint="cs"/>
          <w:rtl/>
        </w:rPr>
        <w:t xml:space="preserve"> לחוק העונשין, העלבת עובד ציבור לפי </w:t>
      </w:r>
      <w:hyperlink r:id="rId24" w:history="1">
        <w:r w:rsidR="004F6DCD" w:rsidRPr="004F6DCD">
          <w:rPr>
            <w:rStyle w:val="Hyperlink"/>
            <w:rFonts w:hint="eastAsia"/>
            <w:rtl/>
          </w:rPr>
          <w:t>סעיף</w:t>
        </w:r>
        <w:r w:rsidR="004F6DCD" w:rsidRPr="004F6DCD">
          <w:rPr>
            <w:rStyle w:val="Hyperlink"/>
            <w:rtl/>
          </w:rPr>
          <w:t xml:space="preserve"> 288</w:t>
        </w:r>
      </w:hyperlink>
      <w:r>
        <w:rPr>
          <w:rFonts w:hint="cs"/>
          <w:rtl/>
        </w:rPr>
        <w:t xml:space="preserve"> לחוק, היזק לרכוש לפי </w:t>
      </w:r>
      <w:hyperlink r:id="rId25" w:history="1">
        <w:r w:rsidR="004F6DCD" w:rsidRPr="004F6DCD">
          <w:rPr>
            <w:rStyle w:val="Hyperlink"/>
            <w:rFonts w:hint="eastAsia"/>
            <w:rtl/>
          </w:rPr>
          <w:t>סעיף</w:t>
        </w:r>
        <w:r w:rsidR="004F6DCD" w:rsidRPr="004F6DCD">
          <w:rPr>
            <w:rStyle w:val="Hyperlink"/>
            <w:rtl/>
          </w:rPr>
          <w:t xml:space="preserve"> 452</w:t>
        </w:r>
      </w:hyperlink>
      <w:r>
        <w:rPr>
          <w:rFonts w:hint="cs"/>
          <w:rtl/>
        </w:rPr>
        <w:t xml:space="preserve"> לחוק ושימוש בכוח למניעת מעצר, לפי </w:t>
      </w:r>
      <w:hyperlink r:id="rId26" w:history="1">
        <w:r w:rsidR="004F6DCD" w:rsidRPr="004F6DCD">
          <w:rPr>
            <w:rStyle w:val="Hyperlink"/>
            <w:rFonts w:hint="eastAsia"/>
            <w:rtl/>
          </w:rPr>
          <w:t>סעיף</w:t>
        </w:r>
        <w:r w:rsidR="004F6DCD" w:rsidRPr="004F6DCD">
          <w:rPr>
            <w:rStyle w:val="Hyperlink"/>
            <w:rtl/>
          </w:rPr>
          <w:t xml:space="preserve"> 47(א)</w:t>
        </w:r>
      </w:hyperlink>
      <w:r>
        <w:rPr>
          <w:rFonts w:hint="cs"/>
          <w:rtl/>
        </w:rPr>
        <w:t xml:space="preserve"> ל</w:t>
      </w:r>
      <w:hyperlink r:id="rId27" w:history="1">
        <w:r w:rsidRPr="002C4023">
          <w:rPr>
            <w:color w:val="0000FF"/>
            <w:u w:val="single"/>
            <w:rtl/>
          </w:rPr>
          <w:t>פקודת סדר הדין הפלילי (מעצר וחיפוש)</w:t>
        </w:r>
      </w:hyperlink>
      <w:r>
        <w:rPr>
          <w:rFonts w:hint="cs"/>
          <w:rtl/>
        </w:rPr>
        <w:t>.</w:t>
      </w:r>
      <w:bookmarkStart w:id="7" w:name="ABSTRACT_END"/>
      <w:bookmarkEnd w:id="7"/>
      <w:r>
        <w:rPr>
          <w:rFonts w:hint="cs"/>
          <w:rtl/>
        </w:rPr>
        <w:t xml:space="preserve"> נוסף על כך, באישום נוסף באותו כתב אישום הורשע הנאשם בביצוע עבירה של איומים וכן הטרדה באמצעות מתקן בזק, עבירה לפי </w:t>
      </w:r>
      <w:hyperlink r:id="rId28" w:history="1">
        <w:r w:rsidR="004F6DCD" w:rsidRPr="004F6DCD">
          <w:rPr>
            <w:rStyle w:val="Hyperlink"/>
            <w:rFonts w:hint="eastAsia"/>
            <w:rtl/>
          </w:rPr>
          <w:t>סעיף</w:t>
        </w:r>
        <w:r w:rsidR="004F6DCD" w:rsidRPr="004F6DCD">
          <w:rPr>
            <w:rStyle w:val="Hyperlink"/>
            <w:rtl/>
          </w:rPr>
          <w:t xml:space="preserve"> 30</w:t>
        </w:r>
      </w:hyperlink>
      <w:r>
        <w:rPr>
          <w:rFonts w:hint="cs"/>
          <w:rtl/>
        </w:rPr>
        <w:t xml:space="preserve"> </w:t>
      </w:r>
      <w:hyperlink r:id="rId29" w:history="1">
        <w:r w:rsidR="004F6DCD" w:rsidRPr="004F6DCD">
          <w:rPr>
            <w:rStyle w:val="Hyperlink"/>
            <w:rFonts w:hint="eastAsia"/>
            <w:rtl/>
          </w:rPr>
          <w:t>לחוק</w:t>
        </w:r>
        <w:r w:rsidR="004F6DCD" w:rsidRPr="004F6DCD">
          <w:rPr>
            <w:rStyle w:val="Hyperlink"/>
            <w:rtl/>
          </w:rPr>
          <w:t xml:space="preserve"> הבזק</w:t>
        </w:r>
      </w:hyperlink>
      <w:r>
        <w:rPr>
          <w:rFonts w:hint="cs"/>
          <w:rtl/>
        </w:rPr>
        <w:t xml:space="preserve">. הכרעת הדין שניתנה ביום 1/5/13 מפורטת וניתן ללמוד ממנה את כל האירועים הרלוונטיים. בקיצור אומר כי ביום 20/2/10 הוזעקו שוטרים לבניין שבו גר הנאשם, על פי תלונה של שכנה. השוטרים הגיעו לבניין ולא איתרו את הנאשם אך כעבור זמן מה, בעקבות מידע שבו לבניין וביקשו לעכב את הנאשם. מאותו רגע החלה השתלשלות עניינים שכללה סירוב של הנאשם לעיכוב, התנגדות למעצר, השתוללות של הנאשם, תפיסת הגדר תוך קללות נמרצות מצד הנאשם, השתוללות </w:t>
      </w:r>
      <w:r>
        <w:rPr>
          <w:rFonts w:hint="cs"/>
          <w:rtl/>
        </w:rPr>
        <w:lastRenderedPageBreak/>
        <w:t xml:space="preserve">של הנאשם ובעיטה ברגליו בשעה שהושכב אגב ניסיון איזוק, עד אשר נאלץ השוטר במקום להזעיק תגבורת. בהמשך תקף הנאשם את השוטרים בבעיטות ושרט שוטר אחר. כל אותו זמן עלב הנאשם בשוטרים תוך שימוש בביטויים קשים ואיים על אחד השוטרים בפגיעה בגופו, כמפורט בהכרעת הדין. כמו כן קרע את חולצתו של אחד השוטרים. בחדר העצורים, לאחר שהובל לתחנת המשטרה, המשיך הנאשם לאיים על אחד השוטרים וכך עשה גם כאשר הובא למרפאה המחוזית. גם בבית החולים המשיך הנאשם ואיים על השוטר. </w:t>
      </w:r>
    </w:p>
    <w:p w14:paraId="7D1354F0" w14:textId="77777777" w:rsidR="009C15D4" w:rsidRDefault="009C15D4">
      <w:pPr>
        <w:spacing w:line="360" w:lineRule="auto"/>
        <w:jc w:val="both"/>
        <w:rPr>
          <w:rtl/>
        </w:rPr>
      </w:pPr>
    </w:p>
    <w:p w14:paraId="69AE6D00" w14:textId="77777777" w:rsidR="009C15D4" w:rsidRDefault="002C4023">
      <w:pPr>
        <w:spacing w:line="360" w:lineRule="auto"/>
        <w:jc w:val="both"/>
        <w:rPr>
          <w:rtl/>
        </w:rPr>
      </w:pPr>
      <w:r>
        <w:rPr>
          <w:rFonts w:hint="cs"/>
          <w:rtl/>
        </w:rPr>
        <w:t xml:space="preserve">בהמשך למסכת האירועים הנ"ל, יומיים אחר כך, התקשר הנאשם לטלפון הנייד של אחד השוטרים שהיה מעורב באירוע הראשון ואיים עליו בכך שהתקשר לטלפון הנייד האישי שלו וביקש את פרטיו, ולאחר שהשוטר ניתק, הנאשם התקשר פעם נוספת ואמר לשוטר "אל תנתק את השיחה, אתה מבחינתי גמרת, אתה לא שוטר, אני את הפרטים שלך יודע, קוראים לך ישראל סיאנוב ואני צריך את הפרטים של השוטר השני". לאחר מכן, כאשר השוטר ניתק את השיחה, התקשר הנאשם פעמיים נוספות בהפרש של חצי שעה. </w:t>
      </w:r>
    </w:p>
    <w:p w14:paraId="639895E7" w14:textId="77777777" w:rsidR="009C15D4" w:rsidRDefault="009C15D4">
      <w:pPr>
        <w:spacing w:line="360" w:lineRule="auto"/>
        <w:jc w:val="both"/>
        <w:rPr>
          <w:rtl/>
        </w:rPr>
      </w:pPr>
    </w:p>
    <w:p w14:paraId="6FBBB740" w14:textId="77777777" w:rsidR="009C15D4" w:rsidRDefault="002C4023">
      <w:pPr>
        <w:spacing w:line="360" w:lineRule="auto"/>
        <w:jc w:val="both"/>
        <w:rPr>
          <w:rtl/>
        </w:rPr>
      </w:pPr>
      <w:r>
        <w:rPr>
          <w:rFonts w:hint="cs"/>
          <w:rtl/>
        </w:rPr>
        <w:t xml:space="preserve">כאמור, הנאשם כפר בכל המיוחס לו ועל כן התנהל הליך הוכחות מלא. לאחר הכרעת הדין ביקש הסנגור לשלוח את הנאשם לשירות המבחן לשם קבלת תסקיר בעניינו. זאת, בין היתר, מאחר שתלויים ועומדים נגד הנאשם שני מאסרים על תנאי בני הפעלה, מתוך </w:t>
      </w:r>
      <w:hyperlink r:id="rId30" w:history="1">
        <w:r w:rsidRPr="002C4023">
          <w:rPr>
            <w:color w:val="0000FF"/>
            <w:u w:val="single"/>
            <w:rtl/>
          </w:rPr>
          <w:t>ת"פ 3148/05</w:t>
        </w:r>
      </w:hyperlink>
      <w:r>
        <w:rPr>
          <w:rFonts w:hint="cs"/>
          <w:rtl/>
        </w:rPr>
        <w:t xml:space="preserve"> (שלום תל אביב) מיום 15/7/07: מאסר על תנאי בן 9 חודשים שהנאשם לא יעבור עבירות מסוג פשע נגד הרכוש, או עבירות כנגד הגוף, או עבירות על פי </w:t>
      </w:r>
      <w:hyperlink r:id="rId31" w:history="1">
        <w:r w:rsidR="004F6DCD" w:rsidRPr="004F6DCD">
          <w:rPr>
            <w:rStyle w:val="Hyperlink"/>
            <w:rFonts w:hint="eastAsia"/>
            <w:rtl/>
          </w:rPr>
          <w:t>פקודת</w:t>
        </w:r>
        <w:r w:rsidR="004F6DCD" w:rsidRPr="004F6DCD">
          <w:rPr>
            <w:rStyle w:val="Hyperlink"/>
            <w:rtl/>
          </w:rPr>
          <w:t xml:space="preserve"> הסמים</w:t>
        </w:r>
      </w:hyperlink>
      <w:r>
        <w:rPr>
          <w:rFonts w:hint="cs"/>
          <w:rtl/>
        </w:rPr>
        <w:t xml:space="preserve"> במשך 3 שנים מתום ריצוי המאסר שהוטל עליו באותו תיק; מאסר על תנאי בן 6 חודשים שלא יעבור עבירות מסוג עוון נגד הרכוש, או על פי פקודת הסמים, וכן עבירות איומים והפרת הוראה חוקית, במשך 3 שנים מתום ריצוי המאסר שהוטל עליו באותו תיק. </w:t>
      </w:r>
    </w:p>
    <w:p w14:paraId="0F720784" w14:textId="77777777" w:rsidR="009C15D4" w:rsidRDefault="009C15D4">
      <w:pPr>
        <w:spacing w:line="360" w:lineRule="auto"/>
        <w:jc w:val="both"/>
        <w:rPr>
          <w:rtl/>
        </w:rPr>
      </w:pPr>
    </w:p>
    <w:p w14:paraId="249710C5" w14:textId="77777777" w:rsidR="009C15D4" w:rsidRDefault="002C4023">
      <w:pPr>
        <w:spacing w:line="360" w:lineRule="auto"/>
        <w:jc w:val="both"/>
        <w:rPr>
          <w:rtl/>
        </w:rPr>
      </w:pPr>
      <w:r>
        <w:rPr>
          <w:rFonts w:hint="cs"/>
          <w:rtl/>
        </w:rPr>
        <w:t xml:space="preserve">לנאשם עבר פלילי הכולל שתי הרשעות, אך אחת משתי ההרשעות היא בגין 19 עבירות שעבר הנאשם בין השנים 2002 עד 2006. בין היתר נדון הנאשם לשנתיים מאסר בפועל. שירות המבחן ציין לנאשם גם מב"דים. </w:t>
      </w:r>
    </w:p>
    <w:p w14:paraId="526B29C9" w14:textId="77777777" w:rsidR="009C15D4" w:rsidRDefault="009C15D4">
      <w:pPr>
        <w:spacing w:line="360" w:lineRule="auto"/>
        <w:jc w:val="both"/>
        <w:rPr>
          <w:rtl/>
        </w:rPr>
      </w:pPr>
    </w:p>
    <w:p w14:paraId="742EE426" w14:textId="77777777" w:rsidR="009C15D4" w:rsidRDefault="002C4023">
      <w:pPr>
        <w:spacing w:line="360" w:lineRule="auto"/>
        <w:jc w:val="both"/>
        <w:rPr>
          <w:rtl/>
        </w:rPr>
      </w:pPr>
      <w:r>
        <w:rPr>
          <w:rFonts w:hint="cs"/>
          <w:rtl/>
        </w:rPr>
        <w:t xml:space="preserve">בתסקיר הראשון גולל שירות המבחן את נסיבותיו האישיות של הנאשם, אשר החל לסחור בסמים בגיל 16. הוא לא התגייס לצבא ודרכו הייתה דרך עבריינית. הנאשם היה נשוי ובעבר דיווחה אשתו על אלימות מצידו. ואולם, כיום אין הנאשם צורך סמים ובתסקיר הראשון ביטא מוטיבציה לטיפול. לפיכך נדחה מועד מתן גזר הדין על מנת לאפשר לו השתלבות בטיפול. </w:t>
      </w:r>
    </w:p>
    <w:p w14:paraId="45F387BB" w14:textId="77777777" w:rsidR="009C15D4" w:rsidRDefault="009C15D4">
      <w:pPr>
        <w:spacing w:line="360" w:lineRule="auto"/>
        <w:jc w:val="both"/>
        <w:rPr>
          <w:rtl/>
        </w:rPr>
      </w:pPr>
    </w:p>
    <w:p w14:paraId="2AAAE993" w14:textId="77777777" w:rsidR="009C15D4" w:rsidRDefault="002C4023">
      <w:pPr>
        <w:spacing w:line="360" w:lineRule="auto"/>
        <w:jc w:val="both"/>
        <w:rPr>
          <w:rtl/>
        </w:rPr>
      </w:pPr>
      <w:r>
        <w:rPr>
          <w:rFonts w:hint="cs"/>
          <w:rtl/>
        </w:rPr>
        <w:t xml:space="preserve">בתסקיר משלים הודיע שירות המבחן כי הנאשם טופל בסדנא לניהול קונפילקטים, הגיע באופן סדיר למפגשים, הוא כיום נקי מסמים ונראה שהוא נתרם מהטיפול. כיום נפרד הנאשם מאשתו ומקיים זוגיות חדשה. לנאשם שני ילדים והוא עובד כיום כגנן. שירות המבחן ציין כי כיום מסוגל הנאשם להכיר באחריותו בעבירות שהן מושא תיק זה. עוד ציין שירות המבחן כי הנאשם חושש </w:t>
      </w:r>
      <w:r>
        <w:rPr>
          <w:rFonts w:hint="cs"/>
          <w:rtl/>
        </w:rPr>
        <w:lastRenderedPageBreak/>
        <w:t xml:space="preserve">מענישה מחמירה שתשפיע על שגרת התעסוקה. שירות המבחן המליץ להאריך את המאסרים על תנאי ולהטיל על הנאשם צו מבחן לשנה בצד 300 שעות של"צ. </w:t>
      </w:r>
    </w:p>
    <w:p w14:paraId="79CF81AB" w14:textId="77777777" w:rsidR="009C15D4" w:rsidRDefault="009C15D4">
      <w:pPr>
        <w:spacing w:line="360" w:lineRule="auto"/>
        <w:jc w:val="both"/>
        <w:rPr>
          <w:rtl/>
        </w:rPr>
      </w:pPr>
    </w:p>
    <w:p w14:paraId="28AE7216" w14:textId="77777777" w:rsidR="009C15D4" w:rsidRDefault="002C4023">
      <w:pPr>
        <w:spacing w:line="360" w:lineRule="auto"/>
        <w:jc w:val="both"/>
        <w:rPr>
          <w:rtl/>
        </w:rPr>
      </w:pPr>
      <w:r>
        <w:rPr>
          <w:rFonts w:hint="cs"/>
          <w:rtl/>
        </w:rPr>
        <w:t>הצדדים טענו לעונש כמפורט לעיל. המאשימה ציינה את חומרת המעשים, את עברו המכביד של הנאשם, את העובדה כי לאורך ניהול ההליך לא לקח הנאשם אחריות על מעשיו והיא ביקשה לקבוע מתחם לגבי האירוע הראשון הנע בן 3 חודשים ל- 12 חודשי מאסר ולגבי האירוע השני מתחם הנע בן מאסר על תנאי ועד 3 חודשי מאסר. לעניין המתחם בעבירת התקיפה והפרעה לשוטר, ואירועי האישום הראשון היא הפנתה ל</w:t>
      </w:r>
      <w:hyperlink r:id="rId32" w:history="1">
        <w:r w:rsidRPr="002C4023">
          <w:rPr>
            <w:color w:val="0000FF"/>
            <w:u w:val="single"/>
            <w:rtl/>
          </w:rPr>
          <w:t>רע"פ 8172/10</w:t>
        </w:r>
      </w:hyperlink>
      <w:r>
        <w:rPr>
          <w:rFonts w:hint="cs"/>
          <w:rtl/>
        </w:rPr>
        <w:t xml:space="preserve"> </w:t>
      </w:r>
      <w:r>
        <w:rPr>
          <w:rFonts w:hint="cs"/>
          <w:b/>
          <w:bCs/>
          <w:rtl/>
        </w:rPr>
        <w:t>גזאוי נ' מדינת ישראל</w:t>
      </w:r>
      <w:r>
        <w:rPr>
          <w:rFonts w:hint="cs"/>
          <w:rtl/>
        </w:rPr>
        <w:t xml:space="preserve"> [18/11/10]. </w:t>
      </w:r>
    </w:p>
    <w:p w14:paraId="475B7E4C" w14:textId="77777777" w:rsidR="009C15D4" w:rsidRDefault="009C15D4">
      <w:pPr>
        <w:spacing w:line="360" w:lineRule="auto"/>
        <w:jc w:val="both"/>
        <w:rPr>
          <w:rtl/>
        </w:rPr>
      </w:pPr>
    </w:p>
    <w:p w14:paraId="1C090E51" w14:textId="77777777" w:rsidR="009C15D4" w:rsidRDefault="002C4023">
      <w:pPr>
        <w:spacing w:line="360" w:lineRule="auto"/>
        <w:jc w:val="both"/>
        <w:rPr>
          <w:rtl/>
        </w:rPr>
      </w:pPr>
      <w:r>
        <w:rPr>
          <w:rFonts w:hint="cs"/>
          <w:rtl/>
        </w:rPr>
        <w:t xml:space="preserve">הסנגור ביקש להאריך את המאסרים על תנאי ולפעול בהתאם להמלצת שירות המבחן. הוא ציין את נסיבות האירוע נושא כתב האישום וטען כי ניהול התיק לא היה לשווא, שכן הנאשם זוכה מפרט אישום חשוב המתייחס לנשיכה שנטען כי נתן לאחד השוטרים, ובית המשפט קבע שפרט זה לא הוכח וזיכה את הנאשם. מכאן, שלא ניתן לזקוף לחובת הנאשם את ניהול התיק. הסנגור ציין כי המעשים המיוחסים לנאשם אינם ברף הגבוה של העבירות מסוג זה וציין כי השוטרים לא נחבלו, אלא הנאשם הוא זה שנחבל בכל האירוע. בעיקר שם הסנגור יהבו על התסקירים החיוביים של שירות המבחן ועל השיקום המשמעותי שעבר הנאשם, המנהל כיום אורח חיים נורמטיבי. לדבריו, הנאשם רכש כלים במהלך הטיפול, והיום הוא אדם אחר מזה שביצע את המעשים הם הורשע. עוד הוסיף הסנגור כי שליחת הנאשם למאסר יסיג לאחור את ההישג שהשיג במהלך הטיפול, יבטל את ההשקעה שהשקיע הנאשם בשיקומו ולא תצמח מכך כל תועלת לנאשם או לציבור. </w:t>
      </w:r>
    </w:p>
    <w:p w14:paraId="2276F1B3" w14:textId="77777777" w:rsidR="009C15D4" w:rsidRDefault="009C15D4">
      <w:pPr>
        <w:spacing w:line="360" w:lineRule="auto"/>
        <w:jc w:val="both"/>
        <w:rPr>
          <w:rtl/>
        </w:rPr>
      </w:pPr>
    </w:p>
    <w:p w14:paraId="48232350" w14:textId="77777777" w:rsidR="009C15D4" w:rsidRDefault="002C4023">
      <w:pPr>
        <w:spacing w:line="360" w:lineRule="auto"/>
        <w:jc w:val="both"/>
        <w:rPr>
          <w:rtl/>
        </w:rPr>
      </w:pPr>
      <w:r>
        <w:rPr>
          <w:rFonts w:hint="cs"/>
          <w:rtl/>
        </w:rPr>
        <w:t xml:space="preserve">הסנגור הגיש פסיקה המתייחסת הן לנושא של העדפת שיקולי שיקום והן לנושא של הארכת מאסרים על תנאי בנסיבות קשות אף מאלה שלפנינו. </w:t>
      </w:r>
    </w:p>
    <w:p w14:paraId="070E9240" w14:textId="77777777" w:rsidR="009C15D4" w:rsidRDefault="009C15D4">
      <w:pPr>
        <w:spacing w:line="360" w:lineRule="auto"/>
        <w:jc w:val="both"/>
        <w:rPr>
          <w:rtl/>
        </w:rPr>
      </w:pPr>
    </w:p>
    <w:p w14:paraId="550D6117" w14:textId="77777777" w:rsidR="009C15D4" w:rsidRDefault="002C4023">
      <w:pPr>
        <w:spacing w:line="360" w:lineRule="auto"/>
        <w:jc w:val="both"/>
        <w:rPr>
          <w:rtl/>
        </w:rPr>
      </w:pPr>
      <w:r>
        <w:rPr>
          <w:rFonts w:hint="cs"/>
          <w:rtl/>
        </w:rPr>
        <w:t xml:space="preserve">עיינתי בחומר שהוגש לי ושקלתי את טיעוני הצדדים. יצוין, כי בכל גזרי הדין שהגיש הסנגור בהם הוארכו מאסרים על תנאי בעבירות דומות לעבירות שבפניי או קשות מהן מדובר היה במקרים של נאשמים שהורשעו על פי הודאתם, בדרך כלל אגב הסדר טיעון ותיקון כתב אישום. בעניין זה, אף שניהול משפט אינה נזקפת לחובת נאשם, הרי שנאשם שניהל את המשפט אינו יכול ליהנות מההקלה המשמעותית שניתנת למי שנטל אחריות בהזדמנות הראשונה ובהתנהגותו לימד כי הבין את הפסול שבמעשיו, והביע חרטה. הנאשם שלפניי, גם לאורך המשפט, התנהל בצורה מתריסה והשינוי שעבר החל רק לאחר הכרעת הדין. איני סבורה, כטענת הסנגור, שפרט האישום שממנו זוכה הנאשם הוא כה משמעותי שניתן לומר לגביו שהייתה הצדקה מלאה לניהול הליך ההוכחות, ובוודאי שלא הייתה הצדקה לנהלו בצורה שבה התייחס הנאשם, לרבות התייחסותו לשוטרים במהלך המשפט. </w:t>
      </w:r>
    </w:p>
    <w:p w14:paraId="7D527FE6" w14:textId="77777777" w:rsidR="009C15D4" w:rsidRDefault="009C15D4">
      <w:pPr>
        <w:spacing w:line="360" w:lineRule="auto"/>
        <w:jc w:val="both"/>
        <w:rPr>
          <w:rtl/>
        </w:rPr>
      </w:pPr>
    </w:p>
    <w:p w14:paraId="6101A4DF" w14:textId="77777777" w:rsidR="009C15D4" w:rsidRDefault="002C4023">
      <w:pPr>
        <w:spacing w:line="360" w:lineRule="auto"/>
        <w:jc w:val="both"/>
        <w:rPr>
          <w:rtl/>
        </w:rPr>
      </w:pPr>
      <w:r>
        <w:rPr>
          <w:rFonts w:hint="cs"/>
          <w:rtl/>
        </w:rPr>
        <w:t xml:space="preserve">לאחר ששקלתי את כל הדברים, איני סבורה כי ניתן במקרה זה להאריך את המאסרים על תנאי שהוטלו על הנאשם. הנאשם ביצע את המעשים המיוחסים לו כאן כאשר מאסרים אלה היו תלויים על ראשו, והם לא הרתיעו אותו מלבצע את העבירות בתיק הזה. </w:t>
      </w:r>
    </w:p>
    <w:p w14:paraId="171EE4D8" w14:textId="77777777" w:rsidR="009C15D4" w:rsidRDefault="009C15D4">
      <w:pPr>
        <w:spacing w:line="360" w:lineRule="auto"/>
        <w:jc w:val="both"/>
        <w:rPr>
          <w:rtl/>
        </w:rPr>
      </w:pPr>
    </w:p>
    <w:p w14:paraId="173DE02E" w14:textId="77777777" w:rsidR="009C15D4" w:rsidRDefault="002C4023">
      <w:pPr>
        <w:spacing w:line="360" w:lineRule="auto"/>
        <w:jc w:val="both"/>
        <w:rPr>
          <w:rtl/>
        </w:rPr>
      </w:pPr>
      <w:r>
        <w:rPr>
          <w:rFonts w:hint="cs"/>
          <w:rtl/>
        </w:rPr>
        <w:t xml:space="preserve">אשר לעבירות בתיק שלפניי: אני רואה בשני פרטי כתב האישום שני אירועים בהם נעברו מספר עבירות. </w:t>
      </w:r>
    </w:p>
    <w:p w14:paraId="3BCDF08B" w14:textId="77777777" w:rsidR="009C15D4" w:rsidRDefault="009C15D4">
      <w:pPr>
        <w:spacing w:line="360" w:lineRule="auto"/>
        <w:jc w:val="both"/>
        <w:rPr>
          <w:rtl/>
        </w:rPr>
      </w:pPr>
    </w:p>
    <w:p w14:paraId="6691E84C" w14:textId="77777777" w:rsidR="009C15D4" w:rsidRDefault="002C4023">
      <w:pPr>
        <w:spacing w:line="360" w:lineRule="auto"/>
        <w:jc w:val="both"/>
        <w:rPr>
          <w:rtl/>
        </w:rPr>
      </w:pPr>
      <w:r>
        <w:rPr>
          <w:rFonts w:hint="cs"/>
          <w:rtl/>
        </w:rPr>
        <w:t xml:space="preserve">לגבי אירועי האישום הראשון נפגעו ערכים חשובים כגון שמירה על ביטחונו של הפרט, על שלמות גופו, על שלוות נפשו, שמירה על עובדי ציבור בכלל ובשוטרים בפרט, שמירה על הסדר הציבורי, ושמירה על הרכוש. באישום השני נפגעו ערכים של שמירה על ביטחון הפרט, שמירה על עובדי ציבור ושמירה על הפרטיות של אדם. </w:t>
      </w:r>
    </w:p>
    <w:p w14:paraId="0689A9B8" w14:textId="77777777" w:rsidR="009C15D4" w:rsidRDefault="009C15D4">
      <w:pPr>
        <w:spacing w:line="360" w:lineRule="auto"/>
        <w:jc w:val="both"/>
        <w:rPr>
          <w:rtl/>
        </w:rPr>
      </w:pPr>
    </w:p>
    <w:p w14:paraId="6A409FDA" w14:textId="77777777" w:rsidR="009C15D4" w:rsidRDefault="002C4023">
      <w:pPr>
        <w:spacing w:line="360" w:lineRule="auto"/>
        <w:jc w:val="both"/>
        <w:rPr>
          <w:rtl/>
        </w:rPr>
      </w:pPr>
      <w:r>
        <w:rPr>
          <w:rFonts w:hint="cs"/>
          <w:rtl/>
        </w:rPr>
        <w:t xml:space="preserve">מידת הפגיעה בערכים המוגנים הייתה בינונית נמוכה, כעולה מהכרעת הדין. לא הייתה פגיעה פיזית קשה בשוטרים, והנזקים שנגרמו, כפי שפורטו לעיל, לא היו ברף הגבוה. </w:t>
      </w:r>
    </w:p>
    <w:p w14:paraId="4C416E3F" w14:textId="77777777" w:rsidR="009C15D4" w:rsidRDefault="009C15D4">
      <w:pPr>
        <w:spacing w:line="360" w:lineRule="auto"/>
        <w:jc w:val="both"/>
        <w:rPr>
          <w:rtl/>
        </w:rPr>
      </w:pPr>
    </w:p>
    <w:p w14:paraId="052F50FD" w14:textId="77777777" w:rsidR="009C15D4" w:rsidRDefault="002C4023">
      <w:pPr>
        <w:spacing w:line="360" w:lineRule="auto"/>
        <w:jc w:val="both"/>
        <w:rPr>
          <w:rtl/>
        </w:rPr>
      </w:pPr>
      <w:r>
        <w:rPr>
          <w:rFonts w:hint="cs"/>
          <w:rtl/>
        </w:rPr>
        <w:t xml:space="preserve">מדיניות הענישה לגבי אירועים כגון אלה שהתרחשו באישום הראשון נע בין מאסר, שיכול וירוצה בעבודות שירות ועד 18 חודשי מאסר. באשר לאירוע השני המתחם נע בהתאם למדיניות הענישה בין מאסר על תנאי ועד 5 חודשי מאסר. </w:t>
      </w:r>
    </w:p>
    <w:p w14:paraId="0342B52F" w14:textId="77777777" w:rsidR="009C15D4" w:rsidRDefault="009C15D4">
      <w:pPr>
        <w:spacing w:line="360" w:lineRule="auto"/>
        <w:jc w:val="both"/>
        <w:rPr>
          <w:rtl/>
        </w:rPr>
      </w:pPr>
    </w:p>
    <w:p w14:paraId="312D7330" w14:textId="77777777" w:rsidR="009C15D4" w:rsidRDefault="002C4023">
      <w:pPr>
        <w:spacing w:line="360" w:lineRule="auto"/>
        <w:jc w:val="both"/>
        <w:rPr>
          <w:rtl/>
        </w:rPr>
      </w:pPr>
      <w:r>
        <w:rPr>
          <w:rFonts w:hint="cs"/>
          <w:rtl/>
        </w:rPr>
        <w:t xml:space="preserve">לא קדם תכנון לאישום הראשון. הנזק הפוטנציאלי אגב מעשה הנאשם באותו אישום היה בשיעור בנוני והנזק הקונקרטי היה אף הוא במידה בינונית. הסיבות שהביאו את הנאשם לביצוע העבירה הן כעסו על השכנה ועל השוטרים. </w:t>
      </w:r>
    </w:p>
    <w:p w14:paraId="37A8CB3D" w14:textId="77777777" w:rsidR="009C15D4" w:rsidRDefault="009C15D4">
      <w:pPr>
        <w:spacing w:line="360" w:lineRule="auto"/>
        <w:jc w:val="both"/>
        <w:rPr>
          <w:rtl/>
        </w:rPr>
      </w:pPr>
    </w:p>
    <w:p w14:paraId="6189A29F" w14:textId="77777777" w:rsidR="009C15D4" w:rsidRDefault="002C4023">
      <w:pPr>
        <w:spacing w:line="360" w:lineRule="auto"/>
        <w:jc w:val="both"/>
        <w:rPr>
          <w:rtl/>
        </w:rPr>
      </w:pPr>
      <w:r>
        <w:rPr>
          <w:rFonts w:hint="cs"/>
          <w:rtl/>
        </w:rPr>
        <w:t xml:space="preserve">אשר לאישום השני </w:t>
      </w:r>
      <w:r>
        <w:rPr>
          <w:rtl/>
        </w:rPr>
        <w:t>–</w:t>
      </w:r>
      <w:r>
        <w:rPr>
          <w:rFonts w:hint="cs"/>
          <w:rtl/>
        </w:rPr>
        <w:t xml:space="preserve"> קדם לאירוע זה תכנון. הנזק הפוטנציאלי והנזק הקונקרטי מהאירועים הללו הם במידה בינונית. </w:t>
      </w:r>
    </w:p>
    <w:p w14:paraId="7830A831" w14:textId="77777777" w:rsidR="009C15D4" w:rsidRDefault="009C15D4">
      <w:pPr>
        <w:spacing w:line="360" w:lineRule="auto"/>
        <w:jc w:val="both"/>
        <w:rPr>
          <w:rtl/>
        </w:rPr>
      </w:pPr>
    </w:p>
    <w:p w14:paraId="7DB1585B" w14:textId="77777777" w:rsidR="009C15D4" w:rsidRDefault="002C4023">
      <w:pPr>
        <w:spacing w:line="360" w:lineRule="auto"/>
        <w:jc w:val="both"/>
        <w:rPr>
          <w:rtl/>
        </w:rPr>
      </w:pPr>
      <w:r>
        <w:rPr>
          <w:rFonts w:hint="cs"/>
          <w:rtl/>
        </w:rPr>
        <w:t xml:space="preserve">אני קובעת מתחם לגבי האירוע הראשון שנע בין עבודות שירות לבין מאסר בן 15 חודשים. לגבי האירוע השני, אני קובעת מתחם שנע בין מאסר על תנאי ועד ל- 3 חודשים. </w:t>
      </w:r>
    </w:p>
    <w:p w14:paraId="1797A54E" w14:textId="77777777" w:rsidR="009C15D4" w:rsidRDefault="009C15D4">
      <w:pPr>
        <w:spacing w:line="360" w:lineRule="auto"/>
        <w:jc w:val="both"/>
        <w:rPr>
          <w:rtl/>
        </w:rPr>
      </w:pPr>
    </w:p>
    <w:p w14:paraId="2FAD59C2" w14:textId="77777777" w:rsidR="009C15D4" w:rsidRDefault="002C4023">
      <w:pPr>
        <w:spacing w:line="360" w:lineRule="auto"/>
        <w:jc w:val="both"/>
        <w:rPr>
          <w:rtl/>
        </w:rPr>
      </w:pPr>
      <w:r>
        <w:rPr>
          <w:rFonts w:hint="cs"/>
          <w:rtl/>
        </w:rPr>
        <w:t xml:space="preserve">אני קובעת כי יש לפסוק עונש כולל על שני האירועים. </w:t>
      </w:r>
    </w:p>
    <w:p w14:paraId="285938B3" w14:textId="77777777" w:rsidR="009C15D4" w:rsidRDefault="009C15D4">
      <w:pPr>
        <w:spacing w:line="360" w:lineRule="auto"/>
        <w:jc w:val="both"/>
        <w:rPr>
          <w:rtl/>
        </w:rPr>
      </w:pPr>
    </w:p>
    <w:p w14:paraId="01E100F9" w14:textId="77777777" w:rsidR="009C15D4" w:rsidRDefault="002C4023">
      <w:pPr>
        <w:spacing w:line="360" w:lineRule="auto"/>
        <w:jc w:val="both"/>
        <w:rPr>
          <w:rtl/>
        </w:rPr>
      </w:pPr>
      <w:r>
        <w:rPr>
          <w:rFonts w:hint="cs"/>
          <w:rtl/>
        </w:rPr>
        <w:t xml:space="preserve">אשר לנסיבות שאינן קשורות בביצוע העבירה: הנאשם עבר שיקום משמעותי ביותר. התרשמתי גם מדבריו וגם מתסקירי שירות המבחן שהוא הפנים את החומרה שבמעשיו, שהוא עושה מאמצים לרכוש כלים לחיות כאדם נורמטיבי וגם לנהל את הקונפילקטים שכל אחד נקלע אליהם בצורה נורמטיבית. לפיכך, אני לוקחת בחשבון שהטלת עונש מאסר על הנאשם עשויה לפגוע בו ובהתחשב בכך שיש לו שני ילדים, עשויה לפגוע גם במשפחתו. עם זאת, איני סבורה - כטענת הסנגור </w:t>
      </w:r>
      <w:r>
        <w:rPr>
          <w:rtl/>
        </w:rPr>
        <w:t>–</w:t>
      </w:r>
      <w:r>
        <w:rPr>
          <w:rFonts w:hint="cs"/>
          <w:rtl/>
        </w:rPr>
        <w:t xml:space="preserve"> כי יהיה בכך כדי להוריד לטמיון את הליך השיקום שעשה, או כדי לבטל את השקעתו. הכלים שרכש אמורים להיוותר באמתחתו גם בשעה שייאלץ להתמודד עם קשיים עתידיים, לרבות עונש של מאסר בפועל. </w:t>
      </w:r>
    </w:p>
    <w:p w14:paraId="2FEF110C" w14:textId="77777777" w:rsidR="009C15D4" w:rsidRDefault="009C15D4">
      <w:pPr>
        <w:spacing w:line="360" w:lineRule="auto"/>
        <w:jc w:val="both"/>
        <w:rPr>
          <w:rtl/>
        </w:rPr>
      </w:pPr>
    </w:p>
    <w:p w14:paraId="016DC2DF" w14:textId="77777777" w:rsidR="009C15D4" w:rsidRDefault="002C4023">
      <w:pPr>
        <w:spacing w:line="360" w:lineRule="auto"/>
        <w:jc w:val="both"/>
        <w:rPr>
          <w:rtl/>
        </w:rPr>
      </w:pPr>
      <w:r>
        <w:rPr>
          <w:rFonts w:hint="cs"/>
          <w:rtl/>
        </w:rPr>
        <w:t xml:space="preserve">הנאשם נטל אחריות למעשיו, אך זאת רק לאחר הכרעת הדין. עברו הפלילי מכביד, לרבות בעבירות רלוונטיות. אין נסיבות אישיות מיוחדות שדורשות התייחסות, מעבר למה שציינתי לעיל מתוך תסקיר שירות המבחן. מאז האירועים נושאי כתב האישום חלפו מעל 4 שנים, ויש לזקוף עובדה זו לזכות הנאשם, אשר ניצל חלק מהתקופה לצורך שיקום. </w:t>
      </w:r>
    </w:p>
    <w:p w14:paraId="6AD99065" w14:textId="77777777" w:rsidR="009C15D4" w:rsidRDefault="009C15D4">
      <w:pPr>
        <w:spacing w:line="360" w:lineRule="auto"/>
        <w:jc w:val="both"/>
        <w:rPr>
          <w:rtl/>
        </w:rPr>
      </w:pPr>
    </w:p>
    <w:p w14:paraId="3785530D" w14:textId="77777777" w:rsidR="009C15D4" w:rsidRDefault="002C4023">
      <w:pPr>
        <w:spacing w:line="360" w:lineRule="auto"/>
        <w:jc w:val="both"/>
        <w:rPr>
          <w:rtl/>
        </w:rPr>
      </w:pPr>
      <w:r>
        <w:rPr>
          <w:rFonts w:hint="cs"/>
          <w:rtl/>
        </w:rPr>
        <w:t xml:space="preserve">לאור כל הדברים הללו יש למקם את הנאשם סביב מרכז מתחם העונש ההולם. </w:t>
      </w:r>
    </w:p>
    <w:p w14:paraId="10CFEF5E" w14:textId="77777777" w:rsidR="009C15D4" w:rsidRDefault="009C15D4">
      <w:pPr>
        <w:spacing w:line="360" w:lineRule="auto"/>
        <w:jc w:val="both"/>
        <w:rPr>
          <w:rtl/>
        </w:rPr>
      </w:pPr>
    </w:p>
    <w:p w14:paraId="141EB43B" w14:textId="77777777" w:rsidR="009C15D4" w:rsidRDefault="002C4023">
      <w:pPr>
        <w:spacing w:line="360" w:lineRule="auto"/>
        <w:jc w:val="both"/>
        <w:rPr>
          <w:rtl/>
        </w:rPr>
      </w:pPr>
      <w:r>
        <w:rPr>
          <w:rFonts w:hint="cs"/>
          <w:rtl/>
        </w:rPr>
        <w:t>אציין, כי איני מוצאת שבמקרה הזה שיקולי השיקום גוברים על כל שיקול אחר. עיינתי בפסיקה שהגיש הסנגור ואני מפנה, כדוגמא, ל</w:t>
      </w:r>
      <w:hyperlink r:id="rId33" w:history="1">
        <w:r w:rsidRPr="002C4023">
          <w:rPr>
            <w:color w:val="0000FF"/>
            <w:u w:val="single"/>
            <w:rtl/>
          </w:rPr>
          <w:t>ע"פ 420/12</w:t>
        </w:r>
      </w:hyperlink>
      <w:r>
        <w:rPr>
          <w:rFonts w:hint="cs"/>
          <w:rtl/>
        </w:rPr>
        <w:t xml:space="preserve"> </w:t>
      </w:r>
      <w:r>
        <w:rPr>
          <w:rFonts w:hint="cs"/>
          <w:b/>
          <w:bCs/>
          <w:rtl/>
        </w:rPr>
        <w:t>סחונצ'יק נ' מדינת ישראל</w:t>
      </w:r>
      <w:r>
        <w:rPr>
          <w:rFonts w:hint="cs"/>
          <w:rtl/>
        </w:rPr>
        <w:t xml:space="preserve"> [24/10/12]. יש להתחשב בצורה משמעותית בשיקום, אך כמו באותו מקרה </w:t>
      </w:r>
      <w:r>
        <w:rPr>
          <w:rtl/>
        </w:rPr>
        <w:t>–</w:t>
      </w:r>
      <w:r>
        <w:rPr>
          <w:rFonts w:hint="cs"/>
          <w:rtl/>
        </w:rPr>
        <w:t xml:space="preserve"> אין בשיקום כדי להוביל למסקנה כדי להטיל על הנאשם מאסר כלל. התחשבות בשיקולי השיקום תוביל אותי לחפיפה מוגברת בין העונשים שיש להטיל על הנאשם, הן בגין המאסרים על תנאי התלויים ועומדים נגד הנאשם, והן בחפיפה בין העונש הראוי במקרה דנן לבין אותם מאסרים מותנים אותם אפעיל. </w:t>
      </w:r>
    </w:p>
    <w:p w14:paraId="78F4EF0E" w14:textId="77777777" w:rsidR="009C15D4" w:rsidRDefault="009C15D4">
      <w:pPr>
        <w:spacing w:line="360" w:lineRule="auto"/>
        <w:jc w:val="both"/>
        <w:rPr>
          <w:rtl/>
        </w:rPr>
      </w:pPr>
    </w:p>
    <w:p w14:paraId="6783F20E" w14:textId="77777777" w:rsidR="009C15D4" w:rsidRDefault="002C4023">
      <w:pPr>
        <w:spacing w:line="360" w:lineRule="auto"/>
        <w:jc w:val="both"/>
        <w:rPr>
          <w:rtl/>
        </w:rPr>
      </w:pPr>
      <w:r>
        <w:rPr>
          <w:rFonts w:hint="cs"/>
          <w:rtl/>
        </w:rPr>
        <w:t xml:space="preserve">לאור כל האמור, אני קובעת כי במקרה דנן העונש המתאים בגין האישומים שלפניי הוא 10 חודשי מאסר. </w:t>
      </w:r>
    </w:p>
    <w:p w14:paraId="4BE9FA99" w14:textId="77777777" w:rsidR="009C15D4" w:rsidRDefault="009C15D4">
      <w:pPr>
        <w:spacing w:line="360" w:lineRule="auto"/>
        <w:jc w:val="both"/>
        <w:rPr>
          <w:rtl/>
        </w:rPr>
      </w:pPr>
    </w:p>
    <w:p w14:paraId="6A3F8E8E" w14:textId="77777777" w:rsidR="009C15D4" w:rsidRDefault="002C4023">
      <w:pPr>
        <w:spacing w:line="360" w:lineRule="auto"/>
        <w:jc w:val="both"/>
        <w:rPr>
          <w:rtl/>
        </w:rPr>
      </w:pPr>
      <w:r>
        <w:rPr>
          <w:rFonts w:hint="cs"/>
          <w:rtl/>
        </w:rPr>
        <w:t xml:space="preserve">לפיכך, אני מטילה על הנאשם את העונשים הבאים: </w:t>
      </w:r>
    </w:p>
    <w:p w14:paraId="234CC8A9" w14:textId="77777777" w:rsidR="009C15D4" w:rsidRDefault="009C15D4">
      <w:pPr>
        <w:spacing w:line="360" w:lineRule="auto"/>
        <w:jc w:val="both"/>
        <w:rPr>
          <w:rtl/>
        </w:rPr>
      </w:pPr>
    </w:p>
    <w:p w14:paraId="53BAC486" w14:textId="77777777" w:rsidR="009C15D4" w:rsidRDefault="002C4023">
      <w:pPr>
        <w:spacing w:line="360" w:lineRule="auto"/>
        <w:jc w:val="both"/>
        <w:rPr>
          <w:rtl/>
        </w:rPr>
      </w:pPr>
      <w:r>
        <w:rPr>
          <w:rFonts w:hint="cs"/>
          <w:rtl/>
        </w:rPr>
        <w:t>1.</w:t>
      </w:r>
      <w:r>
        <w:rPr>
          <w:rFonts w:hint="cs"/>
          <w:rtl/>
        </w:rPr>
        <w:tab/>
        <w:t xml:space="preserve">עונש מאסר בן 10 חודשים. </w:t>
      </w:r>
    </w:p>
    <w:p w14:paraId="3F122D4F" w14:textId="77777777" w:rsidR="009C15D4" w:rsidRDefault="009C15D4">
      <w:pPr>
        <w:spacing w:line="360" w:lineRule="auto"/>
        <w:jc w:val="both"/>
        <w:rPr>
          <w:rtl/>
        </w:rPr>
      </w:pPr>
    </w:p>
    <w:p w14:paraId="3761075E" w14:textId="77777777" w:rsidR="009C15D4" w:rsidRDefault="002C4023">
      <w:pPr>
        <w:spacing w:line="360" w:lineRule="auto"/>
        <w:ind w:left="720" w:hanging="720"/>
        <w:jc w:val="both"/>
        <w:rPr>
          <w:rtl/>
        </w:rPr>
      </w:pPr>
      <w:r>
        <w:rPr>
          <w:rFonts w:hint="cs"/>
          <w:rtl/>
        </w:rPr>
        <w:t>2.</w:t>
      </w:r>
      <w:r>
        <w:rPr>
          <w:rFonts w:hint="cs"/>
          <w:rtl/>
        </w:rPr>
        <w:tab/>
        <w:t>אני מפעילה את המאסרים המותנים אש הוטלו על הנאשם ב</w:t>
      </w:r>
      <w:hyperlink r:id="rId34" w:history="1">
        <w:r w:rsidRPr="002C4023">
          <w:rPr>
            <w:color w:val="0000FF"/>
            <w:u w:val="single"/>
            <w:rtl/>
          </w:rPr>
          <w:t>ת"פ 3148/05</w:t>
        </w:r>
      </w:hyperlink>
      <w:r>
        <w:rPr>
          <w:rFonts w:hint="cs"/>
          <w:rtl/>
        </w:rPr>
        <w:t xml:space="preserve"> (שלום תל-אביב) מיום 15/7/07, בני 9 ו- 6 חודשים. העונשים הללו ירוצו בחופף. </w:t>
      </w:r>
    </w:p>
    <w:p w14:paraId="2064688F" w14:textId="77777777" w:rsidR="009C15D4" w:rsidRDefault="002C4023">
      <w:pPr>
        <w:spacing w:line="360" w:lineRule="auto"/>
        <w:ind w:left="720" w:hanging="720"/>
        <w:jc w:val="both"/>
        <w:rPr>
          <w:rtl/>
        </w:rPr>
      </w:pPr>
      <w:r>
        <w:rPr>
          <w:rFonts w:hint="cs"/>
          <w:rtl/>
        </w:rPr>
        <w:tab/>
      </w:r>
    </w:p>
    <w:p w14:paraId="470BED65" w14:textId="77777777" w:rsidR="009C15D4" w:rsidRDefault="002C4023">
      <w:pPr>
        <w:spacing w:line="360" w:lineRule="auto"/>
        <w:ind w:left="720" w:hanging="720"/>
        <w:jc w:val="both"/>
        <w:rPr>
          <w:rtl/>
        </w:rPr>
      </w:pPr>
      <w:r>
        <w:rPr>
          <w:rFonts w:hint="cs"/>
          <w:rtl/>
        </w:rPr>
        <w:tab/>
        <w:t xml:space="preserve">נוסף על כך אני קובעת כי העונש שהטלתי היום, בן 10 חודשים, ירוצה חלקו בחופף ובחלקו במצטבר למאסרים על תנאי המופעלים, באופן שסה"כ ירצה הנאשם עונש מאסר בן 15 חודשים. יש לנכות מתקופת מאסרו של הנאשם את ימי מעצרו, בין 23/2/2010 ועד 4/3/2010.  </w:t>
      </w:r>
    </w:p>
    <w:p w14:paraId="2F9F256B" w14:textId="77777777" w:rsidR="009C15D4" w:rsidRDefault="009C15D4">
      <w:pPr>
        <w:spacing w:line="360" w:lineRule="auto"/>
        <w:ind w:left="720" w:hanging="720"/>
        <w:jc w:val="both"/>
        <w:rPr>
          <w:rtl/>
        </w:rPr>
      </w:pPr>
    </w:p>
    <w:p w14:paraId="076B38AA" w14:textId="77777777" w:rsidR="009C15D4" w:rsidRDefault="002C4023">
      <w:pPr>
        <w:spacing w:line="360" w:lineRule="auto"/>
        <w:ind w:left="720" w:hanging="720"/>
        <w:jc w:val="both"/>
        <w:rPr>
          <w:rtl/>
        </w:rPr>
      </w:pPr>
      <w:r>
        <w:rPr>
          <w:rFonts w:hint="cs"/>
          <w:rtl/>
        </w:rPr>
        <w:t>3</w:t>
      </w:r>
      <w:bookmarkStart w:id="8" w:name="_GoBack"/>
      <w:bookmarkEnd w:id="8"/>
      <w:r>
        <w:rPr>
          <w:rFonts w:hint="cs"/>
          <w:rtl/>
        </w:rPr>
        <w:t>.</w:t>
      </w:r>
      <w:r>
        <w:rPr>
          <w:rFonts w:hint="cs"/>
          <w:rtl/>
        </w:rPr>
        <w:tab/>
        <w:t xml:space="preserve">אני מטילה על הנאשם קנס בסך 500 ₪, או 5 ימי מאסר תמורתם, וזאת בהתחשב בין היתר בכך שאטיל עליו מרכיב מסוים של פיצוי ובהתחשב בעונש המאסר שהטלתי עליו זה עתה. </w:t>
      </w:r>
    </w:p>
    <w:p w14:paraId="37698D7A" w14:textId="77777777" w:rsidR="009C15D4" w:rsidRDefault="009C15D4">
      <w:pPr>
        <w:spacing w:line="360" w:lineRule="auto"/>
        <w:ind w:left="720" w:hanging="720"/>
        <w:jc w:val="both"/>
        <w:rPr>
          <w:rtl/>
        </w:rPr>
      </w:pPr>
    </w:p>
    <w:p w14:paraId="6765523E" w14:textId="77777777" w:rsidR="009C15D4" w:rsidRDefault="002C4023">
      <w:pPr>
        <w:spacing w:line="360" w:lineRule="auto"/>
        <w:ind w:left="720" w:hanging="720"/>
        <w:jc w:val="both"/>
        <w:rPr>
          <w:rtl/>
        </w:rPr>
      </w:pPr>
      <w:r>
        <w:rPr>
          <w:rFonts w:hint="cs"/>
          <w:rtl/>
        </w:rPr>
        <w:t>4.</w:t>
      </w:r>
      <w:r>
        <w:rPr>
          <w:rFonts w:hint="cs"/>
          <w:rtl/>
        </w:rPr>
        <w:tab/>
        <w:t xml:space="preserve">הנאשם ישלם פיצוי לשוטר ישראל סיאנוב בסך 500 ₪, ופיצוי לשוטר דוד ניאזוב בסך 500 ₪, וזאת עד ליום 1/5/2015. המאשימה תמסור במזכירות את פרטי השוטרים לצורך העברת הפיצוי אליהם. </w:t>
      </w:r>
    </w:p>
    <w:p w14:paraId="3510F4F5" w14:textId="77777777" w:rsidR="009C15D4" w:rsidRDefault="002C4023">
      <w:pPr>
        <w:spacing w:line="360" w:lineRule="auto"/>
        <w:jc w:val="both"/>
        <w:rPr>
          <w:rtl/>
        </w:rPr>
      </w:pPr>
      <w:r>
        <w:rPr>
          <w:rtl/>
        </w:rPr>
        <w:t xml:space="preserve"> </w:t>
      </w:r>
    </w:p>
    <w:p w14:paraId="66922C13" w14:textId="77777777" w:rsidR="009C15D4" w:rsidRDefault="002C4023">
      <w:pPr>
        <w:spacing w:line="360" w:lineRule="auto"/>
        <w:ind w:left="720" w:hanging="720"/>
        <w:jc w:val="both"/>
        <w:rPr>
          <w:rtl/>
        </w:rPr>
      </w:pPr>
      <w:r>
        <w:rPr>
          <w:rFonts w:hint="cs"/>
          <w:rtl/>
        </w:rPr>
        <w:t>5.</w:t>
      </w:r>
      <w:r>
        <w:rPr>
          <w:rFonts w:hint="cs"/>
          <w:rtl/>
        </w:rPr>
        <w:tab/>
        <w:t xml:space="preserve">אני גוזרת על הנאשם 6 חודשי מאסר, אך הנאשם לא יישא עונש זה אלא אם בתוך 3 שנים מיום שחרורו מהמאסר יעבור עבירה בה הורשע. </w:t>
      </w:r>
    </w:p>
    <w:p w14:paraId="10B1C346" w14:textId="77777777" w:rsidR="009C15D4" w:rsidRDefault="009C15D4">
      <w:pPr>
        <w:spacing w:line="360" w:lineRule="auto"/>
        <w:ind w:left="720" w:hanging="720"/>
        <w:jc w:val="both"/>
        <w:rPr>
          <w:sz w:val="12"/>
          <w:szCs w:val="12"/>
          <w:rtl/>
        </w:rPr>
      </w:pPr>
    </w:p>
    <w:p w14:paraId="0E9D1D43" w14:textId="77777777" w:rsidR="009C15D4" w:rsidRDefault="002C4023">
      <w:pPr>
        <w:spacing w:line="360" w:lineRule="auto"/>
        <w:ind w:left="720" w:hanging="720"/>
        <w:jc w:val="both"/>
        <w:rPr>
          <w:b/>
          <w:bCs/>
          <w:rtl/>
        </w:rPr>
      </w:pPr>
      <w:r>
        <w:rPr>
          <w:rFonts w:hint="cs"/>
          <w:b/>
          <w:bCs/>
          <w:rtl/>
        </w:rPr>
        <w:t>עותק מגזר הדין יישלח לשירות המבחן.</w:t>
      </w:r>
    </w:p>
    <w:p w14:paraId="3C785C19" w14:textId="77777777" w:rsidR="009C15D4" w:rsidRDefault="009C15D4">
      <w:pPr>
        <w:spacing w:line="360" w:lineRule="auto"/>
        <w:ind w:left="720" w:hanging="720"/>
        <w:jc w:val="both"/>
        <w:rPr>
          <w:b/>
          <w:bCs/>
          <w:sz w:val="6"/>
          <w:szCs w:val="6"/>
          <w:rtl/>
        </w:rPr>
      </w:pPr>
    </w:p>
    <w:p w14:paraId="7071ECDE" w14:textId="77777777" w:rsidR="009C15D4" w:rsidRDefault="002C4023">
      <w:pPr>
        <w:spacing w:line="360" w:lineRule="auto"/>
        <w:ind w:left="720" w:hanging="720"/>
        <w:jc w:val="both"/>
        <w:rPr>
          <w:b/>
          <w:bCs/>
          <w:rtl/>
        </w:rPr>
      </w:pPr>
      <w:r>
        <w:rPr>
          <w:rFonts w:hint="cs"/>
          <w:b/>
          <w:bCs/>
          <w:rtl/>
        </w:rPr>
        <w:t xml:space="preserve">זכות ערעור לבית המשפט המחוזי בתוך 45 יום מהיום. </w:t>
      </w:r>
    </w:p>
    <w:p w14:paraId="5D98ECEB" w14:textId="77777777" w:rsidR="009C15D4" w:rsidRDefault="002C4023">
      <w:pPr>
        <w:spacing w:line="360" w:lineRule="auto"/>
        <w:ind w:left="720" w:hanging="720"/>
        <w:jc w:val="both"/>
        <w:rPr>
          <w:b/>
          <w:bCs/>
          <w:sz w:val="6"/>
          <w:szCs w:val="6"/>
          <w:rtl/>
        </w:rPr>
      </w:pPr>
      <w:r>
        <w:rPr>
          <w:b/>
          <w:bCs/>
          <w:sz w:val="6"/>
          <w:szCs w:val="6"/>
          <w:rtl/>
        </w:rPr>
        <w:t>&lt;#3#&gt;</w:t>
      </w:r>
    </w:p>
    <w:p w14:paraId="4EC5DF58" w14:textId="77777777" w:rsidR="009C15D4" w:rsidRDefault="009C15D4">
      <w:pPr>
        <w:jc w:val="right"/>
        <w:rPr>
          <w:rtl/>
        </w:rPr>
      </w:pPr>
    </w:p>
    <w:p w14:paraId="181602FF" w14:textId="77777777" w:rsidR="009C15D4" w:rsidRDefault="002C4023">
      <w:pPr>
        <w:spacing w:line="360" w:lineRule="auto"/>
        <w:rPr>
          <w:rtl/>
        </w:rPr>
      </w:pPr>
      <w:r>
        <w:rPr>
          <w:rFonts w:hint="cs"/>
          <w:b/>
          <w:bCs/>
          <w:rtl/>
        </w:rPr>
        <w:t xml:space="preserve">ניתנה והודעה היום </w:t>
      </w:r>
      <w:r>
        <w:rPr>
          <w:rFonts w:hint="cs"/>
          <w:rtl/>
        </w:rPr>
        <w:t>כ"ח אייר תשע"ד</w:t>
      </w:r>
      <w:r>
        <w:rPr>
          <w:rFonts w:hint="cs"/>
          <w:b/>
          <w:bCs/>
          <w:rtl/>
        </w:rPr>
        <w:t xml:space="preserve">, </w:t>
      </w:r>
      <w:r>
        <w:rPr>
          <w:rFonts w:hint="cs"/>
          <w:rtl/>
        </w:rPr>
        <w:t>28/05/2014</w:t>
      </w:r>
      <w:r>
        <w:rPr>
          <w:rFonts w:hint="cs"/>
          <w:b/>
          <w:bCs/>
          <w:rtl/>
        </w:rPr>
        <w:t xml:space="preserve"> במעמד הנוכחים.</w:t>
      </w:r>
    </w:p>
    <w:p w14:paraId="1F7DA3D1" w14:textId="77777777" w:rsidR="009C15D4" w:rsidRDefault="009C15D4">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C15D4" w14:paraId="2E8DD75B" w14:textId="77777777">
        <w:trPr>
          <w:trHeight w:val="364"/>
          <w:jc w:val="right"/>
        </w:trPr>
        <w:tc>
          <w:tcPr>
            <w:tcW w:w="3708" w:type="dxa"/>
          </w:tcPr>
          <w:p w14:paraId="32023EBA" w14:textId="77777777" w:rsidR="009C15D4" w:rsidRDefault="009C15D4">
            <w:pPr>
              <w:jc w:val="center"/>
              <w:rPr>
                <w:rFonts w:ascii="Times New Roman" w:eastAsia="Times New Roman" w:hAnsi="Times New Roman" w:cs="Times New Roman"/>
              </w:rPr>
            </w:pPr>
          </w:p>
          <w:p w14:paraId="1B2D2915" w14:textId="77777777" w:rsidR="009C15D4" w:rsidRDefault="009C15D4">
            <w:pPr>
              <w:jc w:val="center"/>
              <w:rPr>
                <w:rFonts w:ascii="Times New Roman" w:eastAsia="Times New Roman" w:hAnsi="Times New Roman" w:cs="Times New Roman"/>
                <w:rtl/>
              </w:rPr>
            </w:pPr>
          </w:p>
        </w:tc>
      </w:tr>
      <w:tr w:rsidR="009C15D4" w14:paraId="104F243B" w14:textId="77777777">
        <w:trPr>
          <w:trHeight w:val="415"/>
          <w:jc w:val="right"/>
        </w:trPr>
        <w:tc>
          <w:tcPr>
            <w:tcW w:w="3708" w:type="dxa"/>
          </w:tcPr>
          <w:p w14:paraId="128B97E7" w14:textId="77777777" w:rsidR="009C15D4" w:rsidRDefault="002C4023">
            <w:pPr>
              <w:jc w:val="center"/>
              <w:rPr>
                <w:rFonts w:ascii="Times New Roman" w:eastAsia="Times New Roman" w:hAnsi="Times New Roman"/>
                <w:b/>
                <w:bCs/>
                <w:rtl/>
              </w:rPr>
            </w:pPr>
            <w:r>
              <w:rPr>
                <w:rFonts w:ascii="Times New Roman" w:eastAsia="Times New Roman" w:hAnsi="Times New Roman" w:hint="cs"/>
                <w:rtl/>
              </w:rPr>
              <w:t>מיכל</w:t>
            </w:r>
            <w:r>
              <w:rPr>
                <w:rFonts w:ascii="Times New Roman" w:eastAsia="Times New Roman" w:hAnsi="Times New Roman" w:hint="cs"/>
                <w:b/>
                <w:bCs/>
                <w:rtl/>
              </w:rPr>
              <w:t xml:space="preserve"> </w:t>
            </w:r>
            <w:r>
              <w:rPr>
                <w:rFonts w:ascii="Times New Roman" w:eastAsia="Times New Roman" w:hAnsi="Times New Roman" w:hint="cs"/>
                <w:rtl/>
              </w:rPr>
              <w:t>ברק נבו</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472D9E76" w14:textId="77777777" w:rsidR="009C15D4" w:rsidRDefault="009C15D4">
      <w:pPr>
        <w:jc w:val="right"/>
        <w:rPr>
          <w:rtl/>
        </w:rPr>
      </w:pPr>
    </w:p>
    <w:p w14:paraId="3C24E318" w14:textId="77777777" w:rsidR="009C15D4" w:rsidRDefault="002C4023">
      <w:pPr>
        <w:spacing w:line="360" w:lineRule="auto"/>
        <w:jc w:val="both"/>
        <w:rPr>
          <w:sz w:val="6"/>
          <w:szCs w:val="6"/>
          <w:rtl/>
        </w:rPr>
      </w:pPr>
      <w:r>
        <w:rPr>
          <w:sz w:val="6"/>
          <w:szCs w:val="6"/>
          <w:rtl/>
        </w:rPr>
        <w:t>&lt;#4#&gt;</w:t>
      </w:r>
    </w:p>
    <w:p w14:paraId="6E28DB78" w14:textId="77777777" w:rsidR="009C15D4" w:rsidRDefault="002C4023">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0787CF0" w14:textId="77777777" w:rsidR="009C15D4" w:rsidRDefault="009C15D4">
      <w:pPr>
        <w:spacing w:line="360" w:lineRule="auto"/>
        <w:jc w:val="both"/>
        <w:rPr>
          <w:rtl/>
        </w:rPr>
      </w:pPr>
    </w:p>
    <w:p w14:paraId="195DBDDC" w14:textId="77777777" w:rsidR="009C15D4" w:rsidRDefault="002C4023">
      <w:pPr>
        <w:spacing w:line="360" w:lineRule="auto"/>
        <w:jc w:val="both"/>
        <w:rPr>
          <w:rtl/>
        </w:rPr>
      </w:pPr>
      <w:r>
        <w:rPr>
          <w:rFonts w:hint="cs"/>
          <w:rtl/>
        </w:rPr>
        <w:t xml:space="preserve">הנאשם היה משוחרר עד כה. תקופת המאסר שהטלתי עליו אינה כזו שמונעת מתן עיכוב ביצוע. בהתחשב בכלל הנסיבות אני נעתרת לבקשה וקובעת כי הנאשם יתייצב לריצוי מאסרו ביום 6/7/14 עד השעה 10:00 או על פי החלטת שב"ס בבית מעצר ניצן. על הנדון לתאם את הכניסה למאסר כולל האפשרות למיון מוקדם עם ענף אבחון ומיון של שב"ס בטל' 08-9787377. </w:t>
      </w:r>
    </w:p>
    <w:p w14:paraId="3C495D04" w14:textId="77777777" w:rsidR="009C15D4" w:rsidRDefault="009C15D4">
      <w:pPr>
        <w:spacing w:line="360" w:lineRule="auto"/>
        <w:jc w:val="both"/>
        <w:rPr>
          <w:rtl/>
        </w:rPr>
      </w:pPr>
    </w:p>
    <w:p w14:paraId="65822FDA" w14:textId="77777777" w:rsidR="009C15D4" w:rsidRDefault="002C4023">
      <w:pPr>
        <w:spacing w:line="360" w:lineRule="auto"/>
        <w:jc w:val="both"/>
        <w:rPr>
          <w:rtl/>
        </w:rPr>
      </w:pPr>
      <w:r>
        <w:rPr>
          <w:rFonts w:hint="cs"/>
          <w:rtl/>
        </w:rPr>
        <w:t>עיכוב הביצוע מותנה בעמידה בתנאים הבאים:</w:t>
      </w:r>
    </w:p>
    <w:p w14:paraId="4E72B063" w14:textId="77777777" w:rsidR="009C15D4" w:rsidRDefault="009C15D4">
      <w:pPr>
        <w:spacing w:line="360" w:lineRule="auto"/>
        <w:jc w:val="both"/>
        <w:rPr>
          <w:rtl/>
        </w:rPr>
      </w:pPr>
    </w:p>
    <w:p w14:paraId="20E598EA" w14:textId="77777777" w:rsidR="009C15D4" w:rsidRDefault="002C4023">
      <w:pPr>
        <w:spacing w:line="360" w:lineRule="auto"/>
        <w:jc w:val="both"/>
        <w:rPr>
          <w:rtl/>
        </w:rPr>
      </w:pPr>
      <w:r>
        <w:rPr>
          <w:rFonts w:hint="cs"/>
          <w:rtl/>
        </w:rPr>
        <w:t>1.</w:t>
      </w:r>
      <w:r>
        <w:rPr>
          <w:rFonts w:hint="cs"/>
          <w:rtl/>
        </w:rPr>
        <w:tab/>
        <w:t xml:space="preserve">הנאשם יחתום התחייבות עצמית על סך 5,000 ₪. </w:t>
      </w:r>
    </w:p>
    <w:p w14:paraId="2327FF68" w14:textId="77777777" w:rsidR="009C15D4" w:rsidRDefault="009C15D4">
      <w:pPr>
        <w:spacing w:line="360" w:lineRule="auto"/>
        <w:jc w:val="both"/>
        <w:rPr>
          <w:rtl/>
        </w:rPr>
      </w:pPr>
    </w:p>
    <w:p w14:paraId="507E0DAD" w14:textId="77777777" w:rsidR="009C15D4" w:rsidRDefault="002C4023">
      <w:pPr>
        <w:spacing w:line="360" w:lineRule="auto"/>
        <w:ind w:left="720" w:hanging="720"/>
        <w:jc w:val="both"/>
        <w:rPr>
          <w:rtl/>
        </w:rPr>
      </w:pPr>
      <w:r>
        <w:rPr>
          <w:rFonts w:hint="cs"/>
          <w:rtl/>
        </w:rPr>
        <w:t>2.</w:t>
      </w:r>
      <w:r>
        <w:rPr>
          <w:rFonts w:hint="cs"/>
          <w:rtl/>
        </w:rPr>
        <w:tab/>
        <w:t xml:space="preserve">הנאשם ימציא ערב צד ג' על סך 5,000 ₪. היום אני מאשרת כערבה צד ג' עד ליום 1/6/14 בשעה 12:00 את הגב' אלינור יוסף ת.ז. 033143736. במועד האמור לעיל יביא הנאשם ערב צד ג' אשר יעמוד בתנאי המזכירות. </w:t>
      </w:r>
    </w:p>
    <w:p w14:paraId="0EDF77F9" w14:textId="77777777" w:rsidR="009C15D4" w:rsidRDefault="009C15D4">
      <w:pPr>
        <w:spacing w:line="360" w:lineRule="auto"/>
        <w:ind w:left="720" w:hanging="720"/>
        <w:jc w:val="both"/>
        <w:rPr>
          <w:rtl/>
        </w:rPr>
      </w:pPr>
    </w:p>
    <w:p w14:paraId="2E0A41EE" w14:textId="77777777" w:rsidR="009C15D4" w:rsidRDefault="002C4023">
      <w:pPr>
        <w:spacing w:line="360" w:lineRule="auto"/>
        <w:jc w:val="both"/>
        <w:rPr>
          <w:rtl/>
        </w:rPr>
      </w:pPr>
      <w:r>
        <w:rPr>
          <w:rFonts w:hint="cs"/>
          <w:rtl/>
        </w:rPr>
        <w:t xml:space="preserve">התנאים הללו יבטיחו את התייצבותו של הנאשם לריצוי עונשו, וכן את התייצבותו לכל דיון שייקבע בעניינו, לרבות התייצבות לריצוי עונשו במועד אחר שייקבע, אם ייקבע. המזכירות תקפיד לרשום את כל התנאים הללו בכתב הערובה. </w:t>
      </w:r>
    </w:p>
    <w:p w14:paraId="5A902352" w14:textId="77777777" w:rsidR="009C15D4" w:rsidRDefault="002C4023">
      <w:pPr>
        <w:spacing w:line="360" w:lineRule="auto"/>
        <w:jc w:val="both"/>
        <w:rPr>
          <w:sz w:val="6"/>
          <w:szCs w:val="6"/>
          <w:rtl/>
        </w:rPr>
      </w:pPr>
      <w:r>
        <w:rPr>
          <w:sz w:val="6"/>
          <w:szCs w:val="6"/>
          <w:rtl/>
        </w:rPr>
        <w:t>&lt;#5#&gt;</w:t>
      </w:r>
    </w:p>
    <w:p w14:paraId="66A7F527" w14:textId="77777777" w:rsidR="009C15D4" w:rsidRPr="002C4023" w:rsidRDefault="002C4023">
      <w:pPr>
        <w:jc w:val="right"/>
        <w:rPr>
          <w:color w:val="FFFFFF"/>
          <w:sz w:val="2"/>
          <w:szCs w:val="2"/>
          <w:rtl/>
        </w:rPr>
      </w:pPr>
      <w:r w:rsidRPr="002C402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C15D4" w14:paraId="487C3086" w14:textId="77777777">
        <w:trPr>
          <w:trHeight w:val="364"/>
          <w:jc w:val="right"/>
        </w:trPr>
        <w:tc>
          <w:tcPr>
            <w:tcW w:w="3708" w:type="dxa"/>
          </w:tcPr>
          <w:p w14:paraId="5474B661" w14:textId="77777777" w:rsidR="009C15D4" w:rsidRDefault="002C4023">
            <w:pPr>
              <w:jc w:val="center"/>
              <w:rPr>
                <w:rFonts w:ascii="Times New Roman" w:eastAsia="Times New Roman" w:hAnsi="Times New Roman" w:cs="Times New Roman"/>
              </w:rPr>
            </w:pPr>
            <w:r w:rsidRPr="002C4023">
              <w:rPr>
                <w:b/>
                <w:bCs/>
                <w:color w:val="FFFFFF"/>
                <w:sz w:val="2"/>
                <w:szCs w:val="2"/>
                <w:rtl/>
              </w:rPr>
              <w:t>54678313</w:t>
            </w:r>
            <w:r>
              <w:rPr>
                <w:b/>
                <w:bCs/>
                <w:rtl/>
              </w:rPr>
              <w:t xml:space="preserve">ניתנה והודעה היום כ"ח אייר תשע"ד, 28/05/2014 במעמד הנוכחים. </w:t>
            </w:r>
          </w:p>
          <w:p w14:paraId="1C857F95" w14:textId="77777777" w:rsidR="009C15D4" w:rsidRDefault="009C15D4">
            <w:pPr>
              <w:jc w:val="center"/>
              <w:rPr>
                <w:rFonts w:ascii="Times New Roman" w:eastAsia="Times New Roman" w:hAnsi="Times New Roman" w:cs="Times New Roman"/>
                <w:rtl/>
              </w:rPr>
            </w:pPr>
          </w:p>
        </w:tc>
      </w:tr>
      <w:tr w:rsidR="009C15D4" w14:paraId="43261CF0" w14:textId="77777777">
        <w:trPr>
          <w:trHeight w:val="415"/>
          <w:jc w:val="right"/>
        </w:trPr>
        <w:tc>
          <w:tcPr>
            <w:tcW w:w="3708" w:type="dxa"/>
          </w:tcPr>
          <w:p w14:paraId="5F5E63C3" w14:textId="77777777" w:rsidR="009C15D4" w:rsidRDefault="002C4023">
            <w:pPr>
              <w:jc w:val="center"/>
              <w:rPr>
                <w:rFonts w:ascii="Times New Roman" w:eastAsia="Times New Roman" w:hAnsi="Times New Roman"/>
                <w:b/>
                <w:bCs/>
                <w:rtl/>
              </w:rPr>
            </w:pPr>
            <w:r>
              <w:rPr>
                <w:rFonts w:ascii="Times New Roman" w:eastAsia="Times New Roman" w:hAnsi="Times New Roman" w:hint="cs"/>
                <w:rtl/>
              </w:rPr>
              <w:t>מיכל</w:t>
            </w:r>
            <w:r>
              <w:rPr>
                <w:rFonts w:ascii="Times New Roman" w:eastAsia="Times New Roman" w:hAnsi="Times New Roman" w:hint="cs"/>
                <w:b/>
                <w:bCs/>
                <w:rtl/>
              </w:rPr>
              <w:t xml:space="preserve"> </w:t>
            </w:r>
            <w:r>
              <w:rPr>
                <w:rFonts w:ascii="Times New Roman" w:eastAsia="Times New Roman" w:hAnsi="Times New Roman" w:hint="cs"/>
                <w:rtl/>
              </w:rPr>
              <w:t>ברק נבו</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2830E8A6" w14:textId="77777777" w:rsidR="009C15D4" w:rsidRDefault="009C15D4">
      <w:pPr>
        <w:spacing w:line="360" w:lineRule="auto"/>
        <w:jc w:val="both"/>
        <w:rPr>
          <w:rtl/>
        </w:rPr>
      </w:pPr>
    </w:p>
    <w:p w14:paraId="7759EA63" w14:textId="77777777" w:rsidR="009C15D4" w:rsidRDefault="002C4023">
      <w:r>
        <w:rPr>
          <w:rtl/>
        </w:rPr>
        <w:t>הוקלד</w:t>
      </w:r>
      <w:r>
        <w:t xml:space="preserve"> </w:t>
      </w:r>
      <w:r>
        <w:rPr>
          <w:rtl/>
        </w:rPr>
        <w:t>על</w:t>
      </w:r>
      <w:r>
        <w:t xml:space="preserve"> </w:t>
      </w:r>
      <w:r>
        <w:rPr>
          <w:rtl/>
        </w:rPr>
        <w:t>ידי</w:t>
      </w:r>
      <w:r>
        <w:t xml:space="preserve"> </w:t>
      </w:r>
      <w:r>
        <w:rPr>
          <w:rtl/>
        </w:rPr>
        <w:t>מירי</w:t>
      </w:r>
      <w:r>
        <w:t xml:space="preserve"> </w:t>
      </w:r>
      <w:r>
        <w:rPr>
          <w:rtl/>
        </w:rPr>
        <w:t>ברששת</w:t>
      </w:r>
    </w:p>
    <w:p w14:paraId="4F81E01C" w14:textId="77777777" w:rsidR="002C4023" w:rsidRPr="002C4023" w:rsidRDefault="002C4023" w:rsidP="002C4023">
      <w:pPr>
        <w:keepNext/>
        <w:rPr>
          <w:color w:val="000000"/>
          <w:sz w:val="22"/>
          <w:szCs w:val="22"/>
          <w:rtl/>
        </w:rPr>
      </w:pPr>
    </w:p>
    <w:p w14:paraId="447F6DA9" w14:textId="77777777" w:rsidR="002C4023" w:rsidRPr="002C4023" w:rsidRDefault="002C4023" w:rsidP="002C4023">
      <w:pPr>
        <w:keepNext/>
        <w:rPr>
          <w:color w:val="000000"/>
          <w:sz w:val="22"/>
          <w:szCs w:val="22"/>
          <w:rtl/>
        </w:rPr>
      </w:pPr>
      <w:r w:rsidRPr="002C4023">
        <w:rPr>
          <w:color w:val="000000"/>
          <w:sz w:val="22"/>
          <w:szCs w:val="22"/>
          <w:rtl/>
        </w:rPr>
        <w:t>מיכל ברק נבו 54678313</w:t>
      </w:r>
    </w:p>
    <w:p w14:paraId="679EBDEA" w14:textId="77777777" w:rsidR="002C4023" w:rsidRDefault="002C4023" w:rsidP="002C4023">
      <w:r w:rsidRPr="002C4023">
        <w:rPr>
          <w:color w:val="000000"/>
          <w:rtl/>
        </w:rPr>
        <w:t>נוסח מסמך זה כפוף לשינויי ניסוח ועריכה</w:t>
      </w:r>
    </w:p>
    <w:p w14:paraId="4FE8ABD3" w14:textId="77777777" w:rsidR="002C4023" w:rsidRDefault="002C4023" w:rsidP="002C4023">
      <w:pPr>
        <w:rPr>
          <w:rtl/>
        </w:rPr>
      </w:pPr>
    </w:p>
    <w:p w14:paraId="2C14941F" w14:textId="77777777" w:rsidR="002C4023" w:rsidRDefault="002C4023" w:rsidP="002C4023">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C833444" w14:textId="77777777" w:rsidR="009C15D4" w:rsidRPr="002C4023" w:rsidRDefault="009C15D4" w:rsidP="002C4023">
      <w:pPr>
        <w:jc w:val="center"/>
        <w:rPr>
          <w:color w:val="0000FF"/>
          <w:u w:val="single"/>
        </w:rPr>
      </w:pPr>
    </w:p>
    <w:sectPr w:rsidR="009C15D4" w:rsidRPr="002C4023" w:rsidSect="002C4023">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BEAFB" w14:textId="77777777" w:rsidR="00E02D49" w:rsidRPr="002461EE" w:rsidRDefault="00E02D49">
      <w:pPr>
        <w:rPr>
          <w:rFonts w:cs="Arial"/>
          <w:szCs w:val="20"/>
        </w:rPr>
      </w:pPr>
      <w:r>
        <w:separator/>
      </w:r>
    </w:p>
  </w:endnote>
  <w:endnote w:type="continuationSeparator" w:id="0">
    <w:p w14:paraId="5CA7DA8B" w14:textId="77777777" w:rsidR="00E02D49" w:rsidRPr="002461EE" w:rsidRDefault="00E02D4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EB7FC" w14:textId="77777777" w:rsidR="002C4023" w:rsidRDefault="002C4023" w:rsidP="002C40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99</w:t>
    </w:r>
    <w:r>
      <w:rPr>
        <w:rFonts w:ascii="FrankRuehl" w:hAnsi="FrankRuehl" w:cs="FrankRuehl"/>
        <w:rtl/>
      </w:rPr>
      <w:fldChar w:fldCharType="end"/>
    </w:r>
  </w:p>
  <w:p w14:paraId="35D5208E" w14:textId="77777777" w:rsidR="009C15D4" w:rsidRPr="002C4023" w:rsidRDefault="002C4023" w:rsidP="002C4023">
    <w:pPr>
      <w:pStyle w:val="a4"/>
      <w:pBdr>
        <w:top w:val="single" w:sz="4" w:space="1" w:color="auto"/>
        <w:between w:val="single" w:sz="4" w:space="0" w:color="auto"/>
      </w:pBdr>
      <w:spacing w:after="60"/>
      <w:jc w:val="center"/>
      <w:rPr>
        <w:rFonts w:ascii="FrankRuehl" w:hAnsi="FrankRuehl" w:cs="FrankRuehl"/>
        <w:color w:val="000000"/>
      </w:rPr>
    </w:pPr>
    <w:r w:rsidRPr="002C40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DDFB1" w14:textId="77777777" w:rsidR="002C4023" w:rsidRDefault="002C4023" w:rsidP="002C40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031A">
      <w:rPr>
        <w:rFonts w:ascii="FrankRuehl" w:hAnsi="FrankRuehl" w:cs="FrankRuehl"/>
        <w:noProof/>
        <w:rtl/>
      </w:rPr>
      <w:t>1</w:t>
    </w:r>
    <w:r>
      <w:rPr>
        <w:rFonts w:ascii="FrankRuehl" w:hAnsi="FrankRuehl" w:cs="FrankRuehl"/>
        <w:rtl/>
      </w:rPr>
      <w:fldChar w:fldCharType="end"/>
    </w:r>
  </w:p>
  <w:p w14:paraId="037B33A4" w14:textId="77777777" w:rsidR="009C15D4" w:rsidRPr="002C4023" w:rsidRDefault="002C4023" w:rsidP="002C4023">
    <w:pPr>
      <w:pStyle w:val="a4"/>
      <w:pBdr>
        <w:top w:val="single" w:sz="4" w:space="1" w:color="auto"/>
        <w:between w:val="single" w:sz="4" w:space="0" w:color="auto"/>
      </w:pBdr>
      <w:spacing w:after="60"/>
      <w:jc w:val="center"/>
      <w:rPr>
        <w:rFonts w:ascii="FrankRuehl" w:hAnsi="FrankRuehl" w:cs="FrankRuehl"/>
        <w:color w:val="000000"/>
      </w:rPr>
    </w:pPr>
    <w:r w:rsidRPr="002C4023">
      <w:rPr>
        <w:rFonts w:ascii="FrankRuehl" w:hAnsi="FrankRuehl" w:cs="FrankRuehl"/>
        <w:color w:val="000000"/>
      </w:rPr>
      <w:pict w14:anchorId="0C29C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E87EF" w14:textId="77777777" w:rsidR="00E02D49" w:rsidRPr="002461EE" w:rsidRDefault="00E02D49">
      <w:pPr>
        <w:rPr>
          <w:rFonts w:cs="Arial"/>
          <w:szCs w:val="20"/>
        </w:rPr>
      </w:pPr>
      <w:r>
        <w:separator/>
      </w:r>
    </w:p>
  </w:footnote>
  <w:footnote w:type="continuationSeparator" w:id="0">
    <w:p w14:paraId="0756FA04" w14:textId="77777777" w:rsidR="00E02D49" w:rsidRPr="002461EE" w:rsidRDefault="00E02D4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E2798" w14:textId="77777777" w:rsidR="002C4023" w:rsidRPr="002C4023" w:rsidRDefault="002C4023" w:rsidP="002C402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45672-02-10</w:t>
    </w:r>
    <w:r>
      <w:rPr>
        <w:color w:val="000000"/>
        <w:sz w:val="22"/>
        <w:szCs w:val="22"/>
        <w:rtl/>
      </w:rPr>
      <w:tab/>
      <w:t xml:space="preserve"> מדינת ישראל נ' ישראל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E122B" w14:textId="77777777" w:rsidR="002C4023" w:rsidRPr="002C4023" w:rsidRDefault="002C4023" w:rsidP="002C402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45672-02-10</w:t>
    </w:r>
    <w:r>
      <w:rPr>
        <w:color w:val="000000"/>
        <w:sz w:val="22"/>
        <w:szCs w:val="22"/>
        <w:rtl/>
      </w:rPr>
      <w:tab/>
      <w:t xml:space="preserve"> מדינת ישראל נ' ישראל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15D4"/>
    <w:rsid w:val="002C4023"/>
    <w:rsid w:val="004F6DCD"/>
    <w:rsid w:val="0058031A"/>
    <w:rsid w:val="009C15D4"/>
    <w:rsid w:val="00D142CB"/>
    <w:rsid w:val="00E02D49"/>
    <w:rsid w:val="00EA2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7D7C2D"/>
  <w15:chartTrackingRefBased/>
  <w15:docId w15:val="{4607204C-0966-49AC-99EB-9017EDDC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15D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C15D4"/>
    <w:pPr>
      <w:tabs>
        <w:tab w:val="center" w:pos="4153"/>
        <w:tab w:val="right" w:pos="8306"/>
      </w:tabs>
    </w:pPr>
  </w:style>
  <w:style w:type="paragraph" w:styleId="a4">
    <w:name w:val="footer"/>
    <w:basedOn w:val="a"/>
    <w:rsid w:val="009C15D4"/>
    <w:pPr>
      <w:tabs>
        <w:tab w:val="center" w:pos="4153"/>
        <w:tab w:val="right" w:pos="8306"/>
      </w:tabs>
    </w:pPr>
  </w:style>
  <w:style w:type="character" w:styleId="a5">
    <w:name w:val="page number"/>
    <w:basedOn w:val="a0"/>
    <w:rsid w:val="009C15D4"/>
  </w:style>
  <w:style w:type="paragraph" w:customStyle="1" w:styleId="12">
    <w:name w:val="רגיל + ‏12 נק'"/>
    <w:aliases w:val="מיושר לשני הצדדים,מרווח בין שורות:  שורה וחצי"/>
    <w:basedOn w:val="a"/>
    <w:rsid w:val="009C15D4"/>
    <w:rPr>
      <w:rFonts w:ascii="Times New Roman" w:eastAsia="Times New Roman" w:hAnsi="Times New Roman"/>
      <w:b/>
      <w:bCs/>
      <w:u w:val="single"/>
    </w:rPr>
  </w:style>
  <w:style w:type="character" w:styleId="a6">
    <w:name w:val="line number"/>
    <w:basedOn w:val="a0"/>
    <w:rsid w:val="009C15D4"/>
  </w:style>
  <w:style w:type="character" w:styleId="Hyperlink">
    <w:name w:val="Hyperlink"/>
    <w:basedOn w:val="a0"/>
    <w:rsid w:val="002C4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law/70301/273" TargetMode="External"/><Relationship Id="rId26" Type="http://schemas.openxmlformats.org/officeDocument/2006/relationships/hyperlink" Target="http://www.nevo.co.il/law/74918/47.a" TargetMode="External"/><Relationship Id="rId39" Type="http://schemas.openxmlformats.org/officeDocument/2006/relationships/footer" Target="footer2.xml"/><Relationship Id="rId21" Type="http://schemas.openxmlformats.org/officeDocument/2006/relationships/hyperlink" Target="http://www.nevo.co.il/law/70301/273" TargetMode="External"/><Relationship Id="rId34" Type="http://schemas.openxmlformats.org/officeDocument/2006/relationships/hyperlink" Target="http://www.nevo.co.il/links/psika/?link=&#1514;&#1508;%203148/05"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4421/30" TargetMode="External"/><Relationship Id="rId20" Type="http://schemas.openxmlformats.org/officeDocument/2006/relationships/hyperlink" Target="http://www.nevo.co.il/law/70301/275" TargetMode="External"/><Relationship Id="rId29" Type="http://schemas.openxmlformats.org/officeDocument/2006/relationships/hyperlink" Target="http://www.nevo.co.il/law/7442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88" TargetMode="External"/><Relationship Id="rId24" Type="http://schemas.openxmlformats.org/officeDocument/2006/relationships/hyperlink" Target="http://www.nevo.co.il/law/70301/288" TargetMode="External"/><Relationship Id="rId32" Type="http://schemas.openxmlformats.org/officeDocument/2006/relationships/hyperlink" Target="http://www.nevo.co.il/case/595941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4421"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4421/30" TargetMode="External"/><Relationship Id="rId36" Type="http://schemas.openxmlformats.org/officeDocument/2006/relationships/header" Target="header1.xml"/><Relationship Id="rId10" Type="http://schemas.openxmlformats.org/officeDocument/2006/relationships/hyperlink" Target="http://www.nevo.co.il/law/70301/275" TargetMode="External"/><Relationship Id="rId19"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273" TargetMode="External"/><Relationship Id="rId14" Type="http://schemas.openxmlformats.org/officeDocument/2006/relationships/hyperlink" Target="http://www.nevo.co.il/law/74918/47.a"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4918" TargetMode="External"/><Relationship Id="rId30" Type="http://schemas.openxmlformats.org/officeDocument/2006/relationships/hyperlink" Target="http://www.nevo.co.il/links/psika/?link=&#1514;&#1508;%203148/0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92" TargetMode="External"/><Relationship Id="rId3" Type="http://schemas.openxmlformats.org/officeDocument/2006/relationships/webSettings" Target="webSettings.xml"/><Relationship Id="rId12" Type="http://schemas.openxmlformats.org/officeDocument/2006/relationships/hyperlink" Target="http://www.nevo.co.il/law/70301/452"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52" TargetMode="External"/><Relationship Id="rId33" Type="http://schemas.openxmlformats.org/officeDocument/2006/relationships/hyperlink" Target="http://www.nevo.co.il/case/557172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2127</Words>
  <Characters>10635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12737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99091900</vt:i4>
      </vt:variant>
      <vt:variant>
        <vt:i4>84</vt:i4>
      </vt:variant>
      <vt:variant>
        <vt:i4>0</vt:i4>
      </vt:variant>
      <vt:variant>
        <vt:i4>5</vt:i4>
      </vt:variant>
      <vt:variant>
        <vt:lpwstr>http://www.nevo.co.il/links/psika/?link=תפ 3148/05</vt:lpwstr>
      </vt:variant>
      <vt:variant>
        <vt:lpwstr/>
      </vt:variant>
      <vt:variant>
        <vt:i4>3342450</vt:i4>
      </vt:variant>
      <vt:variant>
        <vt:i4>81</vt:i4>
      </vt:variant>
      <vt:variant>
        <vt:i4>0</vt:i4>
      </vt:variant>
      <vt:variant>
        <vt:i4>5</vt:i4>
      </vt:variant>
      <vt:variant>
        <vt:lpwstr>http://www.nevo.co.il/case/5571726</vt:lpwstr>
      </vt:variant>
      <vt:variant>
        <vt:lpwstr/>
      </vt:variant>
      <vt:variant>
        <vt:i4>3473525</vt:i4>
      </vt:variant>
      <vt:variant>
        <vt:i4>78</vt:i4>
      </vt:variant>
      <vt:variant>
        <vt:i4>0</vt:i4>
      </vt:variant>
      <vt:variant>
        <vt:i4>5</vt:i4>
      </vt:variant>
      <vt:variant>
        <vt:lpwstr>http://www.nevo.co.il/case/5959411</vt:lpwstr>
      </vt:variant>
      <vt:variant>
        <vt:lpwstr/>
      </vt:variant>
      <vt:variant>
        <vt:i4>8257637</vt:i4>
      </vt:variant>
      <vt:variant>
        <vt:i4>75</vt:i4>
      </vt:variant>
      <vt:variant>
        <vt:i4>0</vt:i4>
      </vt:variant>
      <vt:variant>
        <vt:i4>5</vt:i4>
      </vt:variant>
      <vt:variant>
        <vt:lpwstr>http://www.nevo.co.il/law/4216</vt:lpwstr>
      </vt:variant>
      <vt:variant>
        <vt:lpwstr/>
      </vt:variant>
      <vt:variant>
        <vt:i4>99091900</vt:i4>
      </vt:variant>
      <vt:variant>
        <vt:i4>72</vt:i4>
      </vt:variant>
      <vt:variant>
        <vt:i4>0</vt:i4>
      </vt:variant>
      <vt:variant>
        <vt:i4>5</vt:i4>
      </vt:variant>
      <vt:variant>
        <vt:lpwstr>http://www.nevo.co.il/links/psika/?link=תפ 3148/05</vt:lpwstr>
      </vt:variant>
      <vt:variant>
        <vt:lpwstr/>
      </vt:variant>
      <vt:variant>
        <vt:i4>8126563</vt:i4>
      </vt:variant>
      <vt:variant>
        <vt:i4>69</vt:i4>
      </vt:variant>
      <vt:variant>
        <vt:i4>0</vt:i4>
      </vt:variant>
      <vt:variant>
        <vt:i4>5</vt:i4>
      </vt:variant>
      <vt:variant>
        <vt:lpwstr>http://www.nevo.co.il/law/74421</vt:lpwstr>
      </vt:variant>
      <vt:variant>
        <vt:lpwstr/>
      </vt:variant>
      <vt:variant>
        <vt:i4>6488161</vt:i4>
      </vt:variant>
      <vt:variant>
        <vt:i4>66</vt:i4>
      </vt:variant>
      <vt:variant>
        <vt:i4>0</vt:i4>
      </vt:variant>
      <vt:variant>
        <vt:i4>5</vt:i4>
      </vt:variant>
      <vt:variant>
        <vt:lpwstr>http://www.nevo.co.il/law/74421/30</vt:lpwstr>
      </vt:variant>
      <vt:variant>
        <vt:lpwstr/>
      </vt:variant>
      <vt:variant>
        <vt:i4>8323182</vt:i4>
      </vt:variant>
      <vt:variant>
        <vt:i4>63</vt:i4>
      </vt:variant>
      <vt:variant>
        <vt:i4>0</vt:i4>
      </vt:variant>
      <vt:variant>
        <vt:i4>5</vt:i4>
      </vt:variant>
      <vt:variant>
        <vt:lpwstr>http://www.nevo.co.il/law/74918</vt:lpwstr>
      </vt:variant>
      <vt:variant>
        <vt:lpwstr/>
      </vt:variant>
      <vt:variant>
        <vt:i4>393292</vt:i4>
      </vt:variant>
      <vt:variant>
        <vt:i4>60</vt:i4>
      </vt:variant>
      <vt:variant>
        <vt:i4>0</vt:i4>
      </vt:variant>
      <vt:variant>
        <vt:i4>5</vt:i4>
      </vt:variant>
      <vt:variant>
        <vt:lpwstr>http://www.nevo.co.il/law/74918/47.a</vt:lpwstr>
      </vt:variant>
      <vt:variant>
        <vt:lpwstr/>
      </vt:variant>
      <vt:variant>
        <vt:i4>6291553</vt:i4>
      </vt:variant>
      <vt:variant>
        <vt:i4>57</vt:i4>
      </vt:variant>
      <vt:variant>
        <vt:i4>0</vt:i4>
      </vt:variant>
      <vt:variant>
        <vt:i4>5</vt:i4>
      </vt:variant>
      <vt:variant>
        <vt:lpwstr>http://www.nevo.co.il/law/70301/452</vt:lpwstr>
      </vt:variant>
      <vt:variant>
        <vt:lpwstr/>
      </vt:variant>
      <vt:variant>
        <vt:i4>7143527</vt:i4>
      </vt:variant>
      <vt:variant>
        <vt:i4>54</vt:i4>
      </vt:variant>
      <vt:variant>
        <vt:i4>0</vt:i4>
      </vt:variant>
      <vt:variant>
        <vt:i4>5</vt:i4>
      </vt:variant>
      <vt:variant>
        <vt:lpwstr>http://www.nevo.co.il/law/70301/288</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6422631</vt:i4>
      </vt:variant>
      <vt:variant>
        <vt:i4>45</vt:i4>
      </vt:variant>
      <vt:variant>
        <vt:i4>0</vt:i4>
      </vt:variant>
      <vt:variant>
        <vt:i4>5</vt:i4>
      </vt:variant>
      <vt:variant>
        <vt:lpwstr>http://www.nevo.co.il/law/70301/273</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http://www.nevo.co.il/law/70301/273</vt:lpwstr>
      </vt:variant>
      <vt:variant>
        <vt:lpwstr/>
      </vt:variant>
      <vt:variant>
        <vt:i4>8257637</vt:i4>
      </vt:variant>
      <vt:variant>
        <vt:i4>33</vt:i4>
      </vt:variant>
      <vt:variant>
        <vt:i4>0</vt:i4>
      </vt:variant>
      <vt:variant>
        <vt:i4>5</vt:i4>
      </vt:variant>
      <vt:variant>
        <vt:lpwstr>http://www.nevo.co.il/law/4216</vt:lpwstr>
      </vt:variant>
      <vt:variant>
        <vt:lpwstr/>
      </vt:variant>
      <vt:variant>
        <vt:i4>6488161</vt:i4>
      </vt:variant>
      <vt:variant>
        <vt:i4>30</vt:i4>
      </vt:variant>
      <vt:variant>
        <vt:i4>0</vt:i4>
      </vt:variant>
      <vt:variant>
        <vt:i4>5</vt:i4>
      </vt:variant>
      <vt:variant>
        <vt:lpwstr>http://www.nevo.co.il/law/74421/30</vt:lpwstr>
      </vt:variant>
      <vt:variant>
        <vt:lpwstr/>
      </vt:variant>
      <vt:variant>
        <vt:i4>8126563</vt:i4>
      </vt:variant>
      <vt:variant>
        <vt:i4>27</vt:i4>
      </vt:variant>
      <vt:variant>
        <vt:i4>0</vt:i4>
      </vt:variant>
      <vt:variant>
        <vt:i4>5</vt:i4>
      </vt:variant>
      <vt:variant>
        <vt:lpwstr>http://www.nevo.co.il/law/74421</vt:lpwstr>
      </vt:variant>
      <vt:variant>
        <vt:lpwstr/>
      </vt:variant>
      <vt:variant>
        <vt:i4>393292</vt:i4>
      </vt:variant>
      <vt:variant>
        <vt:i4>24</vt:i4>
      </vt:variant>
      <vt:variant>
        <vt:i4>0</vt:i4>
      </vt:variant>
      <vt:variant>
        <vt:i4>5</vt:i4>
      </vt:variant>
      <vt:variant>
        <vt:lpwstr>http://www.nevo.co.il/law/74918/47.a</vt:lpwstr>
      </vt:variant>
      <vt:variant>
        <vt:lpwstr/>
      </vt:variant>
      <vt:variant>
        <vt:i4>8323182</vt:i4>
      </vt:variant>
      <vt:variant>
        <vt:i4>21</vt:i4>
      </vt:variant>
      <vt:variant>
        <vt:i4>0</vt:i4>
      </vt:variant>
      <vt:variant>
        <vt:i4>5</vt:i4>
      </vt:variant>
      <vt:variant>
        <vt:lpwstr>http://www.nevo.co.il/law/74918</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7143527</vt:i4>
      </vt:variant>
      <vt:variant>
        <vt:i4>15</vt:i4>
      </vt:variant>
      <vt:variant>
        <vt:i4>0</vt:i4>
      </vt:variant>
      <vt:variant>
        <vt:i4>5</vt:i4>
      </vt:variant>
      <vt:variant>
        <vt:lpwstr>http://www.nevo.co.il/law/70301/288</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6422631</vt:i4>
      </vt:variant>
      <vt:variant>
        <vt:i4>9</vt:i4>
      </vt:variant>
      <vt:variant>
        <vt:i4>0</vt:i4>
      </vt:variant>
      <vt:variant>
        <vt:i4>5</vt:i4>
      </vt:variant>
      <vt:variant>
        <vt:lpwstr>http://www.nevo.co.il/law/70301/273</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2025-04-22T21:34:00Z</dcterms:created>
  <dcterms:modified xsi:type="dcterms:W3CDTF">2025-04-22T21:34:00Z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45672</vt:lpwstr>
  </property>
  <property fmtid="{D5CDD505-2E9C-101B-9397-08002B2CF9AE}" pid="6" name="NEWPARTB">
    <vt:lpwstr>02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ישראל לוי</vt:lpwstr>
  </property>
  <property fmtid="{D5CDD505-2E9C-101B-9397-08002B2CF9AE}" pid="10" name="LAWYER">
    <vt:lpwstr>אורלי טל;יוסי שילוח</vt:lpwstr>
  </property>
  <property fmtid="{D5CDD505-2E9C-101B-9397-08002B2CF9AE}" pid="11" name="JUDGE">
    <vt:lpwstr>מיכל ברק נבו</vt:lpwstr>
  </property>
  <property fmtid="{D5CDD505-2E9C-101B-9397-08002B2CF9AE}" pid="12" name="CITY">
    <vt:lpwstr>ת"א</vt:lpwstr>
  </property>
  <property fmtid="{D5CDD505-2E9C-101B-9397-08002B2CF9AE}" pid="13" name="DATE">
    <vt:lpwstr>20140528</vt:lpwstr>
  </property>
  <property fmtid="{D5CDD505-2E9C-101B-9397-08002B2CF9AE}" pid="14" name="TYPE_N_DATE">
    <vt:lpwstr>38020140528</vt:lpwstr>
  </property>
  <property fmtid="{D5CDD505-2E9C-101B-9397-08002B2CF9AE}" pid="15" name="CASESLISTTMP1">
    <vt:lpwstr>5959411;5571726</vt:lpwstr>
  </property>
  <property fmtid="{D5CDD505-2E9C-101B-9397-08002B2CF9AE}" pid="16" name="CASENOTES1">
    <vt:lpwstr>ProcID=209&amp;PartA=3148&amp;PartC=05</vt:lpwstr>
  </property>
  <property fmtid="{D5CDD505-2E9C-101B-9397-08002B2CF9AE}" pid="17" name="WORDNUMPAGES">
    <vt:lpwstr>7</vt:lpwstr>
  </property>
  <property fmtid="{D5CDD505-2E9C-101B-9397-08002B2CF9AE}" pid="18" name="TYPE_ABS_DATE">
    <vt:lpwstr>380020140528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70301/273:2;275;025;192;288;452</vt:lpwstr>
  </property>
  <property fmtid="{D5CDD505-2E9C-101B-9397-08002B2CF9AE}" pid="38" name="LAWLISTTMP2">
    <vt:lpwstr>74918/047.a</vt:lpwstr>
  </property>
  <property fmtid="{D5CDD505-2E9C-101B-9397-08002B2CF9AE}" pid="39" name="LAWLISTTMP3">
    <vt:lpwstr>74421/030</vt:lpwstr>
  </property>
  <property fmtid="{D5CDD505-2E9C-101B-9397-08002B2CF9AE}" pid="40" name="LAWLISTTMP4">
    <vt:lpwstr>4216</vt:lpwstr>
  </property>
</Properties>
</file>