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753"/>
        <w:gridCol w:w="1298"/>
        <w:gridCol w:w="3670"/>
      </w:tblGrid>
      <w:tr w:rsidR="002B4DE6" w:rsidRPr="00075CC7" w14:paraId="787051DE" w14:textId="77777777">
        <w:trPr>
          <w:trHeight w:hRule="exact" w:val="339"/>
          <w:jc w:val="center"/>
        </w:trPr>
        <w:tc>
          <w:tcPr>
            <w:tcW w:w="8721" w:type="dxa"/>
            <w:gridSpan w:val="3"/>
          </w:tcPr>
          <w:p w14:paraId="52F41256" w14:textId="77777777" w:rsidR="002B4DE6" w:rsidRPr="00075CC7" w:rsidRDefault="00075CC7">
            <w:pPr>
              <w:pStyle w:val="a3"/>
              <w:jc w:val="center"/>
              <w:rPr>
                <w:rFonts w:ascii="Tahoma" w:hAnsi="Tahoma"/>
                <w:rtl/>
              </w:rPr>
            </w:pPr>
            <w:bookmarkStart w:id="0" w:name="LastJudge"/>
            <w:r w:rsidRPr="00075CC7">
              <w:rPr>
                <w:rFonts w:ascii="Tahoma" w:hAnsi="Tahoma" w:hint="cs"/>
                <w:b/>
                <w:bCs/>
                <w:rtl/>
              </w:rPr>
              <w:t>בתי המשפט</w:t>
            </w:r>
          </w:p>
        </w:tc>
      </w:tr>
      <w:tr w:rsidR="002B4DE6" w:rsidRPr="00075CC7" w14:paraId="1B61CE47" w14:textId="77777777">
        <w:trPr>
          <w:trHeight w:val="337"/>
          <w:jc w:val="center"/>
        </w:trPr>
        <w:tc>
          <w:tcPr>
            <w:tcW w:w="5051" w:type="dxa"/>
            <w:gridSpan w:val="2"/>
          </w:tcPr>
          <w:p w14:paraId="0801AFAE" w14:textId="77777777" w:rsidR="002B4DE6" w:rsidRPr="00075CC7" w:rsidRDefault="00075CC7">
            <w:pPr>
              <w:pStyle w:val="a3"/>
              <w:rPr>
                <w:b/>
                <w:bCs/>
                <w:sz w:val="32"/>
                <w:szCs w:val="32"/>
                <w:rtl/>
              </w:rPr>
            </w:pPr>
            <w:r w:rsidRPr="00075CC7">
              <w:rPr>
                <w:rFonts w:hint="cs"/>
                <w:b/>
                <w:bCs/>
                <w:sz w:val="32"/>
                <w:szCs w:val="32"/>
                <w:rtl/>
              </w:rPr>
              <w:t>בית משפט השלום</w:t>
            </w:r>
          </w:p>
          <w:p w14:paraId="43BD6DC4" w14:textId="77777777" w:rsidR="002B4DE6" w:rsidRPr="00075CC7" w:rsidRDefault="00075CC7">
            <w:pPr>
              <w:pStyle w:val="a3"/>
              <w:rPr>
                <w:sz w:val="28"/>
                <w:szCs w:val="28"/>
                <w:rtl/>
              </w:rPr>
            </w:pPr>
            <w:r w:rsidRPr="00075CC7">
              <w:rPr>
                <w:rFonts w:hint="cs"/>
                <w:b/>
                <w:bCs/>
                <w:sz w:val="32"/>
                <w:szCs w:val="32"/>
                <w:rtl/>
              </w:rPr>
              <w:t>בירושלים</w:t>
            </w:r>
          </w:p>
        </w:tc>
        <w:tc>
          <w:tcPr>
            <w:tcW w:w="3670" w:type="dxa"/>
          </w:tcPr>
          <w:p w14:paraId="5528E3F3" w14:textId="77777777" w:rsidR="002B4DE6" w:rsidRPr="00075CC7" w:rsidRDefault="00075CC7">
            <w:pPr>
              <w:jc w:val="right"/>
              <w:rPr>
                <w:b/>
                <w:bCs/>
                <w:sz w:val="32"/>
                <w:szCs w:val="32"/>
                <w:rtl/>
              </w:rPr>
            </w:pPr>
            <w:r w:rsidRPr="00075CC7">
              <w:rPr>
                <w:b/>
                <w:bCs/>
                <w:sz w:val="32"/>
                <w:szCs w:val="32"/>
                <w:rtl/>
              </w:rPr>
              <w:t>ת"פ</w:t>
            </w:r>
            <w:r w:rsidRPr="00075CC7">
              <w:rPr>
                <w:rFonts w:hint="cs"/>
                <w:b/>
                <w:bCs/>
                <w:sz w:val="32"/>
                <w:szCs w:val="32"/>
                <w:rtl/>
              </w:rPr>
              <w:t xml:space="preserve"> </w:t>
            </w:r>
            <w:r w:rsidRPr="00075CC7">
              <w:rPr>
                <w:b/>
                <w:bCs/>
                <w:sz w:val="32"/>
                <w:szCs w:val="32"/>
                <w:rtl/>
              </w:rPr>
              <w:t>12856-07-10</w:t>
            </w:r>
            <w:r w:rsidRPr="00075CC7">
              <w:rPr>
                <w:rFonts w:hint="cs"/>
                <w:b/>
                <w:bCs/>
                <w:sz w:val="32"/>
                <w:szCs w:val="32"/>
                <w:rtl/>
              </w:rPr>
              <w:t xml:space="preserve"> </w:t>
            </w:r>
          </w:p>
          <w:p w14:paraId="1CBDC2C3" w14:textId="77777777" w:rsidR="002B4DE6" w:rsidRPr="00075CC7" w:rsidRDefault="002B4DE6">
            <w:pPr>
              <w:pStyle w:val="a3"/>
              <w:jc w:val="right"/>
              <w:rPr>
                <w:rtl/>
              </w:rPr>
            </w:pPr>
          </w:p>
          <w:p w14:paraId="36E57261" w14:textId="77777777" w:rsidR="002B4DE6" w:rsidRPr="00075CC7" w:rsidRDefault="002B4DE6">
            <w:pPr>
              <w:pStyle w:val="a3"/>
              <w:jc w:val="right"/>
              <w:rPr>
                <w:b/>
                <w:bCs/>
                <w:sz w:val="32"/>
                <w:szCs w:val="32"/>
                <w:rtl/>
              </w:rPr>
            </w:pPr>
          </w:p>
        </w:tc>
      </w:tr>
      <w:tr w:rsidR="002B4DE6" w:rsidRPr="00075CC7" w14:paraId="7BB3318A" w14:textId="77777777">
        <w:trPr>
          <w:trHeight w:val="337"/>
          <w:jc w:val="center"/>
        </w:trPr>
        <w:tc>
          <w:tcPr>
            <w:tcW w:w="3753" w:type="dxa"/>
          </w:tcPr>
          <w:p w14:paraId="123347DF" w14:textId="77777777" w:rsidR="002B4DE6" w:rsidRPr="00075CC7" w:rsidRDefault="002B4DE6">
            <w:pPr>
              <w:rPr>
                <w:rFonts w:ascii="Arial" w:hAnsi="Arial"/>
                <w:b/>
                <w:bCs/>
                <w:sz w:val="28"/>
                <w:szCs w:val="28"/>
                <w:rtl/>
              </w:rPr>
            </w:pPr>
          </w:p>
          <w:p w14:paraId="5458F3D4" w14:textId="77777777" w:rsidR="002B4DE6" w:rsidRPr="00075CC7" w:rsidRDefault="00075CC7">
            <w:r w:rsidRPr="00075CC7">
              <w:rPr>
                <w:rFonts w:ascii="Arial" w:hAnsi="Arial" w:hint="cs"/>
                <w:b/>
                <w:bCs/>
                <w:sz w:val="28"/>
                <w:szCs w:val="28"/>
                <w:rtl/>
              </w:rPr>
              <w:t>ב</w:t>
            </w:r>
            <w:r w:rsidRPr="00075CC7">
              <w:rPr>
                <w:rFonts w:ascii="Arial" w:hAnsi="Arial"/>
                <w:b/>
                <w:bCs/>
                <w:sz w:val="28"/>
                <w:szCs w:val="28"/>
                <w:rtl/>
              </w:rPr>
              <w:t>פני</w:t>
            </w:r>
            <w:r w:rsidRPr="00075CC7">
              <w:rPr>
                <w:rFonts w:ascii="Arial" w:hAnsi="Arial" w:hint="cs"/>
                <w:b/>
                <w:bCs/>
                <w:sz w:val="28"/>
                <w:szCs w:val="28"/>
                <w:rtl/>
              </w:rPr>
              <w:t>: כב' ה</w:t>
            </w:r>
            <w:r w:rsidRPr="00075CC7">
              <w:rPr>
                <w:rFonts w:ascii="Arial" w:hAnsi="Arial"/>
                <w:b/>
                <w:bCs/>
                <w:sz w:val="28"/>
                <w:szCs w:val="28"/>
                <w:rtl/>
              </w:rPr>
              <w:t>שופט</w:t>
            </w:r>
            <w:r w:rsidRPr="00075CC7">
              <w:rPr>
                <w:rFonts w:ascii="Arial" w:hAnsi="Arial" w:hint="cs"/>
                <w:b/>
                <w:bCs/>
                <w:sz w:val="28"/>
                <w:szCs w:val="28"/>
                <w:rtl/>
              </w:rPr>
              <w:t xml:space="preserve"> </w:t>
            </w:r>
            <w:r w:rsidRPr="00075CC7">
              <w:rPr>
                <w:rFonts w:ascii="Arial" w:hAnsi="Arial"/>
                <w:b/>
                <w:bCs/>
                <w:sz w:val="28"/>
                <w:szCs w:val="28"/>
                <w:rtl/>
              </w:rPr>
              <w:t>אלכסנדר רון</w:t>
            </w:r>
          </w:p>
          <w:p w14:paraId="738EE03B" w14:textId="77777777" w:rsidR="002B4DE6" w:rsidRPr="00075CC7" w:rsidRDefault="002B4DE6">
            <w:pPr>
              <w:jc w:val="right"/>
              <w:rPr>
                <w:b/>
                <w:bCs/>
                <w:sz w:val="32"/>
                <w:szCs w:val="32"/>
              </w:rPr>
            </w:pPr>
          </w:p>
        </w:tc>
        <w:tc>
          <w:tcPr>
            <w:tcW w:w="4968" w:type="dxa"/>
            <w:gridSpan w:val="2"/>
          </w:tcPr>
          <w:p w14:paraId="4B3D3DEE" w14:textId="77777777" w:rsidR="002B4DE6" w:rsidRPr="00075CC7" w:rsidRDefault="002B4DE6">
            <w:pPr>
              <w:jc w:val="right"/>
              <w:rPr>
                <w:b/>
                <w:bCs/>
                <w:sz w:val="28"/>
                <w:szCs w:val="28"/>
                <w:rtl/>
              </w:rPr>
            </w:pPr>
          </w:p>
          <w:p w14:paraId="077DAF1A" w14:textId="77777777" w:rsidR="002B4DE6" w:rsidRPr="00075CC7" w:rsidRDefault="00075CC7">
            <w:pPr>
              <w:jc w:val="right"/>
              <w:rPr>
                <w:b/>
                <w:bCs/>
                <w:sz w:val="32"/>
                <w:szCs w:val="32"/>
                <w:rtl/>
              </w:rPr>
            </w:pPr>
            <w:r w:rsidRPr="00075CC7">
              <w:rPr>
                <w:rFonts w:hint="cs"/>
                <w:b/>
                <w:bCs/>
                <w:sz w:val="28"/>
                <w:szCs w:val="28"/>
                <w:rtl/>
              </w:rPr>
              <w:t xml:space="preserve">תאריך: כ"ו בחשון תשע"ה, 19 בנובמבר </w:t>
            </w:r>
            <w:r w:rsidRPr="00075CC7">
              <w:rPr>
                <w:b/>
                <w:bCs/>
                <w:sz w:val="28"/>
                <w:szCs w:val="28"/>
                <w:rtl/>
              </w:rPr>
              <w:t>2014</w:t>
            </w:r>
          </w:p>
        </w:tc>
      </w:tr>
    </w:tbl>
    <w:p w14:paraId="248064B5" w14:textId="77777777" w:rsidR="002B4DE6" w:rsidRPr="00075CC7" w:rsidRDefault="00075CC7">
      <w:pPr>
        <w:pStyle w:val="a3"/>
        <w:rPr>
          <w:rtl/>
        </w:rPr>
      </w:pPr>
      <w:r w:rsidRPr="00075CC7">
        <w:rPr>
          <w:rFonts w:hint="cs"/>
          <w:rtl/>
        </w:rPr>
        <w:t xml:space="preserve"> </w:t>
      </w:r>
    </w:p>
    <w:p w14:paraId="6CA44B0B" w14:textId="77777777" w:rsidR="002B4DE6" w:rsidRPr="00075CC7" w:rsidRDefault="002B4DE6">
      <w:pPr>
        <w:pStyle w:val="a4"/>
        <w:rPr>
          <w:b/>
          <w:bCs/>
          <w:rtl/>
        </w:rPr>
      </w:pPr>
    </w:p>
    <w:tbl>
      <w:tblPr>
        <w:bidiVisual/>
        <w:tblW w:w="0" w:type="auto"/>
        <w:tblInd w:w="56" w:type="dxa"/>
        <w:tblLayout w:type="fixed"/>
        <w:tblCellMar>
          <w:left w:w="107" w:type="dxa"/>
          <w:right w:w="107" w:type="dxa"/>
        </w:tblCellMar>
        <w:tblLook w:val="0000" w:firstRow="0" w:lastRow="0" w:firstColumn="0" w:lastColumn="0" w:noHBand="0" w:noVBand="0"/>
      </w:tblPr>
      <w:tblGrid>
        <w:gridCol w:w="1276"/>
        <w:gridCol w:w="5101"/>
        <w:gridCol w:w="2129"/>
      </w:tblGrid>
      <w:tr w:rsidR="002B4DE6" w:rsidRPr="00075CC7" w14:paraId="6172A6C8" w14:textId="77777777">
        <w:tc>
          <w:tcPr>
            <w:tcW w:w="1276" w:type="dxa"/>
          </w:tcPr>
          <w:p w14:paraId="75DFD649" w14:textId="77777777" w:rsidR="002B4DE6" w:rsidRPr="00075CC7" w:rsidRDefault="00075CC7">
            <w:pPr>
              <w:pStyle w:val="a4"/>
              <w:spacing w:line="360" w:lineRule="auto"/>
              <w:jc w:val="both"/>
              <w:rPr>
                <w:b/>
                <w:bCs/>
                <w:szCs w:val="26"/>
              </w:rPr>
            </w:pPr>
            <w:bookmarkStart w:id="1" w:name="FirstAppellant"/>
            <w:r w:rsidRPr="00075CC7">
              <w:rPr>
                <w:rFonts w:hint="cs"/>
                <w:b/>
                <w:bCs/>
                <w:rtl/>
              </w:rPr>
              <w:t>בעניין:</w:t>
            </w:r>
          </w:p>
        </w:tc>
        <w:tc>
          <w:tcPr>
            <w:tcW w:w="5101" w:type="dxa"/>
          </w:tcPr>
          <w:p w14:paraId="272CA0F0" w14:textId="77777777" w:rsidR="002B4DE6" w:rsidRPr="00075CC7" w:rsidRDefault="00075CC7">
            <w:pPr>
              <w:pStyle w:val="a4"/>
              <w:rPr>
                <w:b/>
                <w:bCs/>
                <w:rtl/>
              </w:rPr>
            </w:pPr>
            <w:r w:rsidRPr="00075CC7">
              <w:rPr>
                <w:rFonts w:hint="cs"/>
                <w:b/>
                <w:bCs/>
                <w:rtl/>
              </w:rPr>
              <w:t>מדינת ישראל</w:t>
            </w:r>
          </w:p>
          <w:p w14:paraId="7626D8BF" w14:textId="77777777" w:rsidR="002B4DE6" w:rsidRPr="00075CC7" w:rsidRDefault="002B4DE6">
            <w:pPr>
              <w:pStyle w:val="a4"/>
              <w:rPr>
                <w:b/>
                <w:bCs/>
              </w:rPr>
            </w:pPr>
          </w:p>
        </w:tc>
        <w:tc>
          <w:tcPr>
            <w:tcW w:w="2129" w:type="dxa"/>
          </w:tcPr>
          <w:p w14:paraId="4B56151E" w14:textId="77777777" w:rsidR="002B4DE6" w:rsidRPr="00075CC7" w:rsidRDefault="002B4DE6">
            <w:pPr>
              <w:pStyle w:val="a4"/>
              <w:rPr>
                <w:b/>
                <w:bCs/>
                <w:rtl/>
              </w:rPr>
            </w:pPr>
          </w:p>
          <w:p w14:paraId="4074F1F2" w14:textId="77777777" w:rsidR="002B4DE6" w:rsidRPr="00075CC7" w:rsidRDefault="00075CC7">
            <w:pPr>
              <w:pStyle w:val="a4"/>
              <w:rPr>
                <w:b/>
                <w:bCs/>
              </w:rPr>
            </w:pPr>
            <w:r w:rsidRPr="00075CC7">
              <w:rPr>
                <w:rFonts w:hint="cs"/>
                <w:b/>
                <w:bCs/>
                <w:rtl/>
              </w:rPr>
              <w:t>המאשימה</w:t>
            </w:r>
          </w:p>
        </w:tc>
      </w:tr>
      <w:bookmarkEnd w:id="1"/>
      <w:tr w:rsidR="002B4DE6" w:rsidRPr="00075CC7" w14:paraId="2EB10CED" w14:textId="77777777">
        <w:tc>
          <w:tcPr>
            <w:tcW w:w="1276" w:type="dxa"/>
          </w:tcPr>
          <w:p w14:paraId="067526A5" w14:textId="77777777" w:rsidR="002B4DE6" w:rsidRPr="00075CC7" w:rsidRDefault="002B4DE6">
            <w:pPr>
              <w:pStyle w:val="a4"/>
              <w:rPr>
                <w:b/>
                <w:bCs/>
              </w:rPr>
            </w:pPr>
          </w:p>
        </w:tc>
        <w:tc>
          <w:tcPr>
            <w:tcW w:w="5101" w:type="dxa"/>
          </w:tcPr>
          <w:p w14:paraId="57582F34" w14:textId="77777777" w:rsidR="002B4DE6" w:rsidRPr="00075CC7" w:rsidRDefault="002B4DE6">
            <w:pPr>
              <w:pStyle w:val="a4"/>
              <w:jc w:val="center"/>
              <w:rPr>
                <w:b/>
                <w:bCs/>
                <w:rtl/>
              </w:rPr>
            </w:pPr>
          </w:p>
          <w:p w14:paraId="6D17BE9F" w14:textId="77777777" w:rsidR="002B4DE6" w:rsidRPr="00075CC7" w:rsidRDefault="00075CC7">
            <w:pPr>
              <w:pStyle w:val="a4"/>
              <w:jc w:val="center"/>
              <w:rPr>
                <w:b/>
                <w:bCs/>
                <w:rtl/>
              </w:rPr>
            </w:pPr>
            <w:r w:rsidRPr="00075CC7">
              <w:rPr>
                <w:rFonts w:hint="cs"/>
                <w:b/>
                <w:bCs/>
                <w:rtl/>
              </w:rPr>
              <w:t xml:space="preserve">              -  נ  ג  ד  -  </w:t>
            </w:r>
          </w:p>
          <w:p w14:paraId="42F8C6B5" w14:textId="77777777" w:rsidR="002B4DE6" w:rsidRPr="00075CC7" w:rsidRDefault="002B4DE6">
            <w:pPr>
              <w:pStyle w:val="a4"/>
              <w:jc w:val="center"/>
              <w:rPr>
                <w:b/>
                <w:bCs/>
                <w:rtl/>
              </w:rPr>
            </w:pPr>
          </w:p>
          <w:p w14:paraId="5CEBEBCA" w14:textId="77777777" w:rsidR="002B4DE6" w:rsidRPr="00075CC7" w:rsidRDefault="00075CC7">
            <w:pPr>
              <w:rPr>
                <w:b/>
                <w:bCs/>
                <w:rtl/>
              </w:rPr>
            </w:pPr>
            <w:r w:rsidRPr="00075CC7">
              <w:rPr>
                <w:rFonts w:hint="cs"/>
                <w:b/>
                <w:bCs/>
                <w:rtl/>
              </w:rPr>
              <w:t xml:space="preserve"> דניאל אליעז </w:t>
            </w:r>
          </w:p>
          <w:p w14:paraId="61C17CA6" w14:textId="77777777" w:rsidR="002B4DE6" w:rsidRPr="00075CC7" w:rsidRDefault="002B4DE6">
            <w:pPr>
              <w:rPr>
                <w:b/>
                <w:bCs/>
              </w:rPr>
            </w:pPr>
          </w:p>
        </w:tc>
        <w:tc>
          <w:tcPr>
            <w:tcW w:w="2129" w:type="dxa"/>
          </w:tcPr>
          <w:p w14:paraId="56D7C518" w14:textId="77777777" w:rsidR="002B4DE6" w:rsidRPr="00075CC7" w:rsidRDefault="002B4DE6">
            <w:pPr>
              <w:pStyle w:val="a4"/>
              <w:rPr>
                <w:b/>
                <w:bCs/>
              </w:rPr>
            </w:pPr>
          </w:p>
        </w:tc>
      </w:tr>
      <w:tr w:rsidR="002B4DE6" w:rsidRPr="00075CC7" w14:paraId="552FE8A4" w14:textId="77777777">
        <w:tc>
          <w:tcPr>
            <w:tcW w:w="1276" w:type="dxa"/>
          </w:tcPr>
          <w:p w14:paraId="5949A674" w14:textId="77777777" w:rsidR="002B4DE6" w:rsidRPr="00075CC7" w:rsidRDefault="002B4DE6">
            <w:pPr>
              <w:pStyle w:val="a4"/>
              <w:rPr>
                <w:b/>
                <w:bCs/>
                <w:szCs w:val="26"/>
              </w:rPr>
            </w:pPr>
          </w:p>
        </w:tc>
        <w:tc>
          <w:tcPr>
            <w:tcW w:w="5101" w:type="dxa"/>
          </w:tcPr>
          <w:p w14:paraId="79839F7B" w14:textId="77777777" w:rsidR="002B4DE6" w:rsidRPr="00075CC7" w:rsidRDefault="002B4DE6">
            <w:pPr>
              <w:pStyle w:val="a4"/>
              <w:rPr>
                <w:b/>
                <w:bCs/>
              </w:rPr>
            </w:pPr>
          </w:p>
        </w:tc>
        <w:tc>
          <w:tcPr>
            <w:tcW w:w="2129" w:type="dxa"/>
          </w:tcPr>
          <w:p w14:paraId="498A2EBD" w14:textId="77777777" w:rsidR="002B4DE6" w:rsidRPr="00075CC7" w:rsidRDefault="00075CC7">
            <w:pPr>
              <w:pStyle w:val="a4"/>
              <w:rPr>
                <w:b/>
                <w:bCs/>
              </w:rPr>
            </w:pPr>
            <w:r w:rsidRPr="00075CC7">
              <w:rPr>
                <w:rFonts w:hint="cs"/>
                <w:b/>
                <w:bCs/>
                <w:rtl/>
              </w:rPr>
              <w:t>הנאשם</w:t>
            </w:r>
          </w:p>
        </w:tc>
      </w:tr>
    </w:tbl>
    <w:p w14:paraId="29FCCF92" w14:textId="77777777" w:rsidR="002B4DE6" w:rsidRPr="00075CC7" w:rsidRDefault="00075CC7">
      <w:pPr>
        <w:pStyle w:val="a4"/>
        <w:rPr>
          <w:b/>
          <w:bCs/>
          <w:rtl/>
        </w:rPr>
      </w:pPr>
      <w:r w:rsidRPr="00075CC7">
        <w:rPr>
          <w:rFonts w:hint="cs"/>
          <w:b/>
          <w:bCs/>
          <w:rtl/>
        </w:rPr>
        <w:t xml:space="preserve">נוכחים: </w:t>
      </w:r>
    </w:p>
    <w:p w14:paraId="62B3CE68" w14:textId="77777777" w:rsidR="002B4DE6" w:rsidRPr="00075CC7" w:rsidRDefault="00075CC7">
      <w:pPr>
        <w:pStyle w:val="a4"/>
        <w:rPr>
          <w:b/>
          <w:bCs/>
          <w:rtl/>
        </w:rPr>
      </w:pPr>
      <w:bookmarkStart w:id="2" w:name="FirstLawyer"/>
      <w:r w:rsidRPr="00075CC7">
        <w:rPr>
          <w:rFonts w:hint="cs"/>
          <w:b/>
          <w:bCs/>
          <w:rtl/>
        </w:rPr>
        <w:t>ב"כ</w:t>
      </w:r>
      <w:bookmarkEnd w:id="2"/>
      <w:r w:rsidRPr="00075CC7">
        <w:rPr>
          <w:rFonts w:hint="cs"/>
          <w:b/>
          <w:bCs/>
          <w:rtl/>
        </w:rPr>
        <w:t xml:space="preserve"> המאשימה: עו"ד שרית דרור</w:t>
      </w:r>
    </w:p>
    <w:p w14:paraId="270258BB" w14:textId="77777777" w:rsidR="002B4DE6" w:rsidRPr="00075CC7" w:rsidRDefault="00075CC7">
      <w:pPr>
        <w:pStyle w:val="a4"/>
        <w:rPr>
          <w:b/>
          <w:bCs/>
        </w:rPr>
      </w:pPr>
      <w:r w:rsidRPr="00075CC7">
        <w:rPr>
          <w:rFonts w:hint="cs"/>
          <w:b/>
          <w:bCs/>
          <w:rtl/>
        </w:rPr>
        <w:t>הנאשם ובא כוחו עו"ד ליאור פרי</w:t>
      </w:r>
    </w:p>
    <w:p w14:paraId="2012B575" w14:textId="77777777" w:rsidR="002B4DE6" w:rsidRPr="00075CC7" w:rsidRDefault="002B4DE6">
      <w:pPr>
        <w:rPr>
          <w:rtl/>
        </w:rPr>
      </w:pPr>
    </w:p>
    <w:tbl>
      <w:tblPr>
        <w:bidiVisual/>
        <w:tblW w:w="0" w:type="auto"/>
        <w:tblInd w:w="56" w:type="dxa"/>
        <w:tblLayout w:type="fixed"/>
        <w:tblCellMar>
          <w:left w:w="107" w:type="dxa"/>
          <w:right w:w="107" w:type="dxa"/>
        </w:tblCellMar>
        <w:tblLook w:val="0000" w:firstRow="0" w:lastRow="0" w:firstColumn="0" w:lastColumn="0" w:noHBand="0" w:noVBand="0"/>
      </w:tblPr>
      <w:tblGrid>
        <w:gridCol w:w="1276"/>
        <w:gridCol w:w="7230"/>
      </w:tblGrid>
      <w:tr w:rsidR="002B4DE6" w:rsidRPr="00075CC7" w14:paraId="68C8A599" w14:textId="77777777">
        <w:tc>
          <w:tcPr>
            <w:tcW w:w="1276" w:type="dxa"/>
          </w:tcPr>
          <w:p w14:paraId="08C813D6" w14:textId="77777777" w:rsidR="002B4DE6" w:rsidRPr="00075CC7" w:rsidRDefault="002B4DE6">
            <w:pPr>
              <w:pStyle w:val="a4"/>
              <w:rPr>
                <w:b/>
                <w:bCs/>
              </w:rPr>
            </w:pPr>
          </w:p>
        </w:tc>
        <w:tc>
          <w:tcPr>
            <w:tcW w:w="7230" w:type="dxa"/>
          </w:tcPr>
          <w:p w14:paraId="7EADB368" w14:textId="77777777" w:rsidR="002B4DE6" w:rsidRPr="00075CC7" w:rsidRDefault="002B4DE6">
            <w:pPr>
              <w:pStyle w:val="a4"/>
              <w:rPr>
                <w:b/>
                <w:bCs/>
              </w:rPr>
            </w:pPr>
          </w:p>
        </w:tc>
      </w:tr>
    </w:tbl>
    <w:p w14:paraId="7485D27E" w14:textId="77777777" w:rsidR="00230230" w:rsidRDefault="00230230">
      <w:pPr>
        <w:rPr>
          <w:rtl/>
        </w:rPr>
      </w:pPr>
      <w:bookmarkStart w:id="3" w:name="LawTable"/>
      <w:bookmarkEnd w:id="3"/>
    </w:p>
    <w:p w14:paraId="4CE92BE6" w14:textId="77777777" w:rsidR="00230230" w:rsidRPr="00230230" w:rsidRDefault="00230230" w:rsidP="00230230">
      <w:pPr>
        <w:spacing w:after="120" w:line="240" w:lineRule="exact"/>
        <w:ind w:left="283" w:hanging="283"/>
        <w:jc w:val="both"/>
        <w:rPr>
          <w:rFonts w:ascii="FrankRuehl" w:hAnsi="FrankRuehl" w:cs="FrankRuehl"/>
          <w:rtl/>
        </w:rPr>
      </w:pPr>
    </w:p>
    <w:p w14:paraId="284607C6" w14:textId="77777777" w:rsidR="00230230" w:rsidRPr="00230230" w:rsidRDefault="00230230" w:rsidP="00230230">
      <w:pPr>
        <w:spacing w:after="120" w:line="240" w:lineRule="exact"/>
        <w:ind w:left="283" w:hanging="283"/>
        <w:jc w:val="both"/>
        <w:rPr>
          <w:rFonts w:ascii="FrankRuehl" w:hAnsi="FrankRuehl" w:cs="FrankRuehl"/>
          <w:rtl/>
        </w:rPr>
      </w:pPr>
      <w:r w:rsidRPr="00230230">
        <w:rPr>
          <w:rFonts w:ascii="FrankRuehl" w:hAnsi="FrankRuehl" w:cs="FrankRuehl"/>
          <w:rtl/>
        </w:rPr>
        <w:t xml:space="preserve">חקיקה שאוזכרה: </w:t>
      </w:r>
    </w:p>
    <w:p w14:paraId="21A4FC04" w14:textId="77777777" w:rsidR="00230230" w:rsidRPr="00230230" w:rsidRDefault="00230230" w:rsidP="00230230">
      <w:pPr>
        <w:spacing w:after="120" w:line="240" w:lineRule="exact"/>
        <w:ind w:left="283" w:hanging="283"/>
        <w:jc w:val="both"/>
        <w:rPr>
          <w:rFonts w:ascii="FrankRuehl" w:hAnsi="FrankRuehl" w:cs="FrankRuehl"/>
          <w:rtl/>
        </w:rPr>
      </w:pPr>
      <w:hyperlink r:id="rId6" w:history="1">
        <w:r w:rsidRPr="00230230">
          <w:rPr>
            <w:rFonts w:ascii="FrankRuehl" w:hAnsi="FrankRuehl" w:cs="FrankRuehl"/>
            <w:color w:val="0000FF"/>
            <w:u w:val="single"/>
            <w:rtl/>
          </w:rPr>
          <w:t>פקודת הסמים המסוכנים [נוסח חדש], תשל"ג-1973</w:t>
        </w:r>
      </w:hyperlink>
      <w:r w:rsidRPr="00230230">
        <w:rPr>
          <w:rFonts w:ascii="FrankRuehl" w:hAnsi="FrankRuehl" w:cs="FrankRuehl"/>
          <w:rtl/>
        </w:rPr>
        <w:t xml:space="preserve">: סע'  </w:t>
      </w:r>
      <w:hyperlink r:id="rId7" w:history="1">
        <w:r w:rsidRPr="00230230">
          <w:rPr>
            <w:rFonts w:ascii="FrankRuehl" w:hAnsi="FrankRuehl" w:cs="FrankRuehl"/>
            <w:color w:val="0000FF"/>
            <w:u w:val="single"/>
            <w:rtl/>
          </w:rPr>
          <w:t>37א(א1)</w:t>
        </w:r>
      </w:hyperlink>
    </w:p>
    <w:p w14:paraId="5164EB10" w14:textId="77777777" w:rsidR="00230230" w:rsidRPr="00230230" w:rsidRDefault="00230230" w:rsidP="00230230">
      <w:pPr>
        <w:spacing w:after="120" w:line="240" w:lineRule="exact"/>
        <w:ind w:left="283" w:hanging="283"/>
        <w:jc w:val="both"/>
        <w:rPr>
          <w:rFonts w:ascii="FrankRuehl" w:hAnsi="FrankRuehl" w:cs="FrankRuehl"/>
          <w:rtl/>
        </w:rPr>
      </w:pPr>
    </w:p>
    <w:p w14:paraId="279A94D6" w14:textId="77777777" w:rsidR="00075CC7" w:rsidRPr="00075CC7" w:rsidRDefault="00075CC7" w:rsidP="00075CC7">
      <w:pPr>
        <w:spacing w:line="480" w:lineRule="auto"/>
        <w:jc w:val="center"/>
        <w:rPr>
          <w:rFonts w:ascii="Arial" w:hAnsi="Arial"/>
          <w:b/>
          <w:bCs/>
          <w:sz w:val="36"/>
          <w:szCs w:val="36"/>
          <w:u w:val="single"/>
          <w:rtl/>
        </w:rPr>
      </w:pPr>
      <w:bookmarkStart w:id="4" w:name="LawTable_End"/>
      <w:bookmarkStart w:id="5" w:name="PsakDin"/>
      <w:bookmarkEnd w:id="0"/>
      <w:bookmarkEnd w:id="4"/>
      <w:r w:rsidRPr="00075CC7">
        <w:rPr>
          <w:rFonts w:ascii="Arial" w:hAnsi="Arial"/>
          <w:b/>
          <w:bCs/>
          <w:sz w:val="36"/>
          <w:szCs w:val="36"/>
          <w:u w:val="single"/>
          <w:rtl/>
        </w:rPr>
        <w:t>גזר דין</w:t>
      </w:r>
    </w:p>
    <w:bookmarkEnd w:id="5"/>
    <w:p w14:paraId="704CAF47" w14:textId="77777777" w:rsidR="002B4DE6" w:rsidRDefault="002B4DE6">
      <w:pPr>
        <w:spacing w:line="480" w:lineRule="auto"/>
        <w:jc w:val="both"/>
        <w:rPr>
          <w:rFonts w:ascii="Arial" w:hAnsi="Arial"/>
          <w:rtl/>
        </w:rPr>
      </w:pPr>
    </w:p>
    <w:p w14:paraId="48ED3951" w14:textId="77777777" w:rsidR="002B4DE6" w:rsidRDefault="00075CC7">
      <w:pPr>
        <w:spacing w:line="480" w:lineRule="auto"/>
        <w:ind w:left="510" w:hanging="510"/>
        <w:jc w:val="both"/>
        <w:rPr>
          <w:rtl/>
        </w:rPr>
      </w:pPr>
      <w:r>
        <w:rPr>
          <w:rtl/>
        </w:rPr>
        <w:t>1.</w:t>
      </w:r>
      <w:r>
        <w:rPr>
          <w:rFonts w:hint="cs"/>
          <w:rtl/>
        </w:rPr>
        <w:tab/>
      </w:r>
      <w:bookmarkStart w:id="6" w:name="ABSTRACT_START"/>
      <w:bookmarkEnd w:id="6"/>
      <w:r>
        <w:rPr>
          <w:rFonts w:hint="cs"/>
          <w:rtl/>
        </w:rPr>
        <w:t xml:space="preserve">הנאשם הורשע על פי הודאתו בכתב אישום (מתוקן) המייחס לו החזקת 4,562 גר' קנביס, זאת, לאחר שגידל את הסם בתשע שורות בערוגות ביתו. יודגש, שעל פי כתב האישום (המתוקן), נועד הסם לצריכתו העצמית.  </w:t>
      </w:r>
    </w:p>
    <w:p w14:paraId="4FBCC273" w14:textId="77777777" w:rsidR="002B4DE6" w:rsidRDefault="002B4DE6">
      <w:pPr>
        <w:spacing w:line="480" w:lineRule="auto"/>
        <w:jc w:val="both"/>
        <w:rPr>
          <w:rtl/>
        </w:rPr>
      </w:pPr>
      <w:bookmarkStart w:id="7" w:name="ABSTRACT_END"/>
      <w:bookmarkEnd w:id="7"/>
    </w:p>
    <w:p w14:paraId="177C9072" w14:textId="77777777" w:rsidR="002B4DE6" w:rsidRDefault="00075CC7">
      <w:pPr>
        <w:spacing w:line="480" w:lineRule="auto"/>
        <w:ind w:left="510" w:hanging="510"/>
        <w:jc w:val="both"/>
        <w:rPr>
          <w:rtl/>
        </w:rPr>
      </w:pPr>
      <w:r>
        <w:rPr>
          <w:rtl/>
        </w:rPr>
        <w:t>2.</w:t>
      </w:r>
      <w:r>
        <w:rPr>
          <w:rFonts w:hint="cs"/>
          <w:rtl/>
        </w:rPr>
        <w:tab/>
        <w:t xml:space="preserve">עמדת המאשימה למאסר בפועל. בתוך כך נמצא לציין, שלחובת הנאשם 18 הרשעות קודמות, אם כי רובן המכריע מלפני שנים רבות. </w:t>
      </w:r>
    </w:p>
    <w:p w14:paraId="20BE10A6" w14:textId="77777777" w:rsidR="002B4DE6" w:rsidRDefault="002B4DE6">
      <w:pPr>
        <w:spacing w:line="480" w:lineRule="auto"/>
        <w:jc w:val="both"/>
        <w:rPr>
          <w:rtl/>
        </w:rPr>
      </w:pPr>
    </w:p>
    <w:p w14:paraId="369182BA" w14:textId="77777777" w:rsidR="002B4DE6" w:rsidRDefault="00075CC7">
      <w:pPr>
        <w:spacing w:line="480" w:lineRule="auto"/>
        <w:ind w:left="510" w:hanging="510"/>
        <w:jc w:val="both"/>
        <w:rPr>
          <w:rtl/>
        </w:rPr>
      </w:pPr>
      <w:r>
        <w:rPr>
          <w:rtl/>
        </w:rPr>
        <w:lastRenderedPageBreak/>
        <w:t>3.</w:t>
      </w:r>
      <w:r>
        <w:rPr>
          <w:rFonts w:hint="cs"/>
          <w:rtl/>
        </w:rPr>
        <w:tab/>
        <w:t xml:space="preserve">במוקד הדיון טענת הנאשם שנזקקותו לקנביס הינה מטעמים רפואיים, וגם אם אין בידו היתר לדבר, על בית המשפט, על פי הנטען, לתת לעובדה זו משקל רב. ומעבר לאמור, נמצא לנכון להרחיב בדיון בטענות אלה, ולהוסיף כדלקמן: </w:t>
      </w:r>
    </w:p>
    <w:p w14:paraId="0750EBEC" w14:textId="77777777" w:rsidR="002B4DE6" w:rsidRDefault="002B4DE6">
      <w:pPr>
        <w:spacing w:line="480" w:lineRule="auto"/>
        <w:ind w:left="510" w:hanging="510"/>
        <w:jc w:val="both"/>
        <w:rPr>
          <w:rtl/>
        </w:rPr>
      </w:pPr>
    </w:p>
    <w:p w14:paraId="467761C0" w14:textId="77777777" w:rsidR="002B4DE6" w:rsidRDefault="00075CC7">
      <w:pPr>
        <w:spacing w:line="480" w:lineRule="auto"/>
        <w:ind w:left="1440" w:hanging="930"/>
        <w:jc w:val="both"/>
        <w:rPr>
          <w:rtl/>
        </w:rPr>
      </w:pPr>
      <w:r>
        <w:rPr>
          <w:rFonts w:hint="cs"/>
          <w:rtl/>
        </w:rPr>
        <w:t xml:space="preserve">א. </w:t>
      </w:r>
      <w:r>
        <w:rPr>
          <w:rFonts w:hint="cs"/>
          <w:rtl/>
        </w:rPr>
        <w:tab/>
        <w:t xml:space="preserve">הנאשם הודה במיוחס לו בכתב האישום המתוקן והורשע בהתאם ביום 11.5.2011 </w:t>
      </w:r>
      <w:r>
        <w:rPr>
          <w:rtl/>
        </w:rPr>
        <w:t>–</w:t>
      </w:r>
      <w:r>
        <w:rPr>
          <w:rFonts w:hint="cs"/>
          <w:rtl/>
        </w:rPr>
        <w:t xml:space="preserve"> לפני כשלש שנים וחצי. בד בבד הוזמן תסקיר, ולפני כשלש שנים, בין היתר, על בסיס התסקיר, כבר פנו הצדדים לטיעון לעונש (ראה פרוטוקול הדיון מיום 5.10.2011). </w:t>
      </w:r>
    </w:p>
    <w:p w14:paraId="6CEDD23F" w14:textId="77777777" w:rsidR="002B4DE6" w:rsidRDefault="002B4DE6">
      <w:pPr>
        <w:spacing w:line="480" w:lineRule="auto"/>
        <w:ind w:left="1440" w:hanging="930"/>
        <w:jc w:val="both"/>
        <w:rPr>
          <w:rtl/>
        </w:rPr>
      </w:pPr>
    </w:p>
    <w:p w14:paraId="7AA7B05F" w14:textId="77777777" w:rsidR="002B4DE6" w:rsidRDefault="00075CC7">
      <w:pPr>
        <w:spacing w:line="480" w:lineRule="auto"/>
        <w:ind w:left="1440" w:hanging="930"/>
        <w:jc w:val="both"/>
        <w:rPr>
          <w:rtl/>
        </w:rPr>
      </w:pPr>
      <w:r>
        <w:rPr>
          <w:rFonts w:hint="cs"/>
          <w:rtl/>
        </w:rPr>
        <w:t xml:space="preserve">ב. </w:t>
      </w:r>
      <w:r>
        <w:rPr>
          <w:rFonts w:hint="cs"/>
          <w:rtl/>
        </w:rPr>
        <w:tab/>
        <w:t xml:space="preserve">במוקד הנטען, כאמור, הנזקקות של הנאשם, לטענתו, לקנביס רפואי. נוכח זאת, נתן בית המשפט את דעתו לדבר, וימים ספורים לאחר הטיעון לעונש ניתנה החלטה שבמרכזה תפיסת בית המשפט, לפיה, אם וככל שעל הפרק מהלך שנועד להשגת אישור לשימוש בקנביס רפואי, ייתכן שהגון, גם אם במידה רבה לפנים משורת הדין, לאשר ארכה להשגת אישור זה, ובית המשפט העמיד את השאלה לתגובת ההגנה, תוך הבהרה, כי, בהינתן, שתסבור ההגנה לנצל את הארכה, ייוותרו במקביל תנאי מעצר הבית המלא על כנם (ראה החלטה מיום 9.10.2011). </w:t>
      </w:r>
    </w:p>
    <w:p w14:paraId="0E262586" w14:textId="77777777" w:rsidR="002B4DE6" w:rsidRDefault="002B4DE6">
      <w:pPr>
        <w:spacing w:line="480" w:lineRule="auto"/>
        <w:ind w:left="1440" w:hanging="930"/>
        <w:jc w:val="both"/>
        <w:rPr>
          <w:rtl/>
        </w:rPr>
      </w:pPr>
    </w:p>
    <w:p w14:paraId="687A46A4" w14:textId="77777777" w:rsidR="002B4DE6" w:rsidRDefault="00075CC7">
      <w:pPr>
        <w:spacing w:line="480" w:lineRule="auto"/>
        <w:ind w:left="1440" w:hanging="930"/>
        <w:jc w:val="both"/>
        <w:rPr>
          <w:rtl/>
        </w:rPr>
      </w:pPr>
      <w:r>
        <w:rPr>
          <w:rFonts w:hint="cs"/>
          <w:rtl/>
        </w:rPr>
        <w:t xml:space="preserve">ג. </w:t>
      </w:r>
      <w:r>
        <w:rPr>
          <w:rFonts w:hint="cs"/>
          <w:rtl/>
        </w:rPr>
        <w:tab/>
        <w:t xml:space="preserve">הנאשם אכן חפץ באפשרות זאת. מעצר הבית המלא נותר על כנו, ובהמשך התפתחו הליכים להשגת האישור. אלה, אינם מענייני, ובאופן כללי, על פי דברים שהובאו בפני, היו מספר פניות למשרד הבריאות, בין לבין גם עתירה לבית המשפט הגבוה לצדק, שאמר את דברו באחת מהשאלות הכרוכות שהונחו על שולחנו, ההליכים הוסיפו ונמשכו, הזמן חלף, ולבסוף הגיעו כל הצדדים כדי מסקנה, שגם אם ההליך לקבלת היתר לשימוש בקנביס רפואי טרם מיצה את עצמו, יש להוביל את ההליך דנן לגמר, תוך מתן אפשרות לצדדים להשלים ולעדכן את טיעוניהם לעונש בהם הוחל, כאמור, לפני כשלש שנים. </w:t>
      </w:r>
    </w:p>
    <w:p w14:paraId="35F4EDED" w14:textId="77777777" w:rsidR="002B4DE6" w:rsidRDefault="002B4DE6">
      <w:pPr>
        <w:spacing w:line="480" w:lineRule="auto"/>
        <w:ind w:left="1440" w:hanging="930"/>
        <w:jc w:val="both"/>
        <w:rPr>
          <w:rtl/>
        </w:rPr>
      </w:pPr>
    </w:p>
    <w:p w14:paraId="1058699A" w14:textId="77777777" w:rsidR="002B4DE6" w:rsidRDefault="00075CC7">
      <w:pPr>
        <w:spacing w:line="480" w:lineRule="auto"/>
        <w:ind w:left="1440" w:hanging="930"/>
        <w:jc w:val="both"/>
        <w:rPr>
          <w:rtl/>
        </w:rPr>
      </w:pPr>
      <w:r>
        <w:rPr>
          <w:rFonts w:hint="cs"/>
          <w:rtl/>
        </w:rPr>
        <w:lastRenderedPageBreak/>
        <w:t xml:space="preserve">ד. </w:t>
      </w:r>
      <w:r>
        <w:rPr>
          <w:rFonts w:hint="cs"/>
          <w:rtl/>
        </w:rPr>
        <w:tab/>
        <w:t xml:space="preserve">בתוך כך עלתה לדיון גם תקופת מעצר הבית שראשיתה באיזוק אלקטרוני בכפוף  ל'חלונות', ובהמשך, לרבות בהתערבות ערכאת הערעור, ניתנו הקלות מסוימות. בית המשפט אף הורה לצדדים להגיש הודעה מוסכמת שתפרט את תמונת המצב בכל הקשור למעצר הבית על שלביו השונים, וזאת על יסוד הנחה, שכשברקע תקופת מעצר בית כה ממושכת, ראוי שתהא בפני בית המשפט תמונת מצב עדכנית. על שולחני, אכן, הודעה כאמור. בתמצית הדברים, יש בהודעה זו, מן הצד האחד,  כדי ללמד על תקופת מעצר בית ממושכת לכאורה, חלקה הראשון אף כמעצר בית מלא באזוק אלקטרוני, אך במקביל על הפרק נאשם שכבר ממועד סמוך לתחילת מעצר הבית הותר לו לצאת כל יום, בתחילה לצרכים רפואיים, ובהמשך ביתר גמישות. לחובתו, אף נרשמו, ככל הנראה, הפרות לא מועטות, גם אם סברה המאשימה להימנע מהליכים ומבקשה לעיון חוזר בשל כך. כהערה שיש בה כדי להקדים במעט את המשך הדברים יצוין שמתקופת מעצר הבית הממושכת לא אתעלם, אך נוכח היקף החלונות, הגמישויות וההפרות, משקלו של מעצר הבית כטיעון לקולא, עתיד להיות מוגבל. </w:t>
      </w:r>
    </w:p>
    <w:p w14:paraId="2AD7FDE2" w14:textId="77777777" w:rsidR="002B4DE6" w:rsidRDefault="002B4DE6">
      <w:pPr>
        <w:spacing w:line="480" w:lineRule="auto"/>
        <w:ind w:left="1440" w:hanging="930"/>
        <w:jc w:val="both"/>
        <w:rPr>
          <w:rtl/>
        </w:rPr>
      </w:pPr>
    </w:p>
    <w:p w14:paraId="3B337EC6" w14:textId="77777777" w:rsidR="002B4DE6" w:rsidRDefault="00075CC7">
      <w:pPr>
        <w:spacing w:line="480" w:lineRule="auto"/>
        <w:ind w:left="1440" w:hanging="930"/>
        <w:jc w:val="both"/>
        <w:rPr>
          <w:rtl/>
        </w:rPr>
      </w:pPr>
      <w:r>
        <w:rPr>
          <w:rFonts w:hint="cs"/>
          <w:rtl/>
        </w:rPr>
        <w:t xml:space="preserve">ה. </w:t>
      </w:r>
      <w:r>
        <w:rPr>
          <w:rFonts w:hint="cs"/>
          <w:rtl/>
        </w:rPr>
        <w:tab/>
        <w:t xml:space="preserve">ואולם, הגם שסבר בית המשפט לפרט את תמונת המצב הכוללת, נמצא להדגיש שעובר למתן גזר דין זה, אין בנמצא היתר ממשרד הבריאות. ככל שהובא לידיעתי, אחד הגורמים המרכזים הניצבים בדרך לקבלת ההיתר המבוקש, נושא שאף גרם רבות להתמשכות הטיפול בנושא, יסודו בעובדה שעל הפרק נאשם הלוקה גם במישור הפסיכיאטרי. ככלל, עצם קיומן של בעיות רפואיות במישור זה, אינו במחלוקת. </w:t>
      </w:r>
    </w:p>
    <w:p w14:paraId="41934A32" w14:textId="77777777" w:rsidR="002B4DE6" w:rsidRDefault="002B4DE6">
      <w:pPr>
        <w:spacing w:line="480" w:lineRule="auto"/>
        <w:ind w:left="1440" w:hanging="930"/>
        <w:jc w:val="both"/>
        <w:rPr>
          <w:rtl/>
        </w:rPr>
      </w:pPr>
    </w:p>
    <w:p w14:paraId="4A9238F4" w14:textId="77777777" w:rsidR="002B4DE6" w:rsidRDefault="00075CC7">
      <w:pPr>
        <w:spacing w:line="480" w:lineRule="auto"/>
        <w:ind w:left="510" w:hanging="510"/>
        <w:jc w:val="both"/>
        <w:rPr>
          <w:rtl/>
        </w:rPr>
      </w:pPr>
      <w:r>
        <w:rPr>
          <w:rFonts w:hint="cs"/>
          <w:rtl/>
        </w:rPr>
        <w:t>4</w:t>
      </w:r>
      <w:r>
        <w:rPr>
          <w:rtl/>
        </w:rPr>
        <w:t>.</w:t>
      </w:r>
      <w:r>
        <w:rPr>
          <w:rFonts w:hint="cs"/>
          <w:rtl/>
        </w:rPr>
        <w:tab/>
        <w:t xml:space="preserve">תמונת המצב המסכמת </w:t>
      </w:r>
      <w:r>
        <w:rPr>
          <w:rtl/>
        </w:rPr>
        <w:t>–</w:t>
      </w:r>
      <w:r>
        <w:rPr>
          <w:rFonts w:hint="cs"/>
          <w:rtl/>
        </w:rPr>
        <w:t xml:space="preserve"> דיכוטומית ומעט מורכבת. </w:t>
      </w:r>
    </w:p>
    <w:p w14:paraId="669FCBD8" w14:textId="77777777" w:rsidR="002B4DE6" w:rsidRDefault="002B4DE6">
      <w:pPr>
        <w:spacing w:line="480" w:lineRule="auto"/>
        <w:ind w:left="510" w:hanging="510"/>
        <w:jc w:val="both"/>
        <w:rPr>
          <w:rtl/>
        </w:rPr>
      </w:pPr>
    </w:p>
    <w:p w14:paraId="1B5C0A31" w14:textId="77777777" w:rsidR="002B4DE6" w:rsidRDefault="00075CC7">
      <w:pPr>
        <w:spacing w:line="480" w:lineRule="auto"/>
        <w:ind w:left="1440" w:hanging="930"/>
        <w:jc w:val="both"/>
        <w:rPr>
          <w:rtl/>
        </w:rPr>
      </w:pPr>
      <w:r>
        <w:rPr>
          <w:rFonts w:hint="cs"/>
          <w:rtl/>
        </w:rPr>
        <w:t xml:space="preserve">א. </w:t>
      </w:r>
      <w:r>
        <w:rPr>
          <w:rFonts w:hint="cs"/>
          <w:rtl/>
        </w:rPr>
        <w:tab/>
        <w:t>החזקת סם בהיקף כאמור ובפרט כשברקע גם עבר פלילי ממשי, טעונה, בעיקרון, מאסר לריצוי בפועל, וככל שהמדובר, בכל זאת, בהחזקת סמים לצריכה עצמית, לכל הפחות למאסר לריצוי בדרך של עבודות שירות, דבר שאין חולקין שאינו רלוונטי לגבי הנאשם דנן.</w:t>
      </w:r>
    </w:p>
    <w:p w14:paraId="34FFC2C8" w14:textId="77777777" w:rsidR="002B4DE6" w:rsidRDefault="00075CC7">
      <w:pPr>
        <w:spacing w:line="480" w:lineRule="auto"/>
        <w:ind w:left="1440" w:hanging="930"/>
        <w:jc w:val="both"/>
        <w:rPr>
          <w:rtl/>
        </w:rPr>
      </w:pPr>
      <w:r>
        <w:rPr>
          <w:rtl/>
        </w:rPr>
        <w:t xml:space="preserve"> </w:t>
      </w:r>
    </w:p>
    <w:p w14:paraId="52E04959" w14:textId="77777777" w:rsidR="002B4DE6" w:rsidRDefault="00075CC7">
      <w:pPr>
        <w:spacing w:line="480" w:lineRule="auto"/>
        <w:ind w:left="1440" w:hanging="930"/>
        <w:jc w:val="both"/>
        <w:rPr>
          <w:rtl/>
        </w:rPr>
      </w:pPr>
      <w:r>
        <w:rPr>
          <w:rFonts w:hint="cs"/>
          <w:rtl/>
        </w:rPr>
        <w:t xml:space="preserve">ב. </w:t>
      </w:r>
      <w:r>
        <w:rPr>
          <w:rFonts w:hint="cs"/>
          <w:rtl/>
        </w:rPr>
        <w:tab/>
        <w:t xml:space="preserve">עם זאת, בפני בית המשפט תמונת מצב המחזקת, לפחות במידה ידועה, את הטיעון הרפואי. תחילה, אציין בנקודה זאת את מכתבו של מנהל היחידה לשיכוך כאב בבית החולים הדסה עין כרם מיום 11.9.2014, המכיל במפורש המלצה לניסיון לטיפול בקנביס, שנית אציין שיש להעמיד את התביעה בחזקתה שפעלה בהגינות ובשיקול דעת, ולא בכדי אף נכונה הייתה לראות בגידולי הקנביס שנתפסו כסמים לשימוש עצמי, ולבסוף אציין שלתמונת מצב זו ניתן חיזוק בדיונים רבים מאוד שנערכו בבית המשפט במהלך השנים האחרונות, אגב מאמצי הסנגוריה הציבורית לסייע בקבלת היתר ממשרד הבריאות. </w:t>
      </w:r>
    </w:p>
    <w:p w14:paraId="016ABB3F" w14:textId="77777777" w:rsidR="002B4DE6" w:rsidRDefault="002B4DE6">
      <w:pPr>
        <w:spacing w:line="480" w:lineRule="auto"/>
        <w:ind w:left="1440" w:hanging="930"/>
        <w:jc w:val="both"/>
        <w:rPr>
          <w:rtl/>
        </w:rPr>
      </w:pPr>
    </w:p>
    <w:p w14:paraId="769E002E" w14:textId="77777777" w:rsidR="002B4DE6" w:rsidRDefault="00075CC7">
      <w:pPr>
        <w:spacing w:line="480" w:lineRule="auto"/>
        <w:ind w:left="1440" w:hanging="930"/>
        <w:jc w:val="both"/>
        <w:rPr>
          <w:rtl/>
        </w:rPr>
      </w:pPr>
      <w:r>
        <w:rPr>
          <w:rFonts w:hint="cs"/>
          <w:rtl/>
        </w:rPr>
        <w:t xml:space="preserve">ג. </w:t>
      </w:r>
      <w:r>
        <w:rPr>
          <w:rFonts w:hint="cs"/>
          <w:rtl/>
        </w:rPr>
        <w:tab/>
        <w:t xml:space="preserve">לא זו בלבד, שכאמור יש חיזוק לטענה בדבר נזקקות רפואית לקנביס, אלא שיש משקל מצטבר גם לחוות דעת הפסיכיאטר המחוזי מיום 23.12.2010 המצביעה על מצבו של הנאשם, ולבסוף, יוטעם, שאין חולקין שמאז הוגש כתב אישום זה, לא נפתחה כלפי הנאשם חקירה באף הקשר אחר (מלבד בכל הקשור להקפדתו על תנאי מעצר הבית). </w:t>
      </w:r>
    </w:p>
    <w:p w14:paraId="2679C991" w14:textId="77777777" w:rsidR="002B4DE6" w:rsidRDefault="002B4DE6">
      <w:pPr>
        <w:spacing w:line="480" w:lineRule="auto"/>
        <w:ind w:left="1440" w:hanging="930"/>
        <w:jc w:val="both"/>
        <w:rPr>
          <w:rtl/>
        </w:rPr>
      </w:pPr>
    </w:p>
    <w:p w14:paraId="2936916D" w14:textId="77777777" w:rsidR="002B4DE6" w:rsidRDefault="00075CC7">
      <w:pPr>
        <w:spacing w:line="480" w:lineRule="auto"/>
        <w:ind w:left="1440" w:hanging="930"/>
        <w:jc w:val="both"/>
        <w:rPr>
          <w:rtl/>
        </w:rPr>
      </w:pPr>
      <w:r>
        <w:rPr>
          <w:rFonts w:hint="cs"/>
          <w:rtl/>
        </w:rPr>
        <w:t xml:space="preserve">ד. </w:t>
      </w:r>
      <w:r>
        <w:rPr>
          <w:rFonts w:hint="cs"/>
          <w:rtl/>
        </w:rPr>
        <w:tab/>
        <w:t xml:space="preserve">נוכח האמור נכון אני, גם אם באופן קיצוני לפנים משורת הדין, להימנע ממיצוי הדין עם הנאשם, תוך מתן משקל מסוים גם לתקופת מעצר הבית בה שהה, תקופה שאינה נקייה מקשיים גם מבחינת הדרך בה התנהל הנאשם, אך, מן הצד השני, מאורכה הרב קשה להתעלם. עם זאת, ולמרות המודעות הרבה שהיא מנת חלקי ביחס למצבו הכלכלי של הנאשם, מחויב גזר דין זה ברכיב מוחשי מסוים, ונוכח זאת, לפחות מקנס, אתקשה להימנע. </w:t>
      </w:r>
    </w:p>
    <w:p w14:paraId="2D75BC98" w14:textId="77777777" w:rsidR="002B4DE6" w:rsidRDefault="002B4DE6">
      <w:pPr>
        <w:spacing w:line="480" w:lineRule="auto"/>
        <w:ind w:left="1440" w:hanging="930"/>
        <w:jc w:val="both"/>
        <w:rPr>
          <w:rtl/>
        </w:rPr>
      </w:pPr>
    </w:p>
    <w:p w14:paraId="18D0DD53" w14:textId="77777777" w:rsidR="002B4DE6" w:rsidRDefault="00075CC7">
      <w:pPr>
        <w:spacing w:line="480" w:lineRule="auto"/>
        <w:ind w:left="1440" w:hanging="930"/>
        <w:jc w:val="both"/>
        <w:rPr>
          <w:rtl/>
        </w:rPr>
      </w:pPr>
      <w:r>
        <w:rPr>
          <w:rFonts w:hint="cs"/>
          <w:rtl/>
        </w:rPr>
        <w:t xml:space="preserve">ה. </w:t>
      </w:r>
      <w:r>
        <w:rPr>
          <w:rFonts w:hint="cs"/>
          <w:rtl/>
        </w:rPr>
        <w:tab/>
        <w:t xml:space="preserve">בנוסף לאמור, דומני, שמחויב אני לתת את הדעת גם לרישיון הנהיגה של הנאשם. על יסוד </w:t>
      </w:r>
      <w:hyperlink r:id="rId8" w:history="1">
        <w:r w:rsidR="00230230" w:rsidRPr="00230230">
          <w:rPr>
            <w:color w:val="0000FF"/>
            <w:u w:val="single"/>
            <w:rtl/>
          </w:rPr>
          <w:t>סעיף 37א(א1)</w:t>
        </w:r>
      </w:hyperlink>
      <w:r>
        <w:rPr>
          <w:rFonts w:hint="cs"/>
          <w:rtl/>
        </w:rPr>
        <w:t xml:space="preserve"> ל</w:t>
      </w:r>
      <w:hyperlink r:id="rId9" w:history="1">
        <w:r w:rsidRPr="00075CC7">
          <w:rPr>
            <w:color w:val="0000FF"/>
            <w:u w:val="single"/>
            <w:rtl/>
          </w:rPr>
          <w:t>פקודת הסמים המסוכנים</w:t>
        </w:r>
      </w:hyperlink>
      <w:r>
        <w:rPr>
          <w:rFonts w:hint="cs"/>
          <w:rtl/>
        </w:rPr>
        <w:t xml:space="preserve"> ייפסל בזה רישיון הנהיגה של הנאשם מיידית וגם בממד המותנה. </w:t>
      </w:r>
    </w:p>
    <w:p w14:paraId="1FC78548" w14:textId="77777777" w:rsidR="002B4DE6" w:rsidRDefault="002B4DE6">
      <w:pPr>
        <w:spacing w:line="480" w:lineRule="auto"/>
        <w:jc w:val="both"/>
        <w:rPr>
          <w:rtl/>
        </w:rPr>
      </w:pPr>
    </w:p>
    <w:p w14:paraId="4450E39D" w14:textId="77777777" w:rsidR="002B4DE6" w:rsidRDefault="00075CC7">
      <w:pPr>
        <w:spacing w:line="480" w:lineRule="auto"/>
        <w:ind w:left="510" w:hanging="510"/>
        <w:jc w:val="both"/>
        <w:rPr>
          <w:b/>
          <w:bCs/>
          <w:i/>
          <w:iCs/>
          <w:rtl/>
        </w:rPr>
      </w:pPr>
      <w:r>
        <w:rPr>
          <w:rtl/>
        </w:rPr>
        <w:t>6.</w:t>
      </w:r>
      <w:r>
        <w:rPr>
          <w:rFonts w:hint="cs"/>
          <w:rtl/>
        </w:rPr>
        <w:tab/>
        <w:t xml:space="preserve">סוף דבר גוזר אני כדלקמן: </w:t>
      </w:r>
    </w:p>
    <w:p w14:paraId="6E38CA4F" w14:textId="77777777" w:rsidR="002B4DE6" w:rsidRDefault="002B4DE6">
      <w:pPr>
        <w:spacing w:line="480" w:lineRule="auto"/>
        <w:ind w:left="510" w:hanging="510"/>
        <w:jc w:val="both"/>
        <w:rPr>
          <w:b/>
          <w:bCs/>
          <w:i/>
          <w:iCs/>
          <w:rtl/>
        </w:rPr>
      </w:pPr>
    </w:p>
    <w:p w14:paraId="13B63575" w14:textId="77777777" w:rsidR="002B4DE6" w:rsidRDefault="00075CC7">
      <w:pPr>
        <w:spacing w:line="480" w:lineRule="auto"/>
        <w:ind w:left="510"/>
        <w:jc w:val="both"/>
        <w:rPr>
          <w:rtl/>
        </w:rPr>
      </w:pPr>
      <w:r>
        <w:rPr>
          <w:u w:val="single"/>
          <w:rtl/>
        </w:rPr>
        <w:t>קנס</w:t>
      </w:r>
      <w:r>
        <w:rPr>
          <w:rtl/>
        </w:rPr>
        <w:t xml:space="preserve"> - קנס בסך </w:t>
      </w:r>
      <w:r>
        <w:rPr>
          <w:rFonts w:hint="cs"/>
          <w:rtl/>
        </w:rPr>
        <w:t xml:space="preserve">1,000 </w:t>
      </w:r>
      <w:r>
        <w:rPr>
          <w:rtl/>
        </w:rPr>
        <w:t xml:space="preserve">ש"ח או מאסר למשך </w:t>
      </w:r>
      <w:r>
        <w:rPr>
          <w:rFonts w:hint="cs"/>
          <w:rtl/>
        </w:rPr>
        <w:t xml:space="preserve">10 ימים </w:t>
      </w:r>
      <w:r>
        <w:rPr>
          <w:rtl/>
        </w:rPr>
        <w:t xml:space="preserve">תחתיו; הקנס ישולם ב- </w:t>
      </w:r>
      <w:r>
        <w:rPr>
          <w:rFonts w:hint="cs"/>
          <w:rtl/>
        </w:rPr>
        <w:t xml:space="preserve">10 </w:t>
      </w:r>
      <w:r>
        <w:rPr>
          <w:rtl/>
        </w:rPr>
        <w:t xml:space="preserve">תשלומים חודשיים שווים ורצופים. התשלום הראשון ישולם </w:t>
      </w:r>
      <w:r>
        <w:rPr>
          <w:rFonts w:hint="cs"/>
          <w:rtl/>
        </w:rPr>
        <w:t xml:space="preserve">עד </w:t>
      </w:r>
      <w:r>
        <w:rPr>
          <w:rtl/>
        </w:rPr>
        <w:t xml:space="preserve">יום </w:t>
      </w:r>
      <w:r>
        <w:rPr>
          <w:rFonts w:hint="cs"/>
          <w:rtl/>
        </w:rPr>
        <w:t xml:space="preserve">1.12.2014 </w:t>
      </w:r>
      <w:r>
        <w:rPr>
          <w:rtl/>
        </w:rPr>
        <w:t xml:space="preserve">ויתר התשלומים מידי 30 יום לאחר מכן. פיגור בתשלום אחד מן השיעורים שנקבעו לעיל, יעמיד לפירעון מיידי את יתרת הקנס שטרם שולמה ויחייב את הנאשם בתשלום תוספת פיגורים כחוק. </w:t>
      </w:r>
      <w:r>
        <w:rPr>
          <w:rFonts w:hint="cs"/>
          <w:rtl/>
        </w:rPr>
        <w:t>אם הופקדו על ידי הנאשם כספים בעקבות צווי הבאה שהוציא בית המשפט, ייחשבו כספים אלה על חשבון הקנס; היתרה תוחזר לנאשם.</w:t>
      </w:r>
    </w:p>
    <w:p w14:paraId="502D8D9D" w14:textId="77777777" w:rsidR="002B4DE6" w:rsidRDefault="002B4DE6">
      <w:pPr>
        <w:spacing w:line="480" w:lineRule="auto"/>
        <w:jc w:val="both"/>
        <w:rPr>
          <w:rtl/>
        </w:rPr>
      </w:pPr>
    </w:p>
    <w:p w14:paraId="7E9E9E24" w14:textId="77777777" w:rsidR="002B4DE6" w:rsidRDefault="00075CC7">
      <w:pPr>
        <w:spacing w:line="480" w:lineRule="auto"/>
        <w:ind w:left="510"/>
        <w:jc w:val="both"/>
        <w:rPr>
          <w:rtl/>
        </w:rPr>
      </w:pPr>
      <w:r>
        <w:rPr>
          <w:u w:val="single"/>
          <w:rtl/>
        </w:rPr>
        <w:t>מאסר על תנאי</w:t>
      </w:r>
      <w:r>
        <w:rPr>
          <w:rtl/>
        </w:rPr>
        <w:t xml:space="preserve"> - מאסר על תנאי לתקופה של </w:t>
      </w:r>
      <w:r>
        <w:rPr>
          <w:rFonts w:hint="cs"/>
          <w:rtl/>
        </w:rPr>
        <w:t xml:space="preserve">3 </w:t>
      </w:r>
      <w:r>
        <w:rPr>
          <w:rtl/>
        </w:rPr>
        <w:t xml:space="preserve">חודשים. הנאשם ישא בעונש זה אם בתקופה של שנתיים מהיום יעבור עבירה נוספת לפי </w:t>
      </w:r>
      <w:hyperlink r:id="rId10" w:history="1">
        <w:r w:rsidRPr="00075CC7">
          <w:rPr>
            <w:color w:val="0000FF"/>
            <w:u w:val="single"/>
            <w:rtl/>
          </w:rPr>
          <w:t>פקודת הסמים המסוכנים</w:t>
        </w:r>
      </w:hyperlink>
      <w:r>
        <w:rPr>
          <w:rFonts w:hint="cs"/>
          <w:rtl/>
        </w:rPr>
        <w:t xml:space="preserve">. </w:t>
      </w:r>
    </w:p>
    <w:p w14:paraId="2625D0AD" w14:textId="77777777" w:rsidR="002B4DE6" w:rsidRDefault="002B4DE6">
      <w:pPr>
        <w:spacing w:line="480" w:lineRule="auto"/>
        <w:jc w:val="both"/>
        <w:rPr>
          <w:rtl/>
        </w:rPr>
      </w:pPr>
    </w:p>
    <w:p w14:paraId="13C35198" w14:textId="77777777" w:rsidR="002B4DE6" w:rsidRDefault="00075CC7">
      <w:pPr>
        <w:spacing w:line="480" w:lineRule="auto"/>
        <w:ind w:left="510"/>
        <w:jc w:val="both"/>
        <w:rPr>
          <w:rtl/>
        </w:rPr>
      </w:pPr>
      <w:r>
        <w:rPr>
          <w:rFonts w:hint="cs"/>
          <w:u w:val="single"/>
          <w:rtl/>
        </w:rPr>
        <w:t>פסילת רישיון הנהיגה</w:t>
      </w:r>
      <w:r>
        <w:rPr>
          <w:rFonts w:hint="cs"/>
          <w:rtl/>
        </w:rPr>
        <w:t xml:space="preserve"> -  נפסל בזה רישיון הנהיגה של הנאשם למשך שנתיים.  רשיון הנהיגה יופקד לאלתר. </w:t>
      </w:r>
    </w:p>
    <w:p w14:paraId="471DF867" w14:textId="77777777" w:rsidR="002B4DE6" w:rsidRDefault="002B4DE6">
      <w:pPr>
        <w:spacing w:line="480" w:lineRule="auto"/>
        <w:jc w:val="both"/>
        <w:rPr>
          <w:sz w:val="18"/>
          <w:szCs w:val="18"/>
          <w:rtl/>
        </w:rPr>
      </w:pPr>
    </w:p>
    <w:p w14:paraId="63CF6C7F" w14:textId="77777777" w:rsidR="002B4DE6" w:rsidRDefault="00075CC7">
      <w:pPr>
        <w:spacing w:line="480" w:lineRule="auto"/>
        <w:ind w:left="510"/>
        <w:jc w:val="both"/>
        <w:rPr>
          <w:rtl/>
        </w:rPr>
      </w:pPr>
      <w:r>
        <w:rPr>
          <w:rFonts w:hint="cs"/>
          <w:u w:val="single"/>
          <w:rtl/>
        </w:rPr>
        <w:t>פסילה על תנאי</w:t>
      </w:r>
      <w:r>
        <w:rPr>
          <w:rFonts w:hint="cs"/>
          <w:rtl/>
        </w:rPr>
        <w:t xml:space="preserve"> </w:t>
      </w:r>
      <w:r>
        <w:rPr>
          <w:rtl/>
        </w:rPr>
        <w:t>–</w:t>
      </w:r>
      <w:r>
        <w:rPr>
          <w:rFonts w:hint="cs"/>
          <w:rtl/>
        </w:rPr>
        <w:t xml:space="preserve"> בנוסף נפסל בזה רישיון הנהיגה של הנאשם למשך שנה אם יעבור בשנתיים שלאחר תום פסילתו דלעיל עבירה נוספת על </w:t>
      </w:r>
      <w:hyperlink r:id="rId11" w:history="1">
        <w:r w:rsidRPr="00075CC7">
          <w:rPr>
            <w:color w:val="0000FF"/>
            <w:u w:val="single"/>
            <w:rtl/>
          </w:rPr>
          <w:t>פקודת הסמים המסוכנים</w:t>
        </w:r>
      </w:hyperlink>
      <w:r>
        <w:rPr>
          <w:rFonts w:hint="cs"/>
          <w:rtl/>
        </w:rPr>
        <w:t xml:space="preserve">. </w:t>
      </w:r>
    </w:p>
    <w:p w14:paraId="27821F40" w14:textId="77777777" w:rsidR="002B4DE6" w:rsidRDefault="002B4DE6">
      <w:pPr>
        <w:spacing w:line="480" w:lineRule="auto"/>
        <w:jc w:val="both"/>
        <w:rPr>
          <w:rtl/>
        </w:rPr>
      </w:pPr>
    </w:p>
    <w:p w14:paraId="45F5AF4B" w14:textId="77777777" w:rsidR="002B4DE6" w:rsidRDefault="00075CC7">
      <w:pPr>
        <w:spacing w:line="480" w:lineRule="auto"/>
        <w:ind w:firstLine="510"/>
        <w:jc w:val="both"/>
        <w:rPr>
          <w:rtl/>
        </w:rPr>
      </w:pPr>
      <w:r>
        <w:rPr>
          <w:u w:val="single"/>
          <w:rtl/>
        </w:rPr>
        <w:t>מוצגים</w:t>
      </w:r>
      <w:r>
        <w:rPr>
          <w:rtl/>
        </w:rPr>
        <w:t xml:space="preserve"> –</w:t>
      </w:r>
      <w:r>
        <w:rPr>
          <w:rFonts w:cs="David Backslanted"/>
          <w:rtl/>
        </w:rPr>
        <w:t xml:space="preserve"> </w:t>
      </w:r>
      <w:r>
        <w:rPr>
          <w:rFonts w:hint="cs"/>
          <w:rtl/>
        </w:rPr>
        <w:t xml:space="preserve">יושמדו. </w:t>
      </w:r>
    </w:p>
    <w:p w14:paraId="7D52B04D" w14:textId="77777777" w:rsidR="002B4DE6" w:rsidRDefault="002B4DE6">
      <w:pPr>
        <w:spacing w:line="480" w:lineRule="auto"/>
        <w:jc w:val="both"/>
        <w:rPr>
          <w:rtl/>
        </w:rPr>
      </w:pPr>
    </w:p>
    <w:p w14:paraId="684274EE" w14:textId="77777777" w:rsidR="002B4DE6" w:rsidRDefault="00075CC7">
      <w:pPr>
        <w:spacing w:line="480" w:lineRule="auto"/>
        <w:ind w:left="510"/>
        <w:jc w:val="both"/>
        <w:rPr>
          <w:b/>
          <w:bCs/>
          <w:rtl/>
        </w:rPr>
      </w:pPr>
      <w:r>
        <w:rPr>
          <w:rFonts w:hint="cs"/>
          <w:b/>
          <w:bCs/>
          <w:rtl/>
        </w:rPr>
        <w:t xml:space="preserve">מעבר להיבט הענשי נדרש בית המשפט לתת את הדעת לתמונת המצב העולה מהנאשם עצמו ומטענות בא כוחו הנכבד, בדבר נזקקות רצופה לקנביס ובדבר מצב פסיכיאטרי מורכב. ניתן בזה צו במקביל, הן למזכירות בית המשפט, והן לתביעה המשטרתית, כל אחד משני גורמים אלה לחוד, ושניהם גם יחד, להעביר בדואר רשום עם אישור מסירה העתק מגזר דין זה למנהל רשות הרישוי, שיפעיל את שיקול דעתו בשאלה האם ראוי להותיר את רישיון הנהיגה בידי הנאשם. דומה, שלצד הפסילה הענשית כמפורט בגזר דין זה, יש מקום גם לשיקול דעת מנהלי שייקח בחשבון את כל הקשור לשלום הציבור ובטחונו. </w:t>
      </w:r>
    </w:p>
    <w:p w14:paraId="588CAB25" w14:textId="77777777" w:rsidR="002B4DE6" w:rsidRDefault="002B4DE6">
      <w:pPr>
        <w:spacing w:line="480" w:lineRule="auto"/>
        <w:ind w:firstLine="510"/>
        <w:jc w:val="both"/>
        <w:rPr>
          <w:rtl/>
        </w:rPr>
      </w:pPr>
    </w:p>
    <w:p w14:paraId="278E9EBB" w14:textId="77777777" w:rsidR="002B4DE6" w:rsidRDefault="00075CC7">
      <w:pPr>
        <w:spacing w:line="480" w:lineRule="auto"/>
        <w:ind w:firstLine="510"/>
        <w:jc w:val="both"/>
        <w:rPr>
          <w:rtl/>
        </w:rPr>
      </w:pPr>
      <w:r w:rsidRPr="00075CC7">
        <w:rPr>
          <w:color w:val="FFFFFF"/>
          <w:sz w:val="2"/>
          <w:szCs w:val="2"/>
          <w:rtl/>
        </w:rPr>
        <w:t>5129371</w:t>
      </w:r>
      <w:r>
        <w:rPr>
          <w:rtl/>
        </w:rPr>
        <w:t xml:space="preserve">זכות ערעור על פסק הדין תוך 45 יום מהיום. </w:t>
      </w:r>
    </w:p>
    <w:p w14:paraId="256C422E" w14:textId="77777777" w:rsidR="002B4DE6" w:rsidRPr="00075CC7" w:rsidRDefault="00075CC7">
      <w:pPr>
        <w:spacing w:line="480" w:lineRule="auto"/>
        <w:jc w:val="both"/>
        <w:rPr>
          <w:color w:val="FFFFFF"/>
          <w:sz w:val="2"/>
          <w:szCs w:val="2"/>
          <w:rtl/>
        </w:rPr>
      </w:pPr>
      <w:r w:rsidRPr="00075CC7">
        <w:rPr>
          <w:color w:val="FFFFFF"/>
          <w:sz w:val="2"/>
          <w:szCs w:val="2"/>
          <w:rtl/>
        </w:rPr>
        <w:t>54678313</w:t>
      </w:r>
    </w:p>
    <w:p w14:paraId="453394CF" w14:textId="77777777" w:rsidR="002B4DE6" w:rsidRDefault="00075CC7">
      <w:pPr>
        <w:spacing w:line="480" w:lineRule="auto"/>
        <w:rPr>
          <w:rFonts w:cs="FrankRuehl"/>
          <w:sz w:val="28"/>
          <w:szCs w:val="28"/>
          <w:rtl/>
        </w:rPr>
      </w:pPr>
      <w:r>
        <w:rPr>
          <w:rFonts w:ascii="Arial" w:hAnsi="Arial"/>
          <w:b/>
          <w:bCs/>
          <w:rtl/>
        </w:rPr>
        <w:t xml:space="preserve">ניתן היום,  19 נובמבר 2014במעמד הצדדים. </w:t>
      </w:r>
    </w:p>
    <w:p w14:paraId="66E0A895" w14:textId="77777777" w:rsidR="002B4DE6" w:rsidRDefault="002B4DE6">
      <w:pPr>
        <w:spacing w:line="480" w:lineRule="auto"/>
        <w:ind w:left="4320" w:firstLine="720"/>
      </w:pPr>
    </w:p>
    <w:p w14:paraId="53B03EBC" w14:textId="77777777" w:rsidR="002B4DE6" w:rsidRDefault="002B4DE6">
      <w:pPr>
        <w:spacing w:line="480" w:lineRule="auto"/>
        <w:ind w:left="4320" w:firstLine="720"/>
        <w:rPr>
          <w:rFonts w:ascii="Arial" w:hAnsi="Arial" w:cs="FrankRuehl"/>
          <w:sz w:val="28"/>
          <w:szCs w:val="28"/>
          <w:rtl/>
        </w:rPr>
      </w:pPr>
    </w:p>
    <w:p w14:paraId="2B638DA3" w14:textId="77777777" w:rsidR="002B4DE6" w:rsidRPr="00230230" w:rsidRDefault="00230230">
      <w:pPr>
        <w:pStyle w:val="a3"/>
        <w:jc w:val="center"/>
        <w:rPr>
          <w:color w:val="FFFFFF"/>
          <w:sz w:val="2"/>
          <w:szCs w:val="2"/>
          <w:rtl/>
        </w:rPr>
      </w:pPr>
      <w:r w:rsidRPr="00230230">
        <w:rPr>
          <w:color w:val="FFFFFF"/>
          <w:sz w:val="2"/>
          <w:szCs w:val="2"/>
          <w:rtl/>
        </w:rPr>
        <w:t>5129371</w:t>
      </w:r>
    </w:p>
    <w:p w14:paraId="253D69CD" w14:textId="77777777" w:rsidR="00075CC7" w:rsidRPr="00230230" w:rsidRDefault="00230230" w:rsidP="00075CC7">
      <w:pPr>
        <w:keepNext/>
        <w:rPr>
          <w:rFonts w:ascii="David" w:hAnsi="David"/>
          <w:color w:val="FFFFFF"/>
          <w:sz w:val="2"/>
          <w:szCs w:val="2"/>
          <w:rtl/>
        </w:rPr>
      </w:pPr>
      <w:r w:rsidRPr="00230230">
        <w:rPr>
          <w:rFonts w:ascii="David" w:hAnsi="David"/>
          <w:color w:val="FFFFFF"/>
          <w:sz w:val="2"/>
          <w:szCs w:val="2"/>
          <w:rtl/>
        </w:rPr>
        <w:t>54678313</w:t>
      </w:r>
    </w:p>
    <w:p w14:paraId="4010B12B" w14:textId="77777777" w:rsidR="00075CC7" w:rsidRPr="00075CC7" w:rsidRDefault="00075CC7" w:rsidP="00075CC7">
      <w:pPr>
        <w:keepNext/>
        <w:rPr>
          <w:rFonts w:ascii="David" w:hAnsi="David"/>
          <w:color w:val="000000"/>
          <w:sz w:val="22"/>
          <w:szCs w:val="22"/>
          <w:rtl/>
        </w:rPr>
      </w:pPr>
      <w:r w:rsidRPr="00075CC7">
        <w:rPr>
          <w:rFonts w:ascii="David" w:hAnsi="David"/>
          <w:color w:val="000000"/>
          <w:sz w:val="22"/>
          <w:szCs w:val="22"/>
          <w:rtl/>
        </w:rPr>
        <w:t>אלכסנדר רון 54678313</w:t>
      </w:r>
    </w:p>
    <w:p w14:paraId="5B699456" w14:textId="77777777" w:rsidR="00075CC7" w:rsidRDefault="00075CC7" w:rsidP="00075CC7">
      <w:r w:rsidRPr="00075CC7">
        <w:rPr>
          <w:color w:val="000000"/>
          <w:rtl/>
        </w:rPr>
        <w:t>נוסח מסמך זה כפוף לשינויי ניסוח ועריכה</w:t>
      </w:r>
    </w:p>
    <w:p w14:paraId="7C6C9FA6" w14:textId="77777777" w:rsidR="00075CC7" w:rsidRDefault="00075CC7" w:rsidP="00075CC7">
      <w:pPr>
        <w:rPr>
          <w:rtl/>
        </w:rPr>
      </w:pPr>
    </w:p>
    <w:p w14:paraId="6E359F89" w14:textId="77777777" w:rsidR="00075CC7" w:rsidRDefault="00075CC7" w:rsidP="00075CC7">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1A362AE8" w14:textId="77777777" w:rsidR="00230230" w:rsidRPr="00230230" w:rsidRDefault="00230230" w:rsidP="00230230">
      <w:pPr>
        <w:keepNext/>
        <w:rPr>
          <w:rFonts w:ascii="David" w:hAnsi="David"/>
          <w:color w:val="000000"/>
          <w:sz w:val="22"/>
          <w:szCs w:val="22"/>
          <w:rtl/>
        </w:rPr>
      </w:pPr>
    </w:p>
    <w:p w14:paraId="2B18BB8F" w14:textId="77777777" w:rsidR="002B4DE6" w:rsidRPr="00075CC7" w:rsidRDefault="002B4DE6" w:rsidP="00230230">
      <w:pPr>
        <w:rPr>
          <w:color w:val="0000FF"/>
          <w:u w:val="single"/>
        </w:rPr>
      </w:pPr>
    </w:p>
    <w:sectPr w:rsidR="002B4DE6" w:rsidRPr="00075CC7" w:rsidSect="00230230">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32B9B" w14:textId="77777777" w:rsidR="00F259A7" w:rsidRDefault="00F259A7">
      <w:r>
        <w:separator/>
      </w:r>
    </w:p>
  </w:endnote>
  <w:endnote w:type="continuationSeparator" w:id="0">
    <w:p w14:paraId="281993B4" w14:textId="77777777" w:rsidR="00F259A7" w:rsidRDefault="00F25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Backslanted">
    <w:charset w:val="B1"/>
    <w:family w:val="roman"/>
    <w:pitch w:val="variable"/>
    <w:sig w:usb0="00001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7C50B" w14:textId="77777777" w:rsidR="00230230" w:rsidRDefault="00230230" w:rsidP="0023023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C7F05AC" w14:textId="77777777" w:rsidR="00075CC7" w:rsidRPr="00230230" w:rsidRDefault="00230230" w:rsidP="00230230">
    <w:pPr>
      <w:pStyle w:val="a4"/>
      <w:pBdr>
        <w:top w:val="single" w:sz="4" w:space="1" w:color="auto"/>
        <w:between w:val="single" w:sz="4" w:space="0" w:color="auto"/>
      </w:pBdr>
      <w:spacing w:after="60"/>
      <w:jc w:val="center"/>
      <w:rPr>
        <w:rFonts w:ascii="FrankRuehl" w:hAnsi="FrankRuehl" w:cs="FrankRuehl"/>
        <w:color w:val="000000"/>
      </w:rPr>
    </w:pPr>
    <w:r w:rsidRPr="002302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52131" w14:textId="77777777" w:rsidR="00230230" w:rsidRDefault="00230230" w:rsidP="0023023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75AA">
      <w:rPr>
        <w:rFonts w:ascii="FrankRuehl" w:hAnsi="FrankRuehl" w:cs="FrankRuehl"/>
        <w:noProof/>
        <w:rtl/>
      </w:rPr>
      <w:t>1</w:t>
    </w:r>
    <w:r>
      <w:rPr>
        <w:rFonts w:ascii="FrankRuehl" w:hAnsi="FrankRuehl" w:cs="FrankRuehl"/>
        <w:rtl/>
      </w:rPr>
      <w:fldChar w:fldCharType="end"/>
    </w:r>
  </w:p>
  <w:p w14:paraId="76C71191" w14:textId="77777777" w:rsidR="00075CC7" w:rsidRPr="00230230" w:rsidRDefault="00230230" w:rsidP="00230230">
    <w:pPr>
      <w:pStyle w:val="a4"/>
      <w:pBdr>
        <w:top w:val="single" w:sz="4" w:space="1" w:color="auto"/>
        <w:between w:val="single" w:sz="4" w:space="0" w:color="auto"/>
      </w:pBdr>
      <w:spacing w:after="60"/>
      <w:jc w:val="center"/>
      <w:rPr>
        <w:rFonts w:ascii="FrankRuehl" w:hAnsi="FrankRuehl" w:cs="FrankRuehl"/>
        <w:color w:val="000000"/>
      </w:rPr>
    </w:pPr>
    <w:r w:rsidRPr="00230230">
      <w:rPr>
        <w:rFonts w:ascii="FrankRuehl" w:hAnsi="FrankRuehl" w:cs="FrankRuehl"/>
        <w:color w:val="000000"/>
      </w:rPr>
      <w:pict w14:anchorId="660975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A8D92" w14:textId="77777777" w:rsidR="00F259A7" w:rsidRDefault="00F259A7">
      <w:r>
        <w:separator/>
      </w:r>
    </w:p>
  </w:footnote>
  <w:footnote w:type="continuationSeparator" w:id="0">
    <w:p w14:paraId="2A9814CF" w14:textId="77777777" w:rsidR="00F259A7" w:rsidRDefault="00F25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BC99E" w14:textId="77777777" w:rsidR="00075CC7" w:rsidRPr="00230230" w:rsidRDefault="00230230" w:rsidP="002302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12856-07-10</w:t>
    </w:r>
    <w:r>
      <w:rPr>
        <w:rFonts w:ascii="David" w:hAnsi="David"/>
        <w:color w:val="000000"/>
        <w:sz w:val="22"/>
        <w:szCs w:val="22"/>
        <w:rtl/>
      </w:rPr>
      <w:tab/>
      <w:t xml:space="preserve"> מדינת ישראל נ' דניאל אליעז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08119" w14:textId="77777777" w:rsidR="00075CC7" w:rsidRPr="00230230" w:rsidRDefault="00230230" w:rsidP="002302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12856-07-10</w:t>
    </w:r>
    <w:r>
      <w:rPr>
        <w:rFonts w:ascii="David" w:hAnsi="David"/>
        <w:color w:val="000000"/>
        <w:sz w:val="22"/>
        <w:szCs w:val="22"/>
        <w:rtl/>
      </w:rPr>
      <w:tab/>
      <w:t xml:space="preserve"> מדינת ישראל נ' דניאל אליעז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B4DE6"/>
    <w:rsid w:val="00075CC7"/>
    <w:rsid w:val="00230230"/>
    <w:rsid w:val="00294669"/>
    <w:rsid w:val="002B4DE6"/>
    <w:rsid w:val="004E75AA"/>
    <w:rsid w:val="00DF0D72"/>
    <w:rsid w:val="00F259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15E28B"/>
  <w15:chartTrackingRefBased/>
  <w15:docId w15:val="{7B474C8C-6110-4105-A065-17FAF0D4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4DE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B4DE6"/>
    <w:pPr>
      <w:tabs>
        <w:tab w:val="center" w:pos="4153"/>
        <w:tab w:val="right" w:pos="8306"/>
      </w:tabs>
    </w:pPr>
  </w:style>
  <w:style w:type="paragraph" w:styleId="a4">
    <w:name w:val="footer"/>
    <w:basedOn w:val="a"/>
    <w:rsid w:val="002B4DE6"/>
    <w:pPr>
      <w:tabs>
        <w:tab w:val="center" w:pos="4153"/>
        <w:tab w:val="right" w:pos="8306"/>
      </w:tabs>
    </w:pPr>
  </w:style>
  <w:style w:type="character" w:styleId="a5">
    <w:name w:val="line number"/>
    <w:basedOn w:val="a0"/>
    <w:rsid w:val="002B4DE6"/>
  </w:style>
  <w:style w:type="character" w:styleId="a6">
    <w:name w:val="page number"/>
    <w:basedOn w:val="a0"/>
    <w:rsid w:val="00075CC7"/>
  </w:style>
  <w:style w:type="character" w:styleId="Hyperlink">
    <w:name w:val="Hyperlink"/>
    <w:basedOn w:val="a0"/>
    <w:rsid w:val="00075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37a.a1"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37a.a1"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1166</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6984</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5046355</vt:i4>
      </vt:variant>
      <vt:variant>
        <vt:i4>6</vt:i4>
      </vt:variant>
      <vt:variant>
        <vt:i4>0</vt:i4>
      </vt:variant>
      <vt:variant>
        <vt:i4>5</vt:i4>
      </vt:variant>
      <vt:variant>
        <vt:lpwstr>http://www.nevo.co.il/law/4216/37a.a1</vt:lpwstr>
      </vt:variant>
      <vt:variant>
        <vt:lpwstr/>
      </vt:variant>
      <vt:variant>
        <vt:i4>5046355</vt:i4>
      </vt:variant>
      <vt:variant>
        <vt:i4>3</vt:i4>
      </vt:variant>
      <vt:variant>
        <vt:i4>0</vt:i4>
      </vt:variant>
      <vt:variant>
        <vt:i4>5</vt:i4>
      </vt:variant>
      <vt:variant>
        <vt:lpwstr>http://www.nevo.co.il/law/4216/37a.a1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2025-04-22T21:35:00Z</dcterms:created>
  <dcterms:modified xsi:type="dcterms:W3CDTF">2025-04-22T21:35:00Z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12856</vt:lpwstr>
  </property>
  <property fmtid="{D5CDD505-2E9C-101B-9397-08002B2CF9AE}" pid="6" name="NEWPARTB">
    <vt:lpwstr>07</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דניאל אליעז</vt:lpwstr>
  </property>
  <property fmtid="{D5CDD505-2E9C-101B-9397-08002B2CF9AE}" pid="10" name="LAWYER">
    <vt:lpwstr>שרית דרור;ליאור פרי</vt:lpwstr>
  </property>
  <property fmtid="{D5CDD505-2E9C-101B-9397-08002B2CF9AE}" pid="11" name="JUDGE">
    <vt:lpwstr>אלכסנדר רון</vt:lpwstr>
  </property>
  <property fmtid="{D5CDD505-2E9C-101B-9397-08002B2CF9AE}" pid="12" name="CITY">
    <vt:lpwstr>י-ם</vt:lpwstr>
  </property>
  <property fmtid="{D5CDD505-2E9C-101B-9397-08002B2CF9AE}" pid="13" name="DATE">
    <vt:lpwstr>20141119</vt:lpwstr>
  </property>
  <property fmtid="{D5CDD505-2E9C-101B-9397-08002B2CF9AE}" pid="14" name="TYPE_N_DATE">
    <vt:lpwstr>38020141119</vt:lpwstr>
  </property>
  <property fmtid="{D5CDD505-2E9C-101B-9397-08002B2CF9AE}" pid="15" name="WORDNUMPAGES">
    <vt:lpwstr>6</vt:lpwstr>
  </property>
  <property fmtid="{D5CDD505-2E9C-101B-9397-08002B2CF9AE}" pid="16" name="TYPE_ABS_DATE">
    <vt:lpwstr>380020141119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4216/037a.a1</vt:lpwstr>
  </property>
  <property fmtid="{D5CDD505-2E9C-101B-9397-08002B2CF9AE}" pid="35" name="ISABSTRACT">
    <vt:lpwstr>Y</vt:lpwstr>
  </property>
</Properties>
</file>