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4F1C06" w:rsidRPr="00903438" w14:paraId="285EA7CB" w14:textId="77777777">
        <w:trPr>
          <w:trHeight w:hRule="exact" w:val="418"/>
          <w:jc w:val="center"/>
        </w:trPr>
        <w:tc>
          <w:tcPr>
            <w:tcW w:w="8720" w:type="dxa"/>
            <w:gridSpan w:val="3"/>
          </w:tcPr>
          <w:p w14:paraId="51E063BA" w14:textId="77777777" w:rsidR="004F1C06" w:rsidRPr="00903438" w:rsidRDefault="00903438">
            <w:pPr>
              <w:pStyle w:val="a3"/>
              <w:tabs>
                <w:tab w:val="clear" w:pos="8306"/>
              </w:tabs>
              <w:jc w:val="center"/>
              <w:rPr>
                <w:rFonts w:ascii="Tahoma" w:hAnsi="Tahoma" w:cs="Tahoma"/>
                <w:b/>
                <w:bCs/>
                <w:color w:val="000080"/>
                <w:sz w:val="20"/>
                <w:szCs w:val="20"/>
                <w:rtl/>
              </w:rPr>
            </w:pPr>
            <w:bookmarkStart w:id="0" w:name="LastJudge"/>
            <w:r w:rsidRPr="00903438">
              <w:rPr>
                <w:rFonts w:ascii="Tahoma" w:hAnsi="Tahoma" w:cs="Tahoma" w:hint="cs"/>
                <w:b/>
                <w:bCs/>
                <w:color w:val="000080"/>
                <w:sz w:val="20"/>
                <w:szCs w:val="20"/>
                <w:rtl/>
              </w:rPr>
              <w:t>בתי המשפט</w:t>
            </w:r>
          </w:p>
        </w:tc>
      </w:tr>
      <w:tr w:rsidR="004F1C06" w:rsidRPr="00903438" w14:paraId="2F9A5EDD" w14:textId="77777777">
        <w:trPr>
          <w:trHeight w:val="709"/>
          <w:jc w:val="center"/>
        </w:trPr>
        <w:tc>
          <w:tcPr>
            <w:tcW w:w="4805" w:type="dxa"/>
          </w:tcPr>
          <w:p w14:paraId="5257ECB0" w14:textId="77777777" w:rsidR="004F1C06" w:rsidRPr="00903438" w:rsidRDefault="00903438">
            <w:pPr>
              <w:rPr>
                <w:b/>
                <w:bCs/>
                <w:sz w:val="28"/>
                <w:szCs w:val="28"/>
                <w:rtl/>
              </w:rPr>
            </w:pPr>
            <w:r w:rsidRPr="00903438">
              <w:rPr>
                <w:rFonts w:hint="cs"/>
                <w:b/>
                <w:bCs/>
                <w:sz w:val="28"/>
                <w:szCs w:val="28"/>
                <w:rtl/>
              </w:rPr>
              <w:t>בית משפט השלום קריית גת</w:t>
            </w:r>
          </w:p>
        </w:tc>
        <w:tc>
          <w:tcPr>
            <w:tcW w:w="236" w:type="dxa"/>
            <w:vMerge w:val="restart"/>
          </w:tcPr>
          <w:p w14:paraId="122002E4" w14:textId="77777777" w:rsidR="004F1C06" w:rsidRPr="00903438" w:rsidRDefault="004F1C06">
            <w:pPr>
              <w:pStyle w:val="a3"/>
              <w:jc w:val="right"/>
              <w:rPr>
                <w:b/>
                <w:bCs/>
                <w:sz w:val="28"/>
                <w:szCs w:val="28"/>
                <w:rtl/>
              </w:rPr>
            </w:pPr>
          </w:p>
        </w:tc>
        <w:tc>
          <w:tcPr>
            <w:tcW w:w="3679" w:type="dxa"/>
            <w:vMerge w:val="restart"/>
          </w:tcPr>
          <w:p w14:paraId="711BAE55" w14:textId="77777777" w:rsidR="004F1C06" w:rsidRPr="00903438" w:rsidRDefault="00903438">
            <w:pPr>
              <w:jc w:val="right"/>
              <w:rPr>
                <w:b/>
                <w:bCs/>
                <w:sz w:val="28"/>
                <w:szCs w:val="28"/>
                <w:rtl/>
              </w:rPr>
            </w:pPr>
            <w:r w:rsidRPr="00903438">
              <w:rPr>
                <w:b/>
                <w:bCs/>
                <w:sz w:val="28"/>
                <w:szCs w:val="28"/>
                <w:rtl/>
              </w:rPr>
              <w:t>ת"פ</w:t>
            </w:r>
            <w:r w:rsidRPr="00903438">
              <w:rPr>
                <w:rFonts w:hint="cs"/>
                <w:b/>
                <w:bCs/>
                <w:sz w:val="28"/>
                <w:szCs w:val="28"/>
                <w:rtl/>
              </w:rPr>
              <w:t xml:space="preserve"> </w:t>
            </w:r>
            <w:r w:rsidRPr="00903438">
              <w:rPr>
                <w:b/>
                <w:bCs/>
                <w:sz w:val="28"/>
                <w:szCs w:val="28"/>
                <w:rtl/>
              </w:rPr>
              <w:t>49680-08-10</w:t>
            </w:r>
          </w:p>
          <w:p w14:paraId="4DFBD3FC" w14:textId="77777777" w:rsidR="004F1C06" w:rsidRPr="00903438" w:rsidRDefault="00903438">
            <w:pPr>
              <w:jc w:val="right"/>
              <w:rPr>
                <w:noProof/>
                <w:szCs w:val="24"/>
                <w:rtl/>
              </w:rPr>
            </w:pPr>
            <w:r w:rsidRPr="00903438">
              <w:rPr>
                <w:rtl/>
              </w:rPr>
              <w:t xml:space="preserve">     </w:t>
            </w:r>
            <w:r w:rsidRPr="00903438">
              <w:rPr>
                <w:rFonts w:hint="cs"/>
                <w:rtl/>
              </w:rPr>
              <w:t xml:space="preserve">מאוחד עם </w:t>
            </w:r>
            <w:r w:rsidRPr="00A60D5D">
              <w:rPr>
                <w:color w:val="000000"/>
                <w:rtl/>
              </w:rPr>
              <w:t>ת.פ. 15638-03-11</w:t>
            </w:r>
            <w:r w:rsidRPr="00903438">
              <w:rPr>
                <w:rFonts w:hint="cs"/>
                <w:rtl/>
              </w:rPr>
              <w:t xml:space="preserve"> </w:t>
            </w:r>
          </w:p>
          <w:p w14:paraId="510053F8" w14:textId="77777777" w:rsidR="004F1C06" w:rsidRPr="00903438" w:rsidRDefault="00903438">
            <w:pPr>
              <w:pStyle w:val="a3"/>
              <w:tabs>
                <w:tab w:val="clear" w:pos="4153"/>
              </w:tabs>
              <w:jc w:val="right"/>
              <w:rPr>
                <w:b/>
                <w:bCs/>
                <w:sz w:val="20"/>
                <w:szCs w:val="20"/>
                <w:rtl/>
              </w:rPr>
            </w:pPr>
            <w:r w:rsidRPr="00A60D5D">
              <w:rPr>
                <w:color w:val="000000"/>
                <w:rtl/>
              </w:rPr>
              <w:t>ת.פ. 12894-09-11</w:t>
            </w:r>
            <w:r w:rsidRPr="00A60D5D">
              <w:rPr>
                <w:color w:val="000000"/>
                <w:rtl/>
              </w:rPr>
              <w:cr/>
              <w:t>ת.פ. 11271-10-11</w:t>
            </w:r>
            <w:r w:rsidRPr="00A60D5D">
              <w:rPr>
                <w:color w:val="000000"/>
                <w:rtl/>
              </w:rPr>
              <w:cr/>
              <w:t>ת.פ. 11347-10-11</w:t>
            </w:r>
            <w:r w:rsidRPr="00A60D5D">
              <w:rPr>
                <w:color w:val="000000"/>
                <w:rtl/>
              </w:rPr>
              <w:cr/>
              <w:t>ת.פ. 6978-03-08</w:t>
            </w:r>
            <w:r w:rsidRPr="00A60D5D">
              <w:rPr>
                <w:color w:val="000000"/>
                <w:rtl/>
              </w:rPr>
              <w:cr/>
            </w:r>
            <w:r w:rsidRPr="00903438">
              <w:rPr>
                <w:rFonts w:hint="cs"/>
                <w:sz w:val="20"/>
                <w:szCs w:val="20"/>
                <w:rtl/>
              </w:rPr>
              <w:t>תיק חיצוני</w:t>
            </w:r>
            <w:r w:rsidRPr="00903438">
              <w:rPr>
                <w:rFonts w:hint="cs"/>
                <w:rtl/>
              </w:rPr>
              <w:t xml:space="preserve">: </w:t>
            </w:r>
            <w:r w:rsidRPr="00903438">
              <w:rPr>
                <w:rFonts w:hint="cs"/>
                <w:sz w:val="20"/>
                <w:szCs w:val="20"/>
                <w:rtl/>
              </w:rPr>
              <w:t>0-3830-02692-2010</w:t>
            </w:r>
          </w:p>
          <w:p w14:paraId="14A240BD" w14:textId="77777777" w:rsidR="004F1C06" w:rsidRPr="00903438" w:rsidRDefault="00903438">
            <w:pPr>
              <w:pStyle w:val="a3"/>
              <w:tabs>
                <w:tab w:val="clear" w:pos="4153"/>
              </w:tabs>
              <w:jc w:val="right"/>
              <w:rPr>
                <w:b/>
                <w:bCs/>
                <w:sz w:val="28"/>
                <w:szCs w:val="28"/>
                <w:rtl/>
              </w:rPr>
            </w:pPr>
            <w:r w:rsidRPr="00903438">
              <w:rPr>
                <w:b/>
                <w:bCs/>
                <w:sz w:val="28"/>
                <w:szCs w:val="28"/>
                <w:rtl/>
              </w:rPr>
              <w:t>30 יוני 2013</w:t>
            </w:r>
          </w:p>
        </w:tc>
      </w:tr>
      <w:tr w:rsidR="004F1C06" w:rsidRPr="00903438" w14:paraId="38B5460B" w14:textId="77777777">
        <w:trPr>
          <w:trHeight w:val="547"/>
          <w:jc w:val="center"/>
        </w:trPr>
        <w:tc>
          <w:tcPr>
            <w:tcW w:w="4805" w:type="dxa"/>
          </w:tcPr>
          <w:p w14:paraId="503613B5" w14:textId="77777777" w:rsidR="004F1C06" w:rsidRPr="00903438" w:rsidRDefault="00903438">
            <w:pPr>
              <w:rPr>
                <w:b/>
                <w:bCs/>
                <w:sz w:val="28"/>
                <w:szCs w:val="28"/>
                <w:rtl/>
              </w:rPr>
            </w:pPr>
            <w:r w:rsidRPr="00903438">
              <w:rPr>
                <w:rFonts w:hint="cs"/>
                <w:b/>
                <w:bCs/>
                <w:sz w:val="28"/>
                <w:szCs w:val="28"/>
                <w:rtl/>
              </w:rPr>
              <w:t>בפני: כב' ה</w:t>
            </w:r>
            <w:r w:rsidRPr="00903438">
              <w:rPr>
                <w:b/>
                <w:bCs/>
                <w:sz w:val="28"/>
                <w:szCs w:val="28"/>
                <w:rtl/>
              </w:rPr>
              <w:t>שופטת בכירה רובין לביא</w:t>
            </w:r>
          </w:p>
        </w:tc>
        <w:tc>
          <w:tcPr>
            <w:tcW w:w="236" w:type="dxa"/>
            <w:vMerge/>
          </w:tcPr>
          <w:p w14:paraId="459EF546" w14:textId="77777777" w:rsidR="004F1C06" w:rsidRPr="00903438" w:rsidRDefault="004F1C06">
            <w:pPr>
              <w:pStyle w:val="a3"/>
              <w:jc w:val="right"/>
              <w:rPr>
                <w:b/>
                <w:bCs/>
                <w:sz w:val="28"/>
                <w:szCs w:val="28"/>
                <w:rtl/>
              </w:rPr>
            </w:pPr>
          </w:p>
        </w:tc>
        <w:tc>
          <w:tcPr>
            <w:tcW w:w="3679" w:type="dxa"/>
            <w:vMerge/>
          </w:tcPr>
          <w:p w14:paraId="7E345531" w14:textId="77777777" w:rsidR="004F1C06" w:rsidRPr="00903438" w:rsidRDefault="004F1C06">
            <w:pPr>
              <w:jc w:val="right"/>
              <w:rPr>
                <w:b/>
                <w:bCs/>
                <w:sz w:val="28"/>
                <w:szCs w:val="28"/>
                <w:rtl/>
              </w:rPr>
            </w:pPr>
          </w:p>
        </w:tc>
      </w:tr>
    </w:tbl>
    <w:p w14:paraId="1D4CD69C" w14:textId="77777777" w:rsidR="004F1C06" w:rsidRPr="00903438" w:rsidRDefault="004F1C06">
      <w:pPr>
        <w:pStyle w:val="a3"/>
        <w:jc w:val="center"/>
        <w:rPr>
          <w:rFonts w:ascii="Tahoma" w:hAnsi="Tahoma" w:cs="Tahoma"/>
          <w:b/>
          <w:bCs/>
          <w:color w:val="000080"/>
          <w:sz w:val="20"/>
          <w:szCs w:val="20"/>
          <w:rtl/>
        </w:rPr>
      </w:pPr>
    </w:p>
    <w:p w14:paraId="27D1E482" w14:textId="77777777" w:rsidR="004F1C06" w:rsidRPr="00903438" w:rsidRDefault="004F1C06">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4F1C06" w:rsidRPr="00903438" w14:paraId="2ECEC805" w14:textId="77777777">
        <w:tc>
          <w:tcPr>
            <w:tcW w:w="945" w:type="dxa"/>
          </w:tcPr>
          <w:p w14:paraId="3A380DCB" w14:textId="77777777" w:rsidR="004F1C06" w:rsidRPr="00903438" w:rsidRDefault="00903438">
            <w:pPr>
              <w:jc w:val="left"/>
              <w:rPr>
                <w:rFonts w:ascii="Times New Roman" w:eastAsia="Times New Roman" w:hAnsi="Times New Roman"/>
                <w:b/>
                <w:bCs/>
                <w:sz w:val="26"/>
                <w:rtl/>
              </w:rPr>
            </w:pPr>
            <w:bookmarkStart w:id="1" w:name="FirstAppellant"/>
            <w:r w:rsidRPr="00903438">
              <w:rPr>
                <w:rFonts w:ascii="Times New Roman" w:eastAsia="Times New Roman" w:hAnsi="Times New Roman" w:hint="cs"/>
                <w:b/>
                <w:bCs/>
                <w:sz w:val="26"/>
                <w:rtl/>
              </w:rPr>
              <w:t>בעניין:</w:t>
            </w:r>
          </w:p>
        </w:tc>
        <w:tc>
          <w:tcPr>
            <w:tcW w:w="7857" w:type="dxa"/>
            <w:gridSpan w:val="4"/>
          </w:tcPr>
          <w:p w14:paraId="1375F1ED" w14:textId="77777777" w:rsidR="004F1C06" w:rsidRPr="00903438" w:rsidRDefault="00903438">
            <w:pPr>
              <w:jc w:val="left"/>
              <w:rPr>
                <w:rFonts w:ascii="Times New Roman" w:eastAsia="Times New Roman" w:hAnsi="Times New Roman"/>
                <w:b/>
                <w:bCs/>
                <w:sz w:val="26"/>
                <w:rtl/>
              </w:rPr>
            </w:pPr>
            <w:r w:rsidRPr="00903438">
              <w:rPr>
                <w:rFonts w:ascii="Times New Roman" w:eastAsia="Times New Roman" w:hAnsi="Times New Roman" w:hint="cs"/>
                <w:b/>
                <w:bCs/>
                <w:sz w:val="26"/>
                <w:rtl/>
              </w:rPr>
              <w:t>מדינת ישראל</w:t>
            </w:r>
          </w:p>
        </w:tc>
      </w:tr>
      <w:bookmarkEnd w:id="1"/>
      <w:tr w:rsidR="004F1C06" w:rsidRPr="00903438" w14:paraId="5D00A2AF" w14:textId="77777777">
        <w:trPr>
          <w:gridAfter w:val="1"/>
          <w:wAfter w:w="106" w:type="dxa"/>
        </w:trPr>
        <w:tc>
          <w:tcPr>
            <w:tcW w:w="945" w:type="dxa"/>
          </w:tcPr>
          <w:p w14:paraId="4DDC4720" w14:textId="77777777" w:rsidR="004F1C06" w:rsidRPr="00903438" w:rsidRDefault="004F1C06">
            <w:pPr>
              <w:ind w:left="26"/>
              <w:jc w:val="left"/>
              <w:rPr>
                <w:rFonts w:ascii="Times New Roman" w:eastAsia="Times New Roman" w:hAnsi="Times New Roman"/>
                <w:b/>
                <w:bCs/>
                <w:sz w:val="26"/>
                <w:rtl/>
              </w:rPr>
            </w:pPr>
          </w:p>
        </w:tc>
        <w:tc>
          <w:tcPr>
            <w:tcW w:w="6416" w:type="dxa"/>
          </w:tcPr>
          <w:p w14:paraId="16A17244" w14:textId="77777777" w:rsidR="004F1C06" w:rsidRPr="00903438" w:rsidRDefault="004F1C06">
            <w:pPr>
              <w:jc w:val="left"/>
              <w:rPr>
                <w:rFonts w:ascii="Times New Roman" w:eastAsia="Times New Roman" w:hAnsi="Times New Roman"/>
                <w:b/>
                <w:bCs/>
                <w:sz w:val="26"/>
                <w:rtl/>
              </w:rPr>
            </w:pPr>
          </w:p>
        </w:tc>
        <w:tc>
          <w:tcPr>
            <w:tcW w:w="1335" w:type="dxa"/>
            <w:gridSpan w:val="2"/>
          </w:tcPr>
          <w:p w14:paraId="4AA953CC" w14:textId="77777777" w:rsidR="004F1C06" w:rsidRPr="00903438" w:rsidRDefault="00903438">
            <w:pPr>
              <w:ind w:left="26"/>
              <w:jc w:val="left"/>
              <w:rPr>
                <w:rFonts w:ascii="Times New Roman" w:eastAsia="Times New Roman" w:hAnsi="Times New Roman"/>
                <w:b/>
                <w:bCs/>
                <w:sz w:val="26"/>
                <w:rtl/>
              </w:rPr>
            </w:pPr>
            <w:r w:rsidRPr="00903438">
              <w:rPr>
                <w:rFonts w:ascii="Times New Roman" w:eastAsia="Times New Roman" w:hAnsi="Times New Roman" w:hint="cs"/>
                <w:b/>
                <w:bCs/>
                <w:sz w:val="26"/>
                <w:rtl/>
              </w:rPr>
              <w:t>המאשימה</w:t>
            </w:r>
          </w:p>
        </w:tc>
      </w:tr>
      <w:tr w:rsidR="004F1C06" w:rsidRPr="00903438" w14:paraId="1FD531B5" w14:textId="77777777">
        <w:trPr>
          <w:gridAfter w:val="1"/>
          <w:wAfter w:w="106" w:type="dxa"/>
        </w:trPr>
        <w:tc>
          <w:tcPr>
            <w:tcW w:w="8696" w:type="dxa"/>
            <w:gridSpan w:val="4"/>
          </w:tcPr>
          <w:p w14:paraId="7C6DEACA" w14:textId="77777777" w:rsidR="004F1C06" w:rsidRPr="00903438" w:rsidRDefault="00903438">
            <w:pPr>
              <w:jc w:val="center"/>
              <w:rPr>
                <w:rFonts w:ascii="Arial" w:eastAsia="Times New Roman" w:hAnsi="Arial"/>
                <w:b/>
                <w:bCs/>
                <w:sz w:val="26"/>
              </w:rPr>
            </w:pPr>
            <w:r w:rsidRPr="00903438">
              <w:rPr>
                <w:rFonts w:ascii="Arial" w:eastAsia="Times New Roman" w:hAnsi="Arial"/>
                <w:b/>
                <w:bCs/>
                <w:sz w:val="26"/>
                <w:rtl/>
              </w:rPr>
              <w:t>נ</w:t>
            </w:r>
            <w:r w:rsidRPr="00903438">
              <w:rPr>
                <w:rFonts w:ascii="Arial" w:eastAsia="Times New Roman" w:hAnsi="Arial" w:hint="cs"/>
                <w:b/>
                <w:bCs/>
                <w:sz w:val="26"/>
                <w:rtl/>
              </w:rPr>
              <w:t xml:space="preserve"> </w:t>
            </w:r>
            <w:r w:rsidRPr="00903438">
              <w:rPr>
                <w:rFonts w:ascii="Arial" w:eastAsia="Times New Roman" w:hAnsi="Arial"/>
                <w:b/>
                <w:bCs/>
                <w:sz w:val="26"/>
                <w:rtl/>
              </w:rPr>
              <w:t>ג</w:t>
            </w:r>
            <w:r w:rsidRPr="00903438">
              <w:rPr>
                <w:rFonts w:ascii="Arial" w:eastAsia="Times New Roman" w:hAnsi="Arial" w:hint="cs"/>
                <w:b/>
                <w:bCs/>
                <w:sz w:val="26"/>
                <w:rtl/>
              </w:rPr>
              <w:t xml:space="preserve"> </w:t>
            </w:r>
            <w:r w:rsidRPr="00903438">
              <w:rPr>
                <w:rFonts w:ascii="Arial" w:eastAsia="Times New Roman" w:hAnsi="Arial"/>
                <w:b/>
                <w:bCs/>
                <w:sz w:val="26"/>
                <w:rtl/>
              </w:rPr>
              <w:t>ד</w:t>
            </w:r>
          </w:p>
        </w:tc>
      </w:tr>
      <w:tr w:rsidR="004F1C06" w:rsidRPr="00903438" w14:paraId="2ED7C29E" w14:textId="77777777">
        <w:trPr>
          <w:gridAfter w:val="1"/>
          <w:wAfter w:w="106" w:type="dxa"/>
        </w:trPr>
        <w:tc>
          <w:tcPr>
            <w:tcW w:w="945" w:type="dxa"/>
          </w:tcPr>
          <w:p w14:paraId="50E0BD00" w14:textId="77777777" w:rsidR="004F1C06" w:rsidRPr="00903438" w:rsidRDefault="004F1C06">
            <w:pPr>
              <w:ind w:left="26"/>
              <w:rPr>
                <w:rFonts w:ascii="Times New Roman" w:eastAsia="Times New Roman" w:hAnsi="Times New Roman"/>
                <w:b/>
                <w:bCs/>
                <w:sz w:val="26"/>
                <w:rtl/>
              </w:rPr>
            </w:pPr>
          </w:p>
        </w:tc>
        <w:tc>
          <w:tcPr>
            <w:tcW w:w="6435" w:type="dxa"/>
            <w:gridSpan w:val="2"/>
          </w:tcPr>
          <w:p w14:paraId="58BF9771" w14:textId="77777777" w:rsidR="004F1C06" w:rsidRPr="00903438" w:rsidRDefault="00903438">
            <w:pPr>
              <w:jc w:val="left"/>
              <w:rPr>
                <w:b/>
                <w:bCs/>
                <w:sz w:val="26"/>
                <w:rtl/>
              </w:rPr>
            </w:pPr>
            <w:r w:rsidRPr="00903438">
              <w:rPr>
                <w:rFonts w:ascii="Times New Roman" w:eastAsia="Times New Roman" w:hAnsi="Times New Roman" w:hint="cs"/>
                <w:rtl/>
              </w:rPr>
              <w:t>שלומי אבוזגלו</w:t>
            </w:r>
            <w:r w:rsidRPr="00903438">
              <w:rPr>
                <w:rFonts w:ascii="Times New Roman" w:eastAsia="Times New Roman" w:hAnsi="Times New Roman" w:hint="cs"/>
                <w:b/>
                <w:bCs/>
                <w:sz w:val="26"/>
                <w:rtl/>
              </w:rPr>
              <w:t xml:space="preserve"> </w:t>
            </w:r>
            <w:r w:rsidRPr="00903438">
              <w:rPr>
                <w:rFonts w:ascii="Times New Roman" w:eastAsia="Times New Roman" w:hAnsi="Times New Roman" w:hint="cs"/>
                <w:rtl/>
              </w:rPr>
              <w:t>ת.ז.</w:t>
            </w:r>
            <w:r w:rsidRPr="00903438">
              <w:rPr>
                <w:rFonts w:ascii="Times New Roman" w:eastAsia="Times New Roman" w:hAnsi="Times New Roman" w:hint="cs"/>
                <w:b/>
                <w:bCs/>
                <w:sz w:val="26"/>
                <w:rtl/>
              </w:rPr>
              <w:t xml:space="preserve"> </w:t>
            </w:r>
            <w:r w:rsidR="00AD27BF">
              <w:rPr>
                <w:rFonts w:ascii="Times New Roman" w:eastAsia="Times New Roman" w:hAnsi="Times New Roman"/>
              </w:rPr>
              <w:t>xxxxxxxxx</w:t>
            </w:r>
          </w:p>
        </w:tc>
        <w:tc>
          <w:tcPr>
            <w:tcW w:w="1316" w:type="dxa"/>
          </w:tcPr>
          <w:p w14:paraId="4921C036" w14:textId="77777777" w:rsidR="004F1C06" w:rsidRPr="00903438" w:rsidRDefault="004F1C06">
            <w:pPr>
              <w:rPr>
                <w:rFonts w:ascii="Times New Roman" w:eastAsia="Times New Roman" w:hAnsi="Times New Roman"/>
                <w:b/>
                <w:bCs/>
                <w:sz w:val="26"/>
                <w:rtl/>
              </w:rPr>
            </w:pPr>
          </w:p>
        </w:tc>
      </w:tr>
      <w:tr w:rsidR="004F1C06" w:rsidRPr="00903438" w14:paraId="75D2E9B7" w14:textId="77777777">
        <w:trPr>
          <w:gridAfter w:val="1"/>
          <w:wAfter w:w="106" w:type="dxa"/>
        </w:trPr>
        <w:tc>
          <w:tcPr>
            <w:tcW w:w="945" w:type="dxa"/>
          </w:tcPr>
          <w:p w14:paraId="2651E990" w14:textId="77777777" w:rsidR="004F1C06" w:rsidRPr="00903438" w:rsidRDefault="004F1C06">
            <w:pPr>
              <w:ind w:left="26"/>
              <w:jc w:val="left"/>
              <w:rPr>
                <w:rFonts w:ascii="Times New Roman" w:eastAsia="Times New Roman" w:hAnsi="Times New Roman"/>
                <w:b/>
                <w:bCs/>
                <w:sz w:val="26"/>
                <w:rtl/>
              </w:rPr>
            </w:pPr>
          </w:p>
        </w:tc>
        <w:tc>
          <w:tcPr>
            <w:tcW w:w="6435" w:type="dxa"/>
            <w:gridSpan w:val="2"/>
          </w:tcPr>
          <w:p w14:paraId="2F79FBB3" w14:textId="77777777" w:rsidR="004F1C06" w:rsidRPr="00903438" w:rsidRDefault="004F1C06">
            <w:pPr>
              <w:jc w:val="left"/>
              <w:rPr>
                <w:rFonts w:ascii="Times New Roman" w:eastAsia="Times New Roman" w:hAnsi="Times New Roman"/>
                <w:b/>
                <w:bCs/>
                <w:sz w:val="26"/>
                <w:rtl/>
              </w:rPr>
            </w:pPr>
          </w:p>
        </w:tc>
        <w:tc>
          <w:tcPr>
            <w:tcW w:w="1316" w:type="dxa"/>
          </w:tcPr>
          <w:p w14:paraId="75B9D951" w14:textId="77777777" w:rsidR="004F1C06" w:rsidRPr="00903438" w:rsidRDefault="00903438">
            <w:pPr>
              <w:jc w:val="left"/>
              <w:rPr>
                <w:rFonts w:ascii="Times New Roman" w:eastAsia="Times New Roman" w:hAnsi="Times New Roman"/>
                <w:b/>
                <w:bCs/>
                <w:sz w:val="26"/>
                <w:rtl/>
              </w:rPr>
            </w:pPr>
            <w:r w:rsidRPr="00903438">
              <w:rPr>
                <w:rFonts w:ascii="Times New Roman" w:eastAsia="Times New Roman" w:hAnsi="Times New Roman" w:hint="cs"/>
                <w:b/>
                <w:bCs/>
                <w:sz w:val="26"/>
                <w:rtl/>
              </w:rPr>
              <w:t>הנאשם</w:t>
            </w:r>
          </w:p>
        </w:tc>
      </w:tr>
    </w:tbl>
    <w:p w14:paraId="375D03E6" w14:textId="77777777" w:rsidR="004F1C06" w:rsidRPr="00903438" w:rsidRDefault="004F1C06">
      <w:pPr>
        <w:rPr>
          <w:rFonts w:ascii="Arial" w:hAnsi="Arial"/>
          <w:b/>
          <w:bCs/>
          <w:sz w:val="26"/>
          <w:rtl/>
        </w:rPr>
      </w:pPr>
    </w:p>
    <w:p w14:paraId="066B501F" w14:textId="77777777" w:rsidR="004F1C06" w:rsidRPr="00903438" w:rsidRDefault="00903438">
      <w:pPr>
        <w:rPr>
          <w:rFonts w:ascii="Arial" w:hAnsi="Arial"/>
          <w:b/>
          <w:bCs/>
          <w:sz w:val="26"/>
          <w:rtl/>
        </w:rPr>
      </w:pPr>
      <w:r w:rsidRPr="00903438">
        <w:rPr>
          <w:rFonts w:ascii="Arial" w:hAnsi="Arial" w:hint="cs"/>
          <w:b/>
          <w:bCs/>
          <w:sz w:val="26"/>
          <w:rtl/>
        </w:rPr>
        <w:t>נוכחים:</w:t>
      </w:r>
    </w:p>
    <w:p w14:paraId="5DED6643" w14:textId="77777777" w:rsidR="004F1C06" w:rsidRPr="00903438" w:rsidRDefault="00903438">
      <w:pPr>
        <w:rPr>
          <w:rtl/>
        </w:rPr>
      </w:pPr>
      <w:bookmarkStart w:id="2" w:name="FirstLawyer"/>
      <w:r w:rsidRPr="00903438">
        <w:rPr>
          <w:rFonts w:hint="cs"/>
          <w:rtl/>
        </w:rPr>
        <w:t>ב"כ</w:t>
      </w:r>
      <w:bookmarkEnd w:id="2"/>
      <w:r w:rsidRPr="00903438">
        <w:rPr>
          <w:rFonts w:hint="cs"/>
          <w:rtl/>
        </w:rPr>
        <w:t xml:space="preserve"> המאשימה  - בהעדר</w:t>
      </w:r>
    </w:p>
    <w:p w14:paraId="77791099" w14:textId="77777777" w:rsidR="004F1C06" w:rsidRPr="00903438" w:rsidRDefault="00903438">
      <w:pPr>
        <w:rPr>
          <w:rtl/>
        </w:rPr>
      </w:pPr>
      <w:r w:rsidRPr="00903438">
        <w:rPr>
          <w:rFonts w:hint="cs"/>
          <w:rtl/>
        </w:rPr>
        <w:t>הנאשם -       בעצמו</w:t>
      </w:r>
    </w:p>
    <w:p w14:paraId="7A7EABE0" w14:textId="77777777" w:rsidR="004F1C06" w:rsidRPr="00903438" w:rsidRDefault="00903438">
      <w:pPr>
        <w:rPr>
          <w:sz w:val="6"/>
          <w:szCs w:val="6"/>
          <w:rtl/>
        </w:rPr>
      </w:pPr>
      <w:r w:rsidRPr="00903438">
        <w:rPr>
          <w:sz w:val="6"/>
          <w:szCs w:val="6"/>
          <w:rtl/>
        </w:rPr>
        <w:t>&lt;#1#&gt;</w:t>
      </w:r>
    </w:p>
    <w:p w14:paraId="68949899" w14:textId="77777777" w:rsidR="004F1C06" w:rsidRPr="00903438" w:rsidRDefault="004F1C06">
      <w:pPr>
        <w:pStyle w:val="12"/>
        <w:rPr>
          <w:b w:val="0"/>
          <w:bCs w:val="0"/>
          <w:u w:val="none"/>
          <w:rtl/>
        </w:rPr>
      </w:pPr>
    </w:p>
    <w:p w14:paraId="27AF18E6" w14:textId="77777777" w:rsidR="004F1C06" w:rsidRPr="00903438" w:rsidRDefault="004F1C06">
      <w:pPr>
        <w:pStyle w:val="12"/>
        <w:rPr>
          <w:b w:val="0"/>
          <w:bCs w:val="0"/>
          <w:u w:val="none"/>
          <w:rtl/>
        </w:rPr>
      </w:pPr>
    </w:p>
    <w:p w14:paraId="035AF7F0" w14:textId="77777777" w:rsidR="002D4F75" w:rsidRDefault="00903438">
      <w:pPr>
        <w:jc w:val="center"/>
        <w:rPr>
          <w:rFonts w:ascii="Arial" w:hAnsi="Arial"/>
          <w:sz w:val="28"/>
          <w:szCs w:val="28"/>
          <w:rtl/>
        </w:rPr>
      </w:pPr>
      <w:r w:rsidRPr="00903438">
        <w:rPr>
          <w:rFonts w:ascii="Arial" w:hAnsi="Arial"/>
          <w:b/>
          <w:color w:val="FF0000"/>
          <w:sz w:val="28"/>
          <w:szCs w:val="24"/>
          <w:rtl/>
        </w:rPr>
        <w:t>במסמך זה הושמטו פרוטוקולים</w:t>
      </w:r>
      <w:bookmarkStart w:id="3" w:name="LawTable"/>
      <w:bookmarkEnd w:id="3"/>
    </w:p>
    <w:p w14:paraId="53E6777F" w14:textId="77777777" w:rsidR="002D4F75" w:rsidRPr="002D4F75" w:rsidRDefault="002D4F75" w:rsidP="002D4F75">
      <w:pPr>
        <w:spacing w:after="120" w:line="240" w:lineRule="exact"/>
        <w:ind w:left="283" w:hanging="283"/>
        <w:rPr>
          <w:rFonts w:ascii="FrankRuehl" w:hAnsi="FrankRuehl" w:cs="FrankRuehl"/>
          <w:szCs w:val="24"/>
          <w:rtl/>
        </w:rPr>
      </w:pPr>
    </w:p>
    <w:p w14:paraId="4B831DA6" w14:textId="77777777" w:rsidR="002D4F75" w:rsidRPr="002D4F75" w:rsidRDefault="002D4F75" w:rsidP="002D4F75">
      <w:pPr>
        <w:spacing w:after="120" w:line="240" w:lineRule="exact"/>
        <w:ind w:left="283" w:hanging="283"/>
        <w:rPr>
          <w:rFonts w:ascii="FrankRuehl" w:hAnsi="FrankRuehl" w:cs="FrankRuehl"/>
          <w:szCs w:val="24"/>
          <w:rtl/>
        </w:rPr>
      </w:pPr>
      <w:r w:rsidRPr="002D4F75">
        <w:rPr>
          <w:rFonts w:ascii="FrankRuehl" w:hAnsi="FrankRuehl" w:cs="FrankRuehl"/>
          <w:szCs w:val="24"/>
          <w:rtl/>
        </w:rPr>
        <w:t xml:space="preserve">חקיקה שאוזכרה: </w:t>
      </w:r>
    </w:p>
    <w:p w14:paraId="00155355" w14:textId="77777777" w:rsidR="002D4F75" w:rsidRPr="002D4F75" w:rsidRDefault="002D4F75" w:rsidP="002D4F75">
      <w:pPr>
        <w:spacing w:after="120" w:line="240" w:lineRule="exact"/>
        <w:ind w:left="283" w:hanging="283"/>
        <w:rPr>
          <w:rFonts w:ascii="FrankRuehl" w:hAnsi="FrankRuehl" w:cs="FrankRuehl"/>
          <w:szCs w:val="24"/>
          <w:rtl/>
        </w:rPr>
      </w:pPr>
      <w:hyperlink r:id="rId6" w:history="1">
        <w:r w:rsidRPr="002D4F75">
          <w:rPr>
            <w:rFonts w:ascii="FrankRuehl" w:hAnsi="FrankRuehl" w:cs="FrankRuehl"/>
            <w:color w:val="0000FF"/>
            <w:szCs w:val="24"/>
            <w:u w:val="single"/>
            <w:rtl/>
          </w:rPr>
          <w:t>פקודת הסמים המסוכנים [נוסח חדש], תשל"ג-1973</w:t>
        </w:r>
      </w:hyperlink>
    </w:p>
    <w:p w14:paraId="4D2A982E" w14:textId="77777777" w:rsidR="002D4F75" w:rsidRPr="002D4F75" w:rsidRDefault="002D4F75" w:rsidP="002D4F75">
      <w:pPr>
        <w:spacing w:after="120" w:line="240" w:lineRule="exact"/>
        <w:ind w:left="283" w:hanging="283"/>
        <w:rPr>
          <w:rFonts w:ascii="FrankRuehl" w:hAnsi="FrankRuehl" w:cs="FrankRuehl"/>
          <w:szCs w:val="24"/>
          <w:rtl/>
        </w:rPr>
      </w:pPr>
    </w:p>
    <w:p w14:paraId="761CEE4E" w14:textId="77777777" w:rsidR="002D4F75" w:rsidRPr="002D4F75" w:rsidRDefault="002D4F75">
      <w:pPr>
        <w:jc w:val="center"/>
        <w:rPr>
          <w:rFonts w:ascii="Arial" w:hAnsi="Arial"/>
          <w:sz w:val="28"/>
          <w:szCs w:val="28"/>
          <w:rtl/>
        </w:rPr>
      </w:pPr>
      <w:bookmarkStart w:id="4" w:name="LawTable_End"/>
      <w:bookmarkEnd w:id="4"/>
    </w:p>
    <w:p w14:paraId="4EEF2CC2" w14:textId="77777777" w:rsidR="002D4F75" w:rsidRPr="002D4F75" w:rsidRDefault="002D4F75">
      <w:pPr>
        <w:jc w:val="center"/>
        <w:rPr>
          <w:rFonts w:ascii="Arial" w:hAnsi="Arial"/>
          <w:b/>
          <w:bCs/>
          <w:sz w:val="28"/>
          <w:szCs w:val="28"/>
          <w:rtl/>
        </w:rPr>
      </w:pPr>
    </w:p>
    <w:p w14:paraId="4894E338" w14:textId="77777777" w:rsidR="004F1C06" w:rsidRPr="002D4F75" w:rsidRDefault="004F1C06">
      <w:pPr>
        <w:jc w:val="center"/>
        <w:rPr>
          <w:rFonts w:ascii="Arial" w:hAnsi="Arial"/>
          <w:b/>
          <w:bCs/>
          <w:sz w:val="28"/>
          <w:szCs w:val="28"/>
          <w:rtl/>
        </w:rPr>
      </w:pPr>
    </w:p>
    <w:p w14:paraId="12DDC5E5" w14:textId="77777777" w:rsidR="00AD27BF" w:rsidRPr="00AD27BF" w:rsidRDefault="00AD27BF">
      <w:pPr>
        <w:jc w:val="center"/>
        <w:rPr>
          <w:rFonts w:ascii="Arial" w:hAnsi="Arial"/>
          <w:sz w:val="28"/>
          <w:szCs w:val="28"/>
          <w:rtl/>
        </w:rPr>
      </w:pPr>
    </w:p>
    <w:p w14:paraId="60FDA0E8" w14:textId="77777777" w:rsidR="00AD27BF" w:rsidRPr="00AD27BF" w:rsidRDefault="00AD27BF">
      <w:pPr>
        <w:jc w:val="center"/>
        <w:rPr>
          <w:rFonts w:ascii="Arial" w:hAnsi="Arial"/>
          <w:b/>
          <w:bCs/>
          <w:sz w:val="28"/>
          <w:szCs w:val="28"/>
          <w:rtl/>
        </w:rPr>
      </w:pPr>
    </w:p>
    <w:p w14:paraId="7D12BF64" w14:textId="77777777" w:rsidR="00903438" w:rsidRPr="00AD27BF" w:rsidRDefault="00903438">
      <w:pPr>
        <w:jc w:val="center"/>
        <w:rPr>
          <w:rFonts w:ascii="Arial" w:hAnsi="Arial"/>
          <w:b/>
          <w:bCs/>
          <w:sz w:val="28"/>
          <w:szCs w:val="28"/>
          <w:rtl/>
        </w:rPr>
      </w:pPr>
    </w:p>
    <w:p w14:paraId="53455ABC" w14:textId="77777777" w:rsidR="00903438" w:rsidRPr="00903438" w:rsidRDefault="00903438" w:rsidP="00903438">
      <w:pPr>
        <w:jc w:val="center"/>
        <w:rPr>
          <w:rFonts w:ascii="Arial" w:hAnsi="Arial"/>
          <w:b/>
          <w:bCs/>
          <w:sz w:val="28"/>
          <w:szCs w:val="28"/>
          <w:u w:val="single"/>
          <w:rtl/>
        </w:rPr>
      </w:pPr>
      <w:bookmarkStart w:id="5" w:name="PsakDin"/>
      <w:bookmarkEnd w:id="0"/>
      <w:r w:rsidRPr="00903438">
        <w:rPr>
          <w:rFonts w:ascii="Arial" w:hAnsi="Arial"/>
          <w:b/>
          <w:bCs/>
          <w:sz w:val="28"/>
          <w:szCs w:val="28"/>
          <w:u w:val="single"/>
          <w:rtl/>
        </w:rPr>
        <w:t>גזר דין</w:t>
      </w:r>
    </w:p>
    <w:bookmarkEnd w:id="5"/>
    <w:p w14:paraId="26B6BE6F" w14:textId="77777777" w:rsidR="004F1C06" w:rsidRDefault="004F1C06">
      <w:pPr>
        <w:jc w:val="center"/>
        <w:rPr>
          <w:szCs w:val="24"/>
          <w:rtl/>
        </w:rPr>
      </w:pPr>
    </w:p>
    <w:p w14:paraId="4BB45D86" w14:textId="77777777" w:rsidR="004F1C06" w:rsidRDefault="00903438">
      <w:pPr>
        <w:rPr>
          <w:rFonts w:ascii="Times New Roman" w:hAnsi="Times New Roman"/>
          <w:noProof/>
          <w:rtl/>
        </w:rPr>
      </w:pPr>
      <w:r>
        <w:rPr>
          <w:szCs w:val="24"/>
          <w:rtl/>
        </w:rPr>
        <w:t xml:space="preserve"> </w:t>
      </w:r>
      <w:r>
        <w:rPr>
          <w:rFonts w:ascii="Arial" w:hAnsi="Arial" w:hint="cs"/>
          <w:rtl/>
        </w:rPr>
        <w:t xml:space="preserve">הנאשם הודה והורשע במסגרת הסדר טיעון לאחר שצירף כל התיקים התלויים ועומדים נגדו. יצוין, כי ביקש לצרף הודה והורשע גם ב- </w:t>
      </w:r>
      <w:hyperlink r:id="rId7" w:history="1">
        <w:r w:rsidR="00AD27BF" w:rsidRPr="00AD27BF">
          <w:rPr>
            <w:rStyle w:val="Hyperlink"/>
            <w:rtl/>
          </w:rPr>
          <w:t>ת.פ. 6978-03-08</w:t>
        </w:r>
      </w:hyperlink>
      <w:r>
        <w:rPr>
          <w:rFonts w:hint="cs"/>
          <w:rtl/>
        </w:rPr>
        <w:t xml:space="preserve"> – הפרת הוראה חוקית  מיום 15.6.10, אך מבדיקה במחשב לא מצאתי תיק שכזה, גם לא ב</w:t>
      </w:r>
      <w:r w:rsidRPr="00A60D5D">
        <w:rPr>
          <w:color w:val="000000"/>
          <w:rtl/>
        </w:rPr>
        <w:t>ת.פ. 6978-03-10</w:t>
      </w:r>
      <w:r>
        <w:rPr>
          <w:rFonts w:hint="cs"/>
          <w:rtl/>
        </w:rPr>
        <w:t xml:space="preserve"> שאמור להיות המועד הנכון לאור מועד העבירה על פי הנטען בפני, אך גם זה אינו התיק הנכון אלא תביעה אזרחית. </w:t>
      </w:r>
    </w:p>
    <w:p w14:paraId="6174B62B" w14:textId="77777777" w:rsidR="004F1C06" w:rsidRDefault="00903438">
      <w:pPr>
        <w:rPr>
          <w:rFonts w:ascii="Arial" w:hAnsi="Arial"/>
          <w:rtl/>
        </w:rPr>
      </w:pPr>
      <w:r>
        <w:rPr>
          <w:rFonts w:ascii="Arial" w:hAnsi="Arial" w:hint="cs"/>
          <w:rtl/>
        </w:rPr>
        <w:t>האישומים אם כן בהם הודה והורשע הם כמפורט:</w:t>
      </w:r>
    </w:p>
    <w:p w14:paraId="557D7D51" w14:textId="77777777" w:rsidR="004F1C06" w:rsidRDefault="004F1C06">
      <w:pPr>
        <w:rPr>
          <w:rFonts w:ascii="Arial" w:hAnsi="Arial"/>
          <w:rtl/>
        </w:rPr>
      </w:pPr>
    </w:p>
    <w:p w14:paraId="4A3D6344" w14:textId="77777777" w:rsidR="004F1C06" w:rsidRDefault="00AD27BF">
      <w:pPr>
        <w:rPr>
          <w:rFonts w:ascii="Arial" w:hAnsi="Arial"/>
          <w:rtl/>
        </w:rPr>
      </w:pPr>
      <w:hyperlink r:id="rId8" w:history="1">
        <w:r w:rsidRPr="00AD27BF">
          <w:rPr>
            <w:rStyle w:val="Hyperlink"/>
            <w:rFonts w:ascii="Arial" w:hAnsi="Arial"/>
            <w:rtl/>
          </w:rPr>
          <w:t>ת.פ. 49680-08-10</w:t>
        </w:r>
      </w:hyperlink>
      <w:r w:rsidR="00903438">
        <w:rPr>
          <w:rFonts w:ascii="Arial" w:hAnsi="Arial" w:hint="cs"/>
          <w:rtl/>
        </w:rPr>
        <w:t xml:space="preserve"> ב- 20.5.10 בית משפט הורה כי ישהה בתנאי מעצר בית מלא בבית אמו בקרית מלאכי, למרות זאת ב- 29.7.10 הוא שהה מחוץ לבית, תוך שמפר הוראה חוקית וכששוטר קרא לו, נמלט בריצה לבית תוך שמכשיל השוטר במילוי תפקידו. </w:t>
      </w:r>
    </w:p>
    <w:p w14:paraId="3016158D" w14:textId="77777777" w:rsidR="004F1C06" w:rsidRDefault="004F1C06">
      <w:pPr>
        <w:rPr>
          <w:rFonts w:ascii="Arial" w:hAnsi="Arial"/>
          <w:rtl/>
        </w:rPr>
      </w:pPr>
    </w:p>
    <w:p w14:paraId="5A4580A3" w14:textId="77777777" w:rsidR="004F1C06" w:rsidRDefault="00AD27BF">
      <w:pPr>
        <w:rPr>
          <w:rFonts w:ascii="Arial" w:hAnsi="Arial"/>
          <w:rtl/>
        </w:rPr>
      </w:pPr>
      <w:hyperlink r:id="rId9" w:history="1">
        <w:r w:rsidRPr="00AD27BF">
          <w:rPr>
            <w:rStyle w:val="Hyperlink"/>
            <w:rFonts w:ascii="Arial" w:hAnsi="Arial"/>
            <w:rtl/>
          </w:rPr>
          <w:t>ת.פ.   11271-10-11</w:t>
        </w:r>
      </w:hyperlink>
      <w:r w:rsidR="00903438">
        <w:rPr>
          <w:rFonts w:ascii="Arial" w:hAnsi="Arial" w:hint="cs"/>
          <w:rtl/>
        </w:rPr>
        <w:t xml:space="preserve"> – בתאריך 13.7.11 פגש הנאשם בדוד קורלי שביקש ממנו סם והוא הפנה אותו למקום ששם יש סם. בעקבות זאת ניגש דוד לאותו  מקום ונטל משם סם מסוכן מסוג חשיש במשקל 0.96 גרם נטו, עבירה של ביצוע עסקה אחרת בסמים;</w:t>
      </w:r>
    </w:p>
    <w:p w14:paraId="3764D2D2" w14:textId="77777777" w:rsidR="004F1C06" w:rsidRDefault="004F1C06">
      <w:pPr>
        <w:rPr>
          <w:rFonts w:ascii="Arial" w:hAnsi="Arial"/>
          <w:rtl/>
        </w:rPr>
      </w:pPr>
    </w:p>
    <w:p w14:paraId="31F88174" w14:textId="77777777" w:rsidR="004F1C06" w:rsidRDefault="00AD27BF">
      <w:pPr>
        <w:rPr>
          <w:rFonts w:ascii="Arial" w:hAnsi="Arial"/>
          <w:rtl/>
        </w:rPr>
      </w:pPr>
      <w:hyperlink r:id="rId10" w:history="1">
        <w:r w:rsidRPr="00AD27BF">
          <w:rPr>
            <w:rStyle w:val="Hyperlink"/>
            <w:rFonts w:ascii="Arial" w:hAnsi="Arial"/>
            <w:rtl/>
          </w:rPr>
          <w:t>ת.פ.  15638-03-11</w:t>
        </w:r>
      </w:hyperlink>
      <w:r w:rsidR="00903438">
        <w:rPr>
          <w:rFonts w:ascii="Arial" w:hAnsi="Arial" w:hint="cs"/>
          <w:rtl/>
        </w:rPr>
        <w:t xml:space="preserve"> – בתאריך 26.12.10 בצהריים החזיק סם מסוכן מסוג חשיש במשקל כולל של 45.5 גרם חשיש לצריכתו העצמית;</w:t>
      </w:r>
    </w:p>
    <w:p w14:paraId="258B1DB4" w14:textId="77777777" w:rsidR="004F1C06" w:rsidRDefault="004F1C06">
      <w:pPr>
        <w:rPr>
          <w:rFonts w:ascii="Arial" w:hAnsi="Arial"/>
          <w:rtl/>
        </w:rPr>
      </w:pPr>
    </w:p>
    <w:p w14:paraId="64FF3EB5" w14:textId="77777777" w:rsidR="004F1C06" w:rsidRDefault="00AD27BF">
      <w:pPr>
        <w:rPr>
          <w:rFonts w:ascii="Arial" w:hAnsi="Arial"/>
          <w:rtl/>
        </w:rPr>
      </w:pPr>
      <w:hyperlink r:id="rId11" w:history="1">
        <w:r w:rsidRPr="00AD27BF">
          <w:rPr>
            <w:rStyle w:val="Hyperlink"/>
            <w:rFonts w:ascii="Arial" w:hAnsi="Arial"/>
            <w:rtl/>
          </w:rPr>
          <w:t>ת.פ. 11347-10-11</w:t>
        </w:r>
      </w:hyperlink>
      <w:r w:rsidR="00903438">
        <w:rPr>
          <w:rFonts w:ascii="Arial" w:hAnsi="Arial" w:hint="cs"/>
          <w:rtl/>
        </w:rPr>
        <w:t xml:space="preserve"> – בתאריך 13.7.11 בשעה 3:00 הגיע לדירתו בקרית מלאכי, אך בת זוגו חן בוזגלו דרשה שיאסוף חפציו ויעזוב את המקום ובתגובה תקף אותה בכך שדחף אותה;</w:t>
      </w:r>
    </w:p>
    <w:p w14:paraId="2F158810" w14:textId="77777777" w:rsidR="004F1C06" w:rsidRDefault="004F1C06">
      <w:pPr>
        <w:rPr>
          <w:rFonts w:ascii="Arial" w:hAnsi="Arial"/>
          <w:rtl/>
        </w:rPr>
      </w:pPr>
    </w:p>
    <w:p w14:paraId="68118D46" w14:textId="77777777" w:rsidR="004F1C06" w:rsidRDefault="00AD27BF">
      <w:pPr>
        <w:rPr>
          <w:rFonts w:ascii="Times New Roman" w:hAnsi="Times New Roman"/>
          <w:noProof/>
          <w:rtl/>
        </w:rPr>
      </w:pPr>
      <w:hyperlink r:id="rId12" w:history="1">
        <w:r w:rsidRPr="00AD27BF">
          <w:rPr>
            <w:rStyle w:val="Hyperlink"/>
            <w:rtl/>
          </w:rPr>
          <w:t>ת.פ. 12894-09-11</w:t>
        </w:r>
      </w:hyperlink>
      <w:r w:rsidR="00903438">
        <w:rPr>
          <w:rFonts w:hint="cs"/>
          <w:rtl/>
        </w:rPr>
        <w:t xml:space="preserve"> – בתאריך 8.3.11 בדירתו החזיק שלא כדין סם מסוכן מסוג חשיש במשקל 0.82 גרם נטו לצריכתו העצמית.</w:t>
      </w:r>
    </w:p>
    <w:p w14:paraId="0465B0DE" w14:textId="77777777" w:rsidR="004F1C06" w:rsidRDefault="004F1C06">
      <w:pPr>
        <w:rPr>
          <w:rFonts w:ascii="Arial" w:hAnsi="Arial"/>
          <w:rtl/>
        </w:rPr>
      </w:pPr>
    </w:p>
    <w:p w14:paraId="4C3EE07B" w14:textId="77777777" w:rsidR="004F1C06" w:rsidRDefault="00903438">
      <w:pPr>
        <w:rPr>
          <w:rtl/>
        </w:rPr>
      </w:pPr>
      <w:r>
        <w:rPr>
          <w:rFonts w:hint="cs"/>
          <w:rtl/>
        </w:rPr>
        <w:t>כפי שציינתי בגזר הדין שניתן על ידי היום ב</w:t>
      </w:r>
      <w:hyperlink r:id="rId13" w:history="1">
        <w:r w:rsidR="00AD27BF" w:rsidRPr="00AD27BF">
          <w:rPr>
            <w:rStyle w:val="Hyperlink"/>
            <w:rtl/>
          </w:rPr>
          <w:t>ת.פ. 45582-02-10</w:t>
        </w:r>
      </w:hyperlink>
      <w:r>
        <w:rPr>
          <w:rFonts w:hint="cs"/>
          <w:rtl/>
        </w:rPr>
        <w:t xml:space="preserve"> מדובר במי שבהסכמת התביעה אפשרו לו להשתלב בהליך טיפולי ארוך והתביעה בסופו של יום הסכימה להסתפק בשל כך במאסר לריצוי בעבודות שירות, אף שציינתי כי תמוה בעיני העובדה שלא שולב בהליך טיפולי לגמילה מסמים, אלא רק שולב בטיפול באלימות ובזוגיות.  </w:t>
      </w:r>
    </w:p>
    <w:p w14:paraId="2336B27D" w14:textId="77777777" w:rsidR="004F1C06" w:rsidRDefault="00903438">
      <w:pPr>
        <w:rPr>
          <w:rtl/>
        </w:rPr>
      </w:pPr>
      <w:r>
        <w:rPr>
          <w:rFonts w:hint="cs"/>
          <w:rtl/>
        </w:rPr>
        <w:t xml:space="preserve">לאחר גיבשו ההסדר התברר כי תלויים נגדו מאסרים מותנים מחוייבי הפעלה , מעבר ל- 6 חודשים, ולכן לפנים משורת הדין, נתנה התביעה הסכמתה כי המאסרים מותנים יוארכו במסגרת צו מבחן סמים. לצערי, שירות המבחן לא באו בהמלצה לצו מבחן סמים, אף שבאו בהמלצה להאריך המאסרים המותנים, לכן נאלצתי לבקש מהם תסקיר משלים בענין זה שנתקבל רק ב- 27.6.13. לא ברורה לי התנהלות שירות המבחן, מדוע המליצו על הארכת </w:t>
      </w:r>
      <w:r>
        <w:rPr>
          <w:rFonts w:hint="cs"/>
          <w:rtl/>
        </w:rPr>
        <w:lastRenderedPageBreak/>
        <w:t>מאסרי מותנים לגבי מי שמודה בשימוש בסם ובעסקה אחרת בסם, מבלי שמצאו לנכון לשלבו בהליך טיפולי לגמילה מסמים. נראה כי מסתפקים אך ורק בעובדה שהוא נקי היום מסמים וברור שלא די בכך. לא רק זאת, אלא המלצה לצו מבחן סמים משמע, טיפול לגמילה מסמים ולכן אף שמצאתי לנכון לגזור הדין בשל ההמלצות החוזרות של שירות המבחן, תקוותי כי אלה ישכילו לשלבו בהליך טיפולי מתאים גם בתחום הסמים.</w:t>
      </w:r>
    </w:p>
    <w:p w14:paraId="046A3D28" w14:textId="77777777" w:rsidR="004F1C06" w:rsidRDefault="004F1C06">
      <w:pPr>
        <w:rPr>
          <w:rtl/>
        </w:rPr>
      </w:pPr>
    </w:p>
    <w:p w14:paraId="7AB8CF8A" w14:textId="77777777" w:rsidR="004F1C06" w:rsidRDefault="00903438">
      <w:pPr>
        <w:rPr>
          <w:rtl/>
        </w:rPr>
      </w:pPr>
      <w:r>
        <w:rPr>
          <w:rFonts w:hint="cs"/>
          <w:rtl/>
        </w:rPr>
        <w:t xml:space="preserve">אין כל ספק כי ניתנת לנאשם זה הזדמנות יוצאת דופן, שהרי בפועל היה מקום לגזור דינו למאסר לתקופה ארוכה של מספר שנים. תקוותי, כי ישכיל להמשיך בהליך השיקומי בו החל, לפתוח דף חדש בחייו ולהימנע מביצוע עבירות. </w:t>
      </w:r>
    </w:p>
    <w:p w14:paraId="1EFEE130" w14:textId="77777777" w:rsidR="004F1C06" w:rsidRDefault="004F1C06">
      <w:pPr>
        <w:rPr>
          <w:rtl/>
        </w:rPr>
      </w:pPr>
    </w:p>
    <w:p w14:paraId="3311B240" w14:textId="77777777" w:rsidR="004F1C06" w:rsidRDefault="00903438">
      <w:pPr>
        <w:rPr>
          <w:rtl/>
        </w:rPr>
      </w:pPr>
      <w:r>
        <w:rPr>
          <w:rFonts w:hint="cs"/>
          <w:rtl/>
        </w:rPr>
        <w:t>המאסרים המותנים הוארכו במסגרת צו מבחן סמים והוסבר לו שאם לא יעמוד בתנאים ניתן להפקיע הצו,  לשוב ולגזור דינו מחדש כולל הפעלה של אותם מאסרים מותנים ומאסר ממושך לריצוי בכלא. תקוותי כי בכך יהיה גורם מרתיע ממריץ שימנע ממנו לשוב ולמעוד.</w:t>
      </w:r>
    </w:p>
    <w:p w14:paraId="48F0037D" w14:textId="77777777" w:rsidR="004F1C06" w:rsidRDefault="004F1C06">
      <w:pPr>
        <w:rPr>
          <w:rtl/>
        </w:rPr>
      </w:pPr>
    </w:p>
    <w:p w14:paraId="3AC29BC4" w14:textId="77777777" w:rsidR="004F1C06" w:rsidRDefault="00903438">
      <w:pPr>
        <w:rPr>
          <w:rtl/>
        </w:rPr>
      </w:pPr>
      <w:r>
        <w:rPr>
          <w:rFonts w:hint="cs"/>
          <w:rtl/>
        </w:rPr>
        <w:t>במקרה זה נתקבלה חוות דעת ממונה שמצאו כשיר לרצות מאסר בעבודות שירות ולכן בשל כברת הדרך הארוכה שעבר, בחסות בית המשפט, הסדר הטיעון יכובד.</w:t>
      </w:r>
    </w:p>
    <w:p w14:paraId="56DE815F" w14:textId="77777777" w:rsidR="004F1C06" w:rsidRDefault="004F1C06">
      <w:pPr>
        <w:rPr>
          <w:rtl/>
        </w:rPr>
      </w:pPr>
    </w:p>
    <w:p w14:paraId="31160B2E" w14:textId="77777777" w:rsidR="004F1C06" w:rsidRDefault="00903438">
      <w:pPr>
        <w:rPr>
          <w:rtl/>
        </w:rPr>
      </w:pPr>
      <w:r>
        <w:rPr>
          <w:rFonts w:hint="cs"/>
          <w:rtl/>
        </w:rPr>
        <w:t xml:space="preserve">השאלה הינה לגבי עונש הפסילה, שכן התביעה עותרת לעונש פסילה בפועל, בעוד הסניגורית מבקשת להסתפק בעונש פסילה מותנה בלבד. הכלל הינו כי מי שמורשע בעבירות סמים, כבמקרה זה, יש לגזור דינו לעונש פסילה בפועל ואפילו לתקופה של שנתיים כל עוד לא ימצא כשיר לשוב ולנהוג. יצוין, כי ממילא אין לנאשם רישיון נהיגה.  </w:t>
      </w:r>
    </w:p>
    <w:p w14:paraId="35B7AC3E" w14:textId="77777777" w:rsidR="004F1C06" w:rsidRDefault="004F1C06">
      <w:pPr>
        <w:rPr>
          <w:rtl/>
        </w:rPr>
      </w:pPr>
    </w:p>
    <w:p w14:paraId="625799C4" w14:textId="77777777" w:rsidR="004F1C06" w:rsidRDefault="00903438">
      <w:pPr>
        <w:rPr>
          <w:rtl/>
        </w:rPr>
      </w:pPr>
      <w:r>
        <w:rPr>
          <w:rFonts w:hint="cs"/>
          <w:rtl/>
        </w:rPr>
        <w:t>בהתחשב במהות העבירה ונסיבותיה ולאחר שקילת האינטרס הציבורי מול נסיבותיו/ה האישיות של הנאשם ועברו/ה, אני דנה את הנאשם לעונשים הבאים:</w:t>
      </w:r>
    </w:p>
    <w:p w14:paraId="55B2ECD6" w14:textId="77777777" w:rsidR="004F1C06" w:rsidRDefault="004F1C06">
      <w:pPr>
        <w:rPr>
          <w:rtl/>
        </w:rPr>
      </w:pPr>
    </w:p>
    <w:p w14:paraId="4C34B884" w14:textId="77777777" w:rsidR="004F1C06" w:rsidRDefault="00903438">
      <w:pPr>
        <w:ind w:left="720" w:hanging="720"/>
        <w:rPr>
          <w:rtl/>
        </w:rPr>
      </w:pPr>
      <w:r>
        <w:rPr>
          <w:rFonts w:hint="cs"/>
          <w:rtl/>
        </w:rPr>
        <w:t>1.</w:t>
      </w:r>
      <w:r>
        <w:rPr>
          <w:rFonts w:hint="cs"/>
          <w:rtl/>
        </w:rPr>
        <w:tab/>
        <w:t>מאסר בפועל לתקופה של 6  חודשים, שירוצו בעבודות שירות באגודה למען העיוור, בכתובת הרב יוסף גמליאל 1, גדרה,   וזאת 5 ימים בשבוע, 8.5 שעות יומיות, בפיקוח אינדרפורקר לבנה.</w:t>
      </w:r>
    </w:p>
    <w:p w14:paraId="1D977393" w14:textId="77777777" w:rsidR="004F1C06" w:rsidRDefault="00903438">
      <w:pPr>
        <w:ind w:left="720"/>
        <w:rPr>
          <w:rtl/>
        </w:rPr>
      </w:pPr>
      <w:r>
        <w:rPr>
          <w:rFonts w:hint="cs"/>
          <w:rtl/>
        </w:rPr>
        <w:t xml:space="preserve">תחילת ריצוי המאסר מיום  7.7.13  ועליו להתייצב בשעה 08:00 במועד זה בפני מפקח על עבודות השירות לצורך קליטה והצבה במפקדת מחוז מרכז, יחידת עבודות שירות, רמלה. </w:t>
      </w:r>
    </w:p>
    <w:p w14:paraId="56399D27" w14:textId="77777777" w:rsidR="004F1C06" w:rsidRDefault="00903438">
      <w:pPr>
        <w:ind w:left="720"/>
        <w:rPr>
          <w:rtl/>
        </w:rPr>
      </w:pPr>
      <w:r>
        <w:rPr>
          <w:rFonts w:hint="cs"/>
          <w:rtl/>
        </w:rPr>
        <w:t xml:space="preserve"> (אוטובוס מתחנה מרכזית רמלה או לוד קו מס' 247).</w:t>
      </w:r>
    </w:p>
    <w:p w14:paraId="7B4EB755" w14:textId="77777777" w:rsidR="004F1C06" w:rsidRDefault="00903438">
      <w:pPr>
        <w:ind w:left="720"/>
        <w:rPr>
          <w:rtl/>
        </w:rPr>
      </w:pPr>
      <w:r>
        <w:rPr>
          <w:rFonts w:hint="cs"/>
          <w:rtl/>
        </w:rPr>
        <w:t xml:space="preserve">על הנאשמ/ת לדווח לממונה על עבודות השירות בשב"ס אודות כל שינוי בכתובתו/ה ובפרטיו/ה. </w:t>
      </w:r>
    </w:p>
    <w:p w14:paraId="15DC33BD" w14:textId="77777777" w:rsidR="004F1C06" w:rsidRDefault="00903438">
      <w:pPr>
        <w:ind w:left="720"/>
        <w:rPr>
          <w:rtl/>
        </w:rPr>
      </w:pPr>
      <w:r>
        <w:rPr>
          <w:rFonts w:hint="cs"/>
          <w:rtl/>
        </w:rPr>
        <w:t>כמו כן, מוסבר לו/ה כי עליו/ה לעמוד בתנאי הפיקוח וביקורות הפתע וכי כל הפרה תביא להפסקה מנהלית של ריצוי העבודות ולריצוי העונש בין כותלי הכלא וכן מוסבר לו שאם תתגלה מעורבות פעילה בין בגילוי סם ובין בזיוף דגימת שתן,  יהווה הדבר הפרה של תנאי עבודות השירות ולכן אני מתירה כבר עתה לממונה לדרוש מעת לעת לערוך בדיקות שתן לנאשם.</w:t>
      </w:r>
    </w:p>
    <w:p w14:paraId="3BB996E1" w14:textId="77777777" w:rsidR="004F1C06" w:rsidRDefault="004F1C06">
      <w:pPr>
        <w:rPr>
          <w:rtl/>
        </w:rPr>
      </w:pPr>
    </w:p>
    <w:p w14:paraId="59DDF893" w14:textId="77777777" w:rsidR="004F1C06" w:rsidRDefault="00903438">
      <w:pPr>
        <w:ind w:left="720" w:hanging="720"/>
        <w:rPr>
          <w:rtl/>
        </w:rPr>
      </w:pPr>
      <w:r>
        <w:rPr>
          <w:rFonts w:hint="cs"/>
          <w:rtl/>
        </w:rPr>
        <w:t>2.</w:t>
      </w:r>
      <w:r>
        <w:rPr>
          <w:rFonts w:hint="cs"/>
          <w:rtl/>
        </w:rPr>
        <w:tab/>
        <w:t xml:space="preserve">אני מטילה על הנאשם   6 חודשי מאסר על תנאי למשך  3   שנה/ים והתנאי הוא שלא ת/יעבור עבירות על הפרת הוראה חוקית ועל עבירה מסוג עוון על </w:t>
      </w:r>
      <w:hyperlink r:id="rId14" w:history="1">
        <w:r w:rsidR="00AD27BF" w:rsidRPr="00AD27BF">
          <w:rPr>
            <w:rStyle w:val="Hyperlink"/>
            <w:rtl/>
          </w:rPr>
          <w:t>פקודת הסמים המסוכנים</w:t>
        </w:r>
      </w:hyperlink>
      <w:r>
        <w:rPr>
          <w:rFonts w:hint="cs"/>
          <w:rtl/>
        </w:rPr>
        <w:t xml:space="preserve"> התשל"ג – 1973 , עבירה של נהיגה בפסילה וכן עבירת תקיפה מכל סוג שהוא. </w:t>
      </w:r>
    </w:p>
    <w:p w14:paraId="3395FA24" w14:textId="77777777" w:rsidR="004F1C06" w:rsidRDefault="004F1C06">
      <w:pPr>
        <w:ind w:left="720" w:hanging="720"/>
        <w:rPr>
          <w:rtl/>
        </w:rPr>
      </w:pPr>
    </w:p>
    <w:p w14:paraId="1BAA0FA5" w14:textId="77777777" w:rsidR="004F1C06" w:rsidRDefault="00903438">
      <w:pPr>
        <w:ind w:left="720" w:hanging="720"/>
        <w:rPr>
          <w:rtl/>
        </w:rPr>
      </w:pPr>
      <w:r>
        <w:rPr>
          <w:rFonts w:hint="cs"/>
          <w:rtl/>
        </w:rPr>
        <w:t>3.</w:t>
      </w:r>
      <w:r>
        <w:rPr>
          <w:rFonts w:hint="cs"/>
          <w:rtl/>
        </w:rPr>
        <w:tab/>
        <w:t xml:space="preserve">אני מטילה על הנאשם  12 חודשי מאסר על תנאי למשך  3   שנה/ים והתנאי הוא שלא יעבור עבירה מסוג פשע על </w:t>
      </w:r>
      <w:hyperlink r:id="rId15" w:history="1">
        <w:r w:rsidR="00AD27BF" w:rsidRPr="00AD27BF">
          <w:rPr>
            <w:rStyle w:val="Hyperlink"/>
            <w:rtl/>
          </w:rPr>
          <w:t>פקודת הסמים המסוכנים</w:t>
        </w:r>
      </w:hyperlink>
      <w:r>
        <w:rPr>
          <w:rFonts w:hint="cs"/>
          <w:rtl/>
        </w:rPr>
        <w:t xml:space="preserve"> המסוכנים התשל"ג – 1973.</w:t>
      </w:r>
    </w:p>
    <w:p w14:paraId="6626FB3D" w14:textId="77777777" w:rsidR="004F1C06" w:rsidRDefault="004F1C06">
      <w:pPr>
        <w:rPr>
          <w:rtl/>
        </w:rPr>
      </w:pPr>
    </w:p>
    <w:p w14:paraId="00814C40" w14:textId="77777777" w:rsidR="004F1C06" w:rsidRDefault="00903438">
      <w:pPr>
        <w:ind w:left="720" w:hanging="720"/>
        <w:rPr>
          <w:rtl/>
        </w:rPr>
      </w:pPr>
      <w:r>
        <w:rPr>
          <w:rFonts w:hint="cs"/>
          <w:rtl/>
        </w:rPr>
        <w:t>4.</w:t>
      </w:r>
      <w:r>
        <w:rPr>
          <w:rFonts w:hint="cs"/>
          <w:rtl/>
        </w:rPr>
        <w:tab/>
        <w:t xml:space="preserve">אני פוסלת את הנאשם מלנהוג או לקבל רישיון נהיגה למשך 12  חודשים והואיל והוא בלתי מורשה, אין צורך בהפקדת רישיון. </w:t>
      </w:r>
    </w:p>
    <w:p w14:paraId="7B56D4BD" w14:textId="77777777" w:rsidR="004F1C06" w:rsidRDefault="004F1C06">
      <w:pPr>
        <w:ind w:left="720"/>
        <w:rPr>
          <w:rtl/>
        </w:rPr>
      </w:pPr>
    </w:p>
    <w:p w14:paraId="4D2C5E48" w14:textId="77777777" w:rsidR="004F1C06" w:rsidRDefault="00903438">
      <w:pPr>
        <w:ind w:left="720" w:hanging="720"/>
        <w:rPr>
          <w:rtl/>
        </w:rPr>
      </w:pPr>
      <w:r>
        <w:rPr>
          <w:rFonts w:hint="cs"/>
          <w:rtl/>
        </w:rPr>
        <w:t>5</w:t>
      </w:r>
      <w:bookmarkStart w:id="6" w:name="_GoBack"/>
      <w:bookmarkEnd w:id="6"/>
      <w:r>
        <w:rPr>
          <w:rFonts w:hint="cs"/>
          <w:rtl/>
        </w:rPr>
        <w:t>.</w:t>
      </w:r>
      <w:r>
        <w:rPr>
          <w:rFonts w:hint="cs"/>
          <w:rtl/>
        </w:rPr>
        <w:tab/>
        <w:t xml:space="preserve">הנאשמ/ת ת/יחתום על התחייבות בסך  10,000  ₪ להימנע מביצוע העבירה/ות בה/ן הורשע במשך  3  שנה/ים מהיום. </w:t>
      </w:r>
    </w:p>
    <w:p w14:paraId="3A29CCB2" w14:textId="77777777" w:rsidR="004F1C06" w:rsidRDefault="00903438">
      <w:pPr>
        <w:rPr>
          <w:rtl/>
        </w:rPr>
      </w:pPr>
      <w:r>
        <w:rPr>
          <w:rFonts w:hint="cs"/>
          <w:rtl/>
        </w:rPr>
        <w:tab/>
        <w:t xml:space="preserve">אם לא ת/יחתום על ההתחייבות, ת/יאסר למשך  90 ימים. </w:t>
      </w:r>
    </w:p>
    <w:p w14:paraId="709E88A6" w14:textId="77777777" w:rsidR="004F1C06" w:rsidRDefault="004F1C06">
      <w:pPr>
        <w:rPr>
          <w:rtl/>
        </w:rPr>
      </w:pPr>
    </w:p>
    <w:p w14:paraId="0CED4D28" w14:textId="77777777" w:rsidR="004F1C06" w:rsidRDefault="00903438">
      <w:pPr>
        <w:rPr>
          <w:b/>
          <w:bCs/>
          <w:rtl/>
        </w:rPr>
      </w:pPr>
      <w:r>
        <w:rPr>
          <w:rFonts w:hint="cs"/>
          <w:b/>
          <w:bCs/>
          <w:rtl/>
        </w:rPr>
        <w:t xml:space="preserve">זכות ערעור תוך 45 יום מהיום. </w:t>
      </w:r>
    </w:p>
    <w:p w14:paraId="06B5ACF5" w14:textId="77777777" w:rsidR="004F1C06" w:rsidRDefault="00903438">
      <w:pPr>
        <w:rPr>
          <w:b/>
          <w:bCs/>
          <w:sz w:val="6"/>
          <w:szCs w:val="6"/>
          <w:rtl/>
        </w:rPr>
      </w:pPr>
      <w:r>
        <w:rPr>
          <w:b/>
          <w:bCs/>
          <w:sz w:val="6"/>
          <w:szCs w:val="6"/>
          <w:rtl/>
        </w:rPr>
        <w:t>&lt;#5#&gt;</w:t>
      </w:r>
    </w:p>
    <w:p w14:paraId="02B8FA0A" w14:textId="77777777" w:rsidR="004F1C06" w:rsidRDefault="004F1C06">
      <w:pPr>
        <w:jc w:val="right"/>
        <w:rPr>
          <w:rtl/>
        </w:rPr>
      </w:pPr>
    </w:p>
    <w:p w14:paraId="0D5D0C9B" w14:textId="77777777" w:rsidR="004F1C06" w:rsidRDefault="00903438">
      <w:pPr>
        <w:rPr>
          <w:rtl/>
        </w:rPr>
      </w:pPr>
      <w:r>
        <w:rPr>
          <w:rFonts w:hint="cs"/>
          <w:b/>
          <w:bCs/>
          <w:rtl/>
        </w:rPr>
        <w:t xml:space="preserve">ניתנה והודעה היום </w:t>
      </w:r>
      <w:r>
        <w:rPr>
          <w:rFonts w:hint="cs"/>
          <w:rtl/>
        </w:rPr>
        <w:t>כ"ב תמוז תשע"ג</w:t>
      </w:r>
      <w:r>
        <w:rPr>
          <w:rFonts w:hint="cs"/>
          <w:b/>
          <w:bCs/>
          <w:rtl/>
        </w:rPr>
        <w:t xml:space="preserve">, </w:t>
      </w:r>
      <w:r>
        <w:rPr>
          <w:rFonts w:hint="cs"/>
          <w:rtl/>
        </w:rPr>
        <w:t>30/06/2013</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F1C06" w14:paraId="185201B9" w14:textId="77777777">
        <w:trPr>
          <w:trHeight w:val="364"/>
          <w:jc w:val="right"/>
        </w:trPr>
        <w:tc>
          <w:tcPr>
            <w:tcW w:w="3708" w:type="dxa"/>
          </w:tcPr>
          <w:p w14:paraId="45B947EA" w14:textId="77777777" w:rsidR="004F1C06" w:rsidRDefault="004F1C06">
            <w:pPr>
              <w:jc w:val="center"/>
              <w:rPr>
                <w:rFonts w:ascii="Times New Roman" w:eastAsia="Times New Roman" w:hAnsi="Times New Roman" w:cs="Times New Roman"/>
              </w:rPr>
            </w:pPr>
          </w:p>
          <w:p w14:paraId="7008AFED" w14:textId="77777777" w:rsidR="004F1C06" w:rsidRDefault="004F1C06">
            <w:pPr>
              <w:jc w:val="center"/>
              <w:rPr>
                <w:rFonts w:ascii="Times New Roman" w:eastAsia="Times New Roman" w:hAnsi="Times New Roman" w:cs="Times New Roman"/>
                <w:rtl/>
              </w:rPr>
            </w:pPr>
          </w:p>
        </w:tc>
      </w:tr>
      <w:tr w:rsidR="004F1C06" w14:paraId="5DBB70B0" w14:textId="77777777">
        <w:trPr>
          <w:trHeight w:val="415"/>
          <w:jc w:val="right"/>
        </w:trPr>
        <w:tc>
          <w:tcPr>
            <w:tcW w:w="3708" w:type="dxa"/>
          </w:tcPr>
          <w:p w14:paraId="1D18DBF8" w14:textId="77777777" w:rsidR="004F1C06" w:rsidRDefault="00903438">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7ADF0798" w14:textId="77777777" w:rsidR="004F1C06" w:rsidRDefault="00903438">
      <w:pPr>
        <w:rPr>
          <w:rFonts w:ascii="Arial" w:hAnsi="Arial"/>
          <w:sz w:val="6"/>
          <w:szCs w:val="6"/>
          <w:rtl/>
        </w:rPr>
      </w:pPr>
      <w:r>
        <w:rPr>
          <w:rFonts w:ascii="Arial" w:hAnsi="Arial"/>
          <w:sz w:val="6"/>
          <w:szCs w:val="6"/>
          <w:rtl/>
        </w:rPr>
        <w:t>&lt;#3#&gt;</w:t>
      </w:r>
    </w:p>
    <w:p w14:paraId="5933557E" w14:textId="77777777" w:rsidR="004F1C06" w:rsidRDefault="00903438">
      <w:pPr>
        <w:jc w:val="center"/>
        <w:rPr>
          <w:rFonts w:ascii="Arial" w:hAnsi="Arial"/>
          <w:b/>
          <w:bCs/>
          <w:sz w:val="28"/>
          <w:szCs w:val="28"/>
          <w:u w:val="single"/>
          <w:rtl/>
        </w:rPr>
      </w:pPr>
      <w:r>
        <w:rPr>
          <w:rFonts w:ascii="Arial" w:hAnsi="Arial"/>
          <w:b/>
          <w:bCs/>
          <w:sz w:val="28"/>
          <w:szCs w:val="28"/>
          <w:u w:val="single"/>
          <w:rtl/>
        </w:rPr>
        <w:t>החלטה</w:t>
      </w:r>
    </w:p>
    <w:p w14:paraId="2163A59B" w14:textId="77777777" w:rsidR="004F1C06" w:rsidRDefault="00903438" w:rsidP="008B3410">
      <w:pPr>
        <w:rPr>
          <w:rFonts w:ascii="Arial" w:hAnsi="Arial"/>
          <w:rtl/>
        </w:rPr>
      </w:pPr>
      <w:r>
        <w:rPr>
          <w:szCs w:val="24"/>
          <w:rtl/>
        </w:rPr>
        <w:t xml:space="preserve"> </w:t>
      </w:r>
      <w:r>
        <w:rPr>
          <w:rFonts w:ascii="Arial" w:hAnsi="Arial" w:hint="cs"/>
          <w:rtl/>
        </w:rPr>
        <w:t>אני מורה על השמדת הסמים.</w:t>
      </w:r>
    </w:p>
    <w:p w14:paraId="06D4F531" w14:textId="77777777" w:rsidR="004F1C06" w:rsidRDefault="00903438">
      <w:pPr>
        <w:rPr>
          <w:rFonts w:ascii="Arial" w:hAnsi="Arial"/>
          <w:rtl/>
        </w:rPr>
      </w:pPr>
      <w:r>
        <w:rPr>
          <w:rFonts w:ascii="Arial" w:hAnsi="Arial" w:hint="cs"/>
          <w:rtl/>
        </w:rPr>
        <w:t>ואם יש מוצגים נוספים, יחולטו או יושמדו על פי ערכם.</w:t>
      </w:r>
    </w:p>
    <w:p w14:paraId="32CF1006" w14:textId="77777777" w:rsidR="004F1C06" w:rsidRDefault="004F1C06">
      <w:pPr>
        <w:rPr>
          <w:rFonts w:ascii="Arial" w:hAnsi="Arial"/>
          <w:rtl/>
        </w:rPr>
      </w:pPr>
    </w:p>
    <w:p w14:paraId="4CA68B00" w14:textId="77777777" w:rsidR="004F1C06" w:rsidRDefault="00903438">
      <w:pPr>
        <w:rPr>
          <w:rFonts w:ascii="Arial" w:hAnsi="Arial"/>
          <w:rtl/>
        </w:rPr>
      </w:pPr>
      <w:r>
        <w:rPr>
          <w:rFonts w:ascii="Arial" w:hAnsi="Arial" w:hint="cs"/>
          <w:rtl/>
        </w:rPr>
        <w:t>העתק גזר הדין כבר היום לתביעה ולסניגור ולשירות המבחן.</w:t>
      </w:r>
    </w:p>
    <w:p w14:paraId="2C2F4A28" w14:textId="77777777" w:rsidR="004F1C06" w:rsidRDefault="004F1C06">
      <w:pPr>
        <w:rPr>
          <w:rFonts w:ascii="Arial" w:hAnsi="Arial"/>
          <w:rtl/>
        </w:rPr>
      </w:pPr>
    </w:p>
    <w:p w14:paraId="2D3C9B20" w14:textId="77777777" w:rsidR="004F1C06" w:rsidRDefault="00903438">
      <w:pPr>
        <w:rPr>
          <w:rFonts w:ascii="Arial" w:hAnsi="Arial"/>
          <w:sz w:val="6"/>
          <w:szCs w:val="6"/>
          <w:rtl/>
        </w:rPr>
      </w:pPr>
      <w:r>
        <w:rPr>
          <w:rFonts w:ascii="Arial" w:hAnsi="Arial"/>
          <w:sz w:val="6"/>
          <w:szCs w:val="6"/>
          <w:rtl/>
        </w:rPr>
        <w:t>&lt;#4#&gt;</w:t>
      </w:r>
    </w:p>
    <w:p w14:paraId="0917F61E" w14:textId="77777777" w:rsidR="004F1C06" w:rsidRDefault="004F1C06">
      <w:pPr>
        <w:jc w:val="right"/>
        <w:rPr>
          <w:rtl/>
        </w:rPr>
      </w:pPr>
    </w:p>
    <w:p w14:paraId="7749880E" w14:textId="77777777" w:rsidR="004F1C06" w:rsidRDefault="00903438">
      <w:pPr>
        <w:jc w:val="right"/>
        <w:rPr>
          <w:rtl/>
        </w:rPr>
      </w:pPr>
      <w:r>
        <w:rPr>
          <w:b/>
          <w:bCs/>
          <w:rtl/>
        </w:rPr>
        <w:t xml:space="preserve">ניתנה והודעה היום כ"ב תמוז תשע"ג, 30/06/2013 במעמד הנוכחים. </w:t>
      </w:r>
    </w:p>
    <w:p w14:paraId="5AF572E7" w14:textId="77777777" w:rsidR="00903438" w:rsidRPr="00903438" w:rsidRDefault="00903438" w:rsidP="00903438">
      <w:pPr>
        <w:keepNext/>
        <w:jc w:val="left"/>
        <w:rPr>
          <w:color w:val="000000"/>
          <w:sz w:val="22"/>
          <w:szCs w:val="22"/>
          <w:rtl/>
        </w:rPr>
      </w:pPr>
    </w:p>
    <w:p w14:paraId="1545DE77" w14:textId="77777777" w:rsidR="00903438" w:rsidRPr="00903438" w:rsidRDefault="00903438" w:rsidP="00903438">
      <w:pPr>
        <w:keepNext/>
        <w:jc w:val="left"/>
        <w:rPr>
          <w:color w:val="000000"/>
          <w:sz w:val="22"/>
          <w:szCs w:val="22"/>
          <w:rtl/>
        </w:rPr>
      </w:pPr>
      <w:r w:rsidRPr="00903438">
        <w:rPr>
          <w:color w:val="000000"/>
          <w:sz w:val="22"/>
          <w:szCs w:val="22"/>
          <w:rtl/>
        </w:rPr>
        <w:t>בכירה רובין לביא 54678313</w:t>
      </w:r>
    </w:p>
    <w:p w14:paraId="347426D7" w14:textId="77777777" w:rsidR="004F1C06" w:rsidRPr="00903438" w:rsidRDefault="00903438">
      <w:pPr>
        <w:jc w:val="center"/>
        <w:rPr>
          <w:color w:val="FFFFFF"/>
          <w:sz w:val="2"/>
          <w:szCs w:val="2"/>
          <w:rtl/>
        </w:rPr>
      </w:pPr>
      <w:r w:rsidRPr="00903438">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F1C06" w14:paraId="41D1A7D8" w14:textId="77777777">
        <w:trPr>
          <w:trHeight w:val="364"/>
          <w:jc w:val="right"/>
        </w:trPr>
        <w:tc>
          <w:tcPr>
            <w:tcW w:w="3708" w:type="dxa"/>
          </w:tcPr>
          <w:p w14:paraId="6702D501" w14:textId="77777777" w:rsidR="004F1C06" w:rsidRPr="00903438" w:rsidRDefault="00903438">
            <w:pPr>
              <w:jc w:val="center"/>
              <w:rPr>
                <w:rFonts w:ascii="Times New Roman" w:eastAsia="Times New Roman" w:hAnsi="Times New Roman" w:cs="Times New Roman"/>
                <w:color w:val="FFFFFF"/>
                <w:sz w:val="2"/>
                <w:szCs w:val="2"/>
              </w:rPr>
            </w:pPr>
            <w:r w:rsidRPr="00903438">
              <w:rPr>
                <w:rFonts w:ascii="Times New Roman" w:eastAsia="Times New Roman" w:hAnsi="Times New Roman" w:cs="Times New Roman"/>
                <w:color w:val="FFFFFF"/>
                <w:sz w:val="2"/>
                <w:szCs w:val="2"/>
                <w:rtl/>
              </w:rPr>
              <w:t>54678313</w:t>
            </w:r>
          </w:p>
          <w:p w14:paraId="72B26B77" w14:textId="77777777" w:rsidR="004F1C06" w:rsidRDefault="004F1C06">
            <w:pPr>
              <w:jc w:val="center"/>
              <w:rPr>
                <w:rFonts w:ascii="Times New Roman" w:eastAsia="Times New Roman" w:hAnsi="Times New Roman" w:cs="Times New Roman"/>
                <w:rtl/>
              </w:rPr>
            </w:pPr>
          </w:p>
        </w:tc>
      </w:tr>
      <w:tr w:rsidR="004F1C06" w14:paraId="414F8D44" w14:textId="77777777">
        <w:trPr>
          <w:trHeight w:val="415"/>
          <w:jc w:val="right"/>
        </w:trPr>
        <w:tc>
          <w:tcPr>
            <w:tcW w:w="3708" w:type="dxa"/>
          </w:tcPr>
          <w:p w14:paraId="2320EDCD" w14:textId="77777777" w:rsidR="004F1C06" w:rsidRDefault="00903438">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23EB4199" w14:textId="77777777" w:rsidR="00903438" w:rsidRDefault="00903438" w:rsidP="00903438">
      <w:pPr>
        <w:jc w:val="left"/>
      </w:pPr>
      <w:r w:rsidRPr="00903438">
        <w:rPr>
          <w:color w:val="000000"/>
          <w:rtl/>
        </w:rPr>
        <w:t>נוסח מסמך זה כפוף לשינויי ניסוח ועריכה</w:t>
      </w:r>
    </w:p>
    <w:p w14:paraId="13404089" w14:textId="77777777" w:rsidR="00903438" w:rsidRDefault="00903438" w:rsidP="00903438">
      <w:pPr>
        <w:jc w:val="left"/>
        <w:rPr>
          <w:rtl/>
        </w:rPr>
      </w:pPr>
    </w:p>
    <w:p w14:paraId="22F872DB" w14:textId="77777777" w:rsidR="00903438" w:rsidRDefault="00903438" w:rsidP="00903438">
      <w:pPr>
        <w:jc w:val="center"/>
        <w:rPr>
          <w:color w:val="0000FF"/>
          <w:szCs w:val="24"/>
          <w:u w:val="single"/>
        </w:rPr>
      </w:pPr>
      <w:r w:rsidRPr="00A60D5D">
        <w:rPr>
          <w:color w:val="000000"/>
          <w:szCs w:val="24"/>
          <w:rtl/>
        </w:rPr>
        <w:t>בעניין עריכה ושינויים במסמכי פסיקה, חקיקה ועוד באתר נבו – הקש כאן</w:t>
      </w:r>
    </w:p>
    <w:p w14:paraId="305B000B" w14:textId="77777777" w:rsidR="004F1C06" w:rsidRPr="00903438" w:rsidRDefault="004F1C06" w:rsidP="00903438">
      <w:pPr>
        <w:jc w:val="center"/>
        <w:rPr>
          <w:color w:val="0000FF"/>
          <w:szCs w:val="24"/>
          <w:u w:val="single"/>
        </w:rPr>
      </w:pPr>
    </w:p>
    <w:sectPr w:rsidR="004F1C06" w:rsidRPr="00903438" w:rsidSect="00903438">
      <w:headerReference w:type="even" r:id="rId16"/>
      <w:headerReference w:type="default" r:id="rId17"/>
      <w:footerReference w:type="even" r:id="rId18"/>
      <w:footerReference w:type="default" r:id="rId1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F1330" w14:textId="77777777" w:rsidR="00C4000D" w:rsidRPr="00DB107B" w:rsidRDefault="00C4000D">
      <w:pPr>
        <w:rPr>
          <w:rFonts w:cs="Arial"/>
          <w:szCs w:val="20"/>
        </w:rPr>
      </w:pPr>
      <w:r>
        <w:separator/>
      </w:r>
    </w:p>
  </w:endnote>
  <w:endnote w:type="continuationSeparator" w:id="0">
    <w:p w14:paraId="5C6B7531" w14:textId="77777777" w:rsidR="00C4000D" w:rsidRPr="00DB107B" w:rsidRDefault="00C4000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97B26" w14:textId="77777777" w:rsidR="00A90EAF" w:rsidRDefault="00A90EAF" w:rsidP="00903438">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8</w:t>
    </w:r>
    <w:r>
      <w:rPr>
        <w:rFonts w:ascii="FrankRuehl" w:hAnsi="FrankRuehl" w:cs="FrankRuehl"/>
        <w:szCs w:val="24"/>
        <w:rtl/>
      </w:rPr>
      <w:fldChar w:fldCharType="end"/>
    </w:r>
  </w:p>
  <w:p w14:paraId="18B63D0B" w14:textId="77777777" w:rsidR="00A90EAF" w:rsidRPr="00903438" w:rsidRDefault="00A90EAF" w:rsidP="00903438">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903438">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CA5EE" w14:textId="77777777" w:rsidR="00A90EAF" w:rsidRDefault="00A90EAF" w:rsidP="00903438">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E65A7D">
      <w:rPr>
        <w:rFonts w:ascii="FrankRuehl" w:hAnsi="FrankRuehl" w:cs="FrankRuehl"/>
        <w:noProof/>
        <w:szCs w:val="24"/>
        <w:rtl/>
      </w:rPr>
      <w:t>1</w:t>
    </w:r>
    <w:r>
      <w:rPr>
        <w:rFonts w:ascii="FrankRuehl" w:hAnsi="FrankRuehl" w:cs="FrankRuehl"/>
        <w:szCs w:val="24"/>
        <w:rtl/>
      </w:rPr>
      <w:fldChar w:fldCharType="end"/>
    </w:r>
  </w:p>
  <w:p w14:paraId="2B164F50" w14:textId="77777777" w:rsidR="00A90EAF" w:rsidRPr="00903438" w:rsidRDefault="00A90EAF" w:rsidP="00903438">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903438">
      <w:rPr>
        <w:rFonts w:ascii="FrankRuehl" w:hAnsi="FrankRuehl" w:cs="FrankRuehl"/>
        <w:color w:val="000000"/>
        <w:szCs w:val="24"/>
      </w:rPr>
      <w:pict w14:anchorId="7B95D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AC51F" w14:textId="77777777" w:rsidR="00C4000D" w:rsidRPr="00DB107B" w:rsidRDefault="00C4000D">
      <w:pPr>
        <w:rPr>
          <w:rFonts w:cs="Arial"/>
          <w:szCs w:val="20"/>
        </w:rPr>
      </w:pPr>
      <w:r>
        <w:separator/>
      </w:r>
    </w:p>
  </w:footnote>
  <w:footnote w:type="continuationSeparator" w:id="0">
    <w:p w14:paraId="4EFD0CCF" w14:textId="77777777" w:rsidR="00C4000D" w:rsidRPr="00DB107B" w:rsidRDefault="00C4000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4CCED" w14:textId="77777777" w:rsidR="00A90EAF" w:rsidRPr="00903438" w:rsidRDefault="00A90EAF" w:rsidP="00903438">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49680-08-10</w:t>
    </w:r>
    <w:r>
      <w:rPr>
        <w:color w:val="000000"/>
        <w:sz w:val="22"/>
        <w:szCs w:val="22"/>
        <w:rtl/>
      </w:rPr>
      <w:tab/>
      <w:t xml:space="preserve"> מדינת ישראל נ' שלומי אבוזגלו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17C74" w14:textId="77777777" w:rsidR="00A90EAF" w:rsidRPr="00903438" w:rsidRDefault="00A90EAF" w:rsidP="00903438">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49680-08-10</w:t>
    </w:r>
    <w:r>
      <w:rPr>
        <w:color w:val="000000"/>
        <w:sz w:val="22"/>
        <w:szCs w:val="22"/>
        <w:rtl/>
      </w:rPr>
      <w:tab/>
      <w:t xml:space="preserve"> מדינת ישראל נ' שלומי אבוזגלו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1C06"/>
    <w:rsid w:val="001E116B"/>
    <w:rsid w:val="00244DB1"/>
    <w:rsid w:val="002D4F75"/>
    <w:rsid w:val="0036235B"/>
    <w:rsid w:val="0037583B"/>
    <w:rsid w:val="004F1C06"/>
    <w:rsid w:val="008400DF"/>
    <w:rsid w:val="008B3410"/>
    <w:rsid w:val="00903438"/>
    <w:rsid w:val="00A60D5D"/>
    <w:rsid w:val="00A90EAF"/>
    <w:rsid w:val="00AD27BF"/>
    <w:rsid w:val="00C4000D"/>
    <w:rsid w:val="00CE4B82"/>
    <w:rsid w:val="00E65A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1A97BA"/>
  <w15:chartTrackingRefBased/>
  <w15:docId w15:val="{B05C9F7E-0225-4655-B06F-C70A9CD7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1C06"/>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F1C06"/>
    <w:pPr>
      <w:tabs>
        <w:tab w:val="center" w:pos="4153"/>
        <w:tab w:val="right" w:pos="8306"/>
      </w:tabs>
    </w:pPr>
  </w:style>
  <w:style w:type="paragraph" w:styleId="a4">
    <w:name w:val="footer"/>
    <w:basedOn w:val="a"/>
    <w:rsid w:val="004F1C06"/>
    <w:pPr>
      <w:tabs>
        <w:tab w:val="center" w:pos="4153"/>
        <w:tab w:val="right" w:pos="8306"/>
      </w:tabs>
    </w:pPr>
  </w:style>
  <w:style w:type="character" w:styleId="a5">
    <w:name w:val="page number"/>
    <w:basedOn w:val="a0"/>
    <w:rsid w:val="004F1C06"/>
  </w:style>
  <w:style w:type="paragraph" w:customStyle="1" w:styleId="12">
    <w:name w:val="רגיל + ‏12 נק'"/>
    <w:aliases w:val="מיושר לשני הצדדים,מרווח בין שורות:  שורה וחצי"/>
    <w:basedOn w:val="a"/>
    <w:rsid w:val="004F1C06"/>
    <w:pPr>
      <w:spacing w:line="240" w:lineRule="auto"/>
      <w:jc w:val="left"/>
    </w:pPr>
    <w:rPr>
      <w:rFonts w:ascii="Times New Roman" w:eastAsia="Times New Roman" w:hAnsi="Times New Roman"/>
      <w:b/>
      <w:bCs/>
      <w:szCs w:val="24"/>
      <w:u w:val="single"/>
    </w:rPr>
  </w:style>
  <w:style w:type="character" w:styleId="a6">
    <w:name w:val="line number"/>
    <w:basedOn w:val="a0"/>
    <w:rsid w:val="004F1C06"/>
  </w:style>
  <w:style w:type="character" w:styleId="Hyperlink">
    <w:name w:val="Hyperlink"/>
    <w:rsid w:val="009034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586531" TargetMode="External"/><Relationship Id="rId13" Type="http://schemas.openxmlformats.org/officeDocument/2006/relationships/hyperlink" Target="http://www.nevo.co.il/case/2570703"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case/2293200" TargetMode="External"/><Relationship Id="rId12" Type="http://schemas.openxmlformats.org/officeDocument/2006/relationships/hyperlink" Target="http://www.nevo.co.il/case/2570706"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570707"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10" Type="http://schemas.openxmlformats.org/officeDocument/2006/relationships/hyperlink" Target="http://www.nevo.co.il/case/2570705"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case/2570702"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1024</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6136</CharactersWithSpaces>
  <SharedDoc>false</SharedDoc>
  <HLinks>
    <vt:vector size="60" baseType="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3211377</vt:i4>
      </vt:variant>
      <vt:variant>
        <vt:i4>21</vt:i4>
      </vt:variant>
      <vt:variant>
        <vt:i4>0</vt:i4>
      </vt:variant>
      <vt:variant>
        <vt:i4>5</vt:i4>
      </vt:variant>
      <vt:variant>
        <vt:lpwstr>http://www.nevo.co.il/case/2570703</vt:lpwstr>
      </vt:variant>
      <vt:variant>
        <vt:lpwstr/>
      </vt:variant>
      <vt:variant>
        <vt:i4>3407985</vt:i4>
      </vt:variant>
      <vt:variant>
        <vt:i4>18</vt:i4>
      </vt:variant>
      <vt:variant>
        <vt:i4>0</vt:i4>
      </vt:variant>
      <vt:variant>
        <vt:i4>5</vt:i4>
      </vt:variant>
      <vt:variant>
        <vt:lpwstr>http://www.nevo.co.il/case/2570706</vt:lpwstr>
      </vt:variant>
      <vt:variant>
        <vt:lpwstr/>
      </vt:variant>
      <vt:variant>
        <vt:i4>3473521</vt:i4>
      </vt:variant>
      <vt:variant>
        <vt:i4>15</vt:i4>
      </vt:variant>
      <vt:variant>
        <vt:i4>0</vt:i4>
      </vt:variant>
      <vt:variant>
        <vt:i4>5</vt:i4>
      </vt:variant>
      <vt:variant>
        <vt:lpwstr>http://www.nevo.co.il/case/2570707</vt:lpwstr>
      </vt:variant>
      <vt:variant>
        <vt:lpwstr/>
      </vt:variant>
      <vt:variant>
        <vt:i4>3604593</vt:i4>
      </vt:variant>
      <vt:variant>
        <vt:i4>12</vt:i4>
      </vt:variant>
      <vt:variant>
        <vt:i4>0</vt:i4>
      </vt:variant>
      <vt:variant>
        <vt:i4>5</vt:i4>
      </vt:variant>
      <vt:variant>
        <vt:lpwstr>http://www.nevo.co.il/case/2570705</vt:lpwstr>
      </vt:variant>
      <vt:variant>
        <vt:lpwstr/>
      </vt:variant>
      <vt:variant>
        <vt:i4>3145841</vt:i4>
      </vt:variant>
      <vt:variant>
        <vt:i4>9</vt:i4>
      </vt:variant>
      <vt:variant>
        <vt:i4>0</vt:i4>
      </vt:variant>
      <vt:variant>
        <vt:i4>5</vt:i4>
      </vt:variant>
      <vt:variant>
        <vt:lpwstr>http://www.nevo.co.il/case/2570702</vt:lpwstr>
      </vt:variant>
      <vt:variant>
        <vt:lpwstr/>
      </vt:variant>
      <vt:variant>
        <vt:i4>3735668</vt:i4>
      </vt:variant>
      <vt:variant>
        <vt:i4>6</vt:i4>
      </vt:variant>
      <vt:variant>
        <vt:i4>0</vt:i4>
      </vt:variant>
      <vt:variant>
        <vt:i4>5</vt:i4>
      </vt:variant>
      <vt:variant>
        <vt:lpwstr>http://www.nevo.co.il/case/5586531</vt:lpwstr>
      </vt:variant>
      <vt:variant>
        <vt:lpwstr/>
      </vt:variant>
      <vt:variant>
        <vt:i4>3735669</vt:i4>
      </vt:variant>
      <vt:variant>
        <vt:i4>3</vt:i4>
      </vt:variant>
      <vt:variant>
        <vt:i4>0</vt:i4>
      </vt:variant>
      <vt:variant>
        <vt:i4>5</vt:i4>
      </vt:variant>
      <vt:variant>
        <vt:lpwstr>http://www.nevo.co.il/case/2293200</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2025-04-22T21:35:00Z</dcterms:created>
  <dcterms:modified xsi:type="dcterms:W3CDTF">2025-04-22T21:35:00Z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49680;15638;12894;11271</vt:lpwstr>
  </property>
  <property fmtid="{D5CDD505-2E9C-101B-9397-08002B2CF9AE}" pid="6" name="NEWPARTB">
    <vt:lpwstr>08;03;09;10</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שלומי אבוזגלו</vt:lpwstr>
  </property>
  <property fmtid="{D5CDD505-2E9C-101B-9397-08002B2CF9AE}" pid="10" name="LAWYER">
    <vt:lpwstr>בהעדר</vt:lpwstr>
  </property>
  <property fmtid="{D5CDD505-2E9C-101B-9397-08002B2CF9AE}" pid="11" name="JUDGE">
    <vt:lpwstr>בכירה רובין לביא</vt:lpwstr>
  </property>
  <property fmtid="{D5CDD505-2E9C-101B-9397-08002B2CF9AE}" pid="12" name="CITY">
    <vt:lpwstr>ק"ג</vt:lpwstr>
  </property>
  <property fmtid="{D5CDD505-2E9C-101B-9397-08002B2CF9AE}" pid="13" name="DATE">
    <vt:lpwstr>20130630</vt:lpwstr>
  </property>
  <property fmtid="{D5CDD505-2E9C-101B-9397-08002B2CF9AE}" pid="14" name="TYPE_N_DATE">
    <vt:lpwstr>38020130630</vt:lpwstr>
  </property>
  <property fmtid="{D5CDD505-2E9C-101B-9397-08002B2CF9AE}" pid="15" name="WORDNUMPAGES">
    <vt:lpwstr>5</vt:lpwstr>
  </property>
  <property fmtid="{D5CDD505-2E9C-101B-9397-08002B2CF9AE}" pid="16" name="TYPE_ABS_DATE">
    <vt:lpwstr>380020130630</vt:lpwstr>
  </property>
  <property fmtid="{D5CDD505-2E9C-101B-9397-08002B2CF9AE}" pid="17" name="CASESLISTTMP1">
    <vt:lpwstr>2293200;5586531;2570702;2570705;2570707;2570706;2570703</vt:lpwstr>
  </property>
  <property fmtid="{D5CDD505-2E9C-101B-9397-08002B2CF9AE}" pid="18" name="CASENOTES1">
    <vt:lpwstr>ProcID=209&amp;PartA=6978&amp;PartB=03&amp;PartC=10</vt:lpwstr>
  </property>
  <property fmtid="{D5CDD505-2E9C-101B-9397-08002B2CF9AE}" pid="19" name="LAWLISTTMP1">
    <vt:lpwstr>4216:2</vt:lpwstr>
  </property>
</Properties>
</file>