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E110BE" w:rsidRPr="00842070" w14:paraId="08F0B631" w14:textId="77777777">
        <w:trPr>
          <w:trHeight w:hRule="exact" w:val="418"/>
          <w:jc w:val="center"/>
        </w:trPr>
        <w:tc>
          <w:tcPr>
            <w:tcW w:w="8720" w:type="dxa"/>
            <w:gridSpan w:val="3"/>
          </w:tcPr>
          <w:p w14:paraId="77977858" w14:textId="77777777" w:rsidR="00E110BE" w:rsidRPr="00842070" w:rsidRDefault="00842070">
            <w:pPr>
              <w:pStyle w:val="a3"/>
              <w:tabs>
                <w:tab w:val="clear" w:pos="8306"/>
              </w:tabs>
              <w:jc w:val="center"/>
              <w:rPr>
                <w:rFonts w:ascii="Tahoma" w:hAnsi="Tahoma" w:cs="Tahoma"/>
                <w:b/>
                <w:bCs/>
                <w:color w:val="000080"/>
                <w:sz w:val="20"/>
                <w:szCs w:val="20"/>
                <w:rtl/>
              </w:rPr>
            </w:pPr>
            <w:r w:rsidRPr="00842070">
              <w:rPr>
                <w:rFonts w:ascii="Tahoma" w:hAnsi="Tahoma" w:cs="Tahoma"/>
                <w:b/>
                <w:bCs/>
                <w:color w:val="000080"/>
                <w:sz w:val="20"/>
                <w:szCs w:val="20"/>
                <w:rtl/>
              </w:rPr>
              <w:t>בית משפט השלום בראשון לציון</w:t>
            </w:r>
          </w:p>
        </w:tc>
      </w:tr>
      <w:tr w:rsidR="00E110BE" w:rsidRPr="00842070" w14:paraId="57F2936F" w14:textId="77777777">
        <w:trPr>
          <w:trHeight w:val="337"/>
          <w:jc w:val="center"/>
        </w:trPr>
        <w:tc>
          <w:tcPr>
            <w:tcW w:w="3973" w:type="dxa"/>
          </w:tcPr>
          <w:p w14:paraId="158A30C6" w14:textId="77777777" w:rsidR="00E110BE" w:rsidRPr="00842070" w:rsidRDefault="00842070">
            <w:pPr>
              <w:rPr>
                <w:b/>
                <w:bCs/>
                <w:sz w:val="26"/>
                <w:szCs w:val="26"/>
                <w:rtl/>
              </w:rPr>
            </w:pPr>
            <w:r w:rsidRPr="00842070">
              <w:rPr>
                <w:b/>
                <w:bCs/>
                <w:sz w:val="26"/>
                <w:szCs w:val="26"/>
                <w:rtl/>
              </w:rPr>
              <w:t>ת"פ</w:t>
            </w:r>
            <w:r w:rsidRPr="00842070">
              <w:rPr>
                <w:rFonts w:hint="cs"/>
                <w:b/>
                <w:bCs/>
                <w:sz w:val="26"/>
                <w:szCs w:val="26"/>
                <w:rtl/>
              </w:rPr>
              <w:t xml:space="preserve"> </w:t>
            </w:r>
            <w:r w:rsidRPr="00842070">
              <w:rPr>
                <w:b/>
                <w:bCs/>
                <w:sz w:val="26"/>
                <w:szCs w:val="26"/>
                <w:rtl/>
              </w:rPr>
              <w:t>12585-10-10</w:t>
            </w:r>
            <w:r w:rsidRPr="00842070">
              <w:rPr>
                <w:rFonts w:hint="cs"/>
                <w:b/>
                <w:bCs/>
                <w:sz w:val="26"/>
                <w:szCs w:val="26"/>
                <w:rtl/>
              </w:rPr>
              <w:t xml:space="preserve"> </w:t>
            </w:r>
            <w:r w:rsidRPr="00842070">
              <w:rPr>
                <w:b/>
                <w:bCs/>
                <w:sz w:val="26"/>
                <w:szCs w:val="26"/>
                <w:rtl/>
              </w:rPr>
              <w:t>מדינת ישראל נ' מגל(עציר)</w:t>
            </w:r>
          </w:p>
          <w:p w14:paraId="717DCD88" w14:textId="77777777" w:rsidR="00E110BE" w:rsidRPr="00842070" w:rsidRDefault="00E110BE">
            <w:pPr>
              <w:rPr>
                <w:b/>
                <w:bCs/>
                <w:sz w:val="26"/>
                <w:szCs w:val="26"/>
                <w:rtl/>
              </w:rPr>
            </w:pPr>
          </w:p>
        </w:tc>
        <w:tc>
          <w:tcPr>
            <w:tcW w:w="1068" w:type="dxa"/>
          </w:tcPr>
          <w:p w14:paraId="0242BDB1" w14:textId="77777777" w:rsidR="00E110BE" w:rsidRPr="00842070" w:rsidRDefault="00E110BE">
            <w:pPr>
              <w:pStyle w:val="a3"/>
              <w:jc w:val="right"/>
              <w:rPr>
                <w:b/>
                <w:bCs/>
                <w:sz w:val="26"/>
                <w:szCs w:val="26"/>
                <w:rtl/>
              </w:rPr>
            </w:pPr>
          </w:p>
        </w:tc>
        <w:tc>
          <w:tcPr>
            <w:tcW w:w="3679" w:type="dxa"/>
          </w:tcPr>
          <w:p w14:paraId="5573D656" w14:textId="77777777" w:rsidR="00E110BE" w:rsidRPr="00842070" w:rsidRDefault="00842070">
            <w:pPr>
              <w:pStyle w:val="a3"/>
              <w:tabs>
                <w:tab w:val="clear" w:pos="4153"/>
              </w:tabs>
              <w:jc w:val="right"/>
              <w:rPr>
                <w:b/>
                <w:bCs/>
                <w:sz w:val="26"/>
                <w:szCs w:val="26"/>
                <w:rtl/>
              </w:rPr>
            </w:pPr>
            <w:r w:rsidRPr="00842070">
              <w:rPr>
                <w:b/>
                <w:bCs/>
                <w:sz w:val="26"/>
                <w:szCs w:val="26"/>
                <w:rtl/>
              </w:rPr>
              <w:t>12 פברואר 2014</w:t>
            </w:r>
          </w:p>
        </w:tc>
      </w:tr>
    </w:tbl>
    <w:p w14:paraId="100EF347" w14:textId="77777777" w:rsidR="00E110BE" w:rsidRPr="00842070" w:rsidRDefault="00E110BE">
      <w:pPr>
        <w:pStyle w:val="a3"/>
        <w:jc w:val="center"/>
        <w:rPr>
          <w:rFonts w:ascii="Tahoma" w:hAnsi="Tahoma" w:cs="Tahoma"/>
          <w:b/>
          <w:bCs/>
          <w:color w:val="000080"/>
          <w:sz w:val="20"/>
          <w:szCs w:val="20"/>
          <w:rtl/>
        </w:rPr>
      </w:pPr>
    </w:p>
    <w:p w14:paraId="28979820" w14:textId="77777777" w:rsidR="00E110BE" w:rsidRPr="00842070" w:rsidRDefault="00E110BE">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E110BE" w:rsidRPr="00842070" w14:paraId="40A5D704" w14:textId="77777777">
        <w:trPr>
          <w:gridAfter w:val="1"/>
          <w:wAfter w:w="55" w:type="dxa"/>
        </w:trPr>
        <w:tc>
          <w:tcPr>
            <w:tcW w:w="8719" w:type="dxa"/>
            <w:gridSpan w:val="2"/>
          </w:tcPr>
          <w:p w14:paraId="5AB3D957" w14:textId="77777777" w:rsidR="00E110BE" w:rsidRPr="00842070" w:rsidRDefault="00842070">
            <w:pPr>
              <w:spacing w:line="360" w:lineRule="auto"/>
              <w:jc w:val="both"/>
              <w:rPr>
                <w:rFonts w:ascii="Arial" w:eastAsia="Times New Roman" w:hAnsi="Arial"/>
                <w:rtl/>
              </w:rPr>
            </w:pPr>
            <w:r w:rsidRPr="00842070">
              <w:rPr>
                <w:rFonts w:ascii="Times New Roman" w:eastAsia="Times New Roman" w:hAnsi="Times New Roman" w:hint="cs"/>
                <w:b/>
                <w:bCs/>
                <w:rtl/>
              </w:rPr>
              <w:t>בפני כב' סגן הנשיאה, השופט אברהם הימן</w:t>
            </w:r>
          </w:p>
        </w:tc>
      </w:tr>
      <w:tr w:rsidR="00E110BE" w:rsidRPr="00842070" w14:paraId="3118B88E" w14:textId="77777777">
        <w:tc>
          <w:tcPr>
            <w:tcW w:w="2880" w:type="dxa"/>
          </w:tcPr>
          <w:p w14:paraId="35368A52" w14:textId="77777777" w:rsidR="00E110BE" w:rsidRPr="00842070" w:rsidRDefault="00842070">
            <w:pPr>
              <w:spacing w:line="360" w:lineRule="auto"/>
              <w:ind w:left="26"/>
              <w:rPr>
                <w:rFonts w:ascii="Times New Roman" w:eastAsia="Times New Roman" w:hAnsi="Times New Roman"/>
                <w:b/>
                <w:bCs/>
                <w:rtl/>
              </w:rPr>
            </w:pPr>
            <w:bookmarkStart w:id="0" w:name="FirstAppellant"/>
            <w:bookmarkStart w:id="1" w:name="LastJudge"/>
            <w:bookmarkEnd w:id="1"/>
            <w:r w:rsidRPr="00842070">
              <w:rPr>
                <w:rFonts w:ascii="Times New Roman" w:eastAsia="Times New Roman" w:hAnsi="Times New Roman" w:hint="cs"/>
                <w:b/>
                <w:bCs/>
                <w:rtl/>
              </w:rPr>
              <w:t>ה</w:t>
            </w:r>
            <w:r w:rsidRPr="00842070">
              <w:rPr>
                <w:rFonts w:ascii="Times New Roman" w:eastAsia="Times New Roman" w:hAnsi="Times New Roman" w:hint="cs"/>
                <w:rtl/>
              </w:rPr>
              <w:t>מאשימה</w:t>
            </w:r>
          </w:p>
        </w:tc>
        <w:tc>
          <w:tcPr>
            <w:tcW w:w="5922" w:type="dxa"/>
            <w:gridSpan w:val="2"/>
          </w:tcPr>
          <w:p w14:paraId="08654BC7" w14:textId="77777777" w:rsidR="00E110BE" w:rsidRPr="00842070" w:rsidRDefault="00842070">
            <w:pPr>
              <w:spacing w:line="360" w:lineRule="auto"/>
              <w:rPr>
                <w:rFonts w:ascii="Times New Roman" w:eastAsia="Times New Roman" w:hAnsi="Times New Roman"/>
                <w:b/>
                <w:bCs/>
                <w:rtl/>
              </w:rPr>
            </w:pPr>
            <w:r w:rsidRPr="00842070">
              <w:rPr>
                <w:rFonts w:ascii="Times New Roman" w:eastAsia="Times New Roman" w:hAnsi="Times New Roman" w:hint="cs"/>
                <w:b/>
                <w:bCs/>
                <w:rtl/>
              </w:rPr>
              <w:t xml:space="preserve"> </w:t>
            </w:r>
            <w:r w:rsidRPr="00842070">
              <w:rPr>
                <w:rFonts w:ascii="Times New Roman" w:eastAsia="Times New Roman" w:hAnsi="Times New Roman" w:hint="cs"/>
                <w:rtl/>
              </w:rPr>
              <w:t>מדינת ישראל</w:t>
            </w:r>
          </w:p>
        </w:tc>
      </w:tr>
      <w:bookmarkEnd w:id="0"/>
      <w:tr w:rsidR="00E110BE" w:rsidRPr="00842070" w14:paraId="676F1562" w14:textId="77777777">
        <w:tc>
          <w:tcPr>
            <w:tcW w:w="8802" w:type="dxa"/>
            <w:gridSpan w:val="3"/>
          </w:tcPr>
          <w:p w14:paraId="1C6D0052" w14:textId="77777777" w:rsidR="00E110BE" w:rsidRPr="00842070" w:rsidRDefault="00E110BE">
            <w:pPr>
              <w:spacing w:line="360" w:lineRule="auto"/>
              <w:jc w:val="both"/>
              <w:rPr>
                <w:rFonts w:ascii="Arial" w:eastAsia="Times New Roman" w:hAnsi="Arial"/>
                <w:b/>
                <w:bCs/>
                <w:rtl/>
              </w:rPr>
            </w:pPr>
          </w:p>
          <w:p w14:paraId="1CB21060" w14:textId="77777777" w:rsidR="00E110BE" w:rsidRPr="00842070" w:rsidRDefault="00842070">
            <w:pPr>
              <w:spacing w:line="360" w:lineRule="auto"/>
              <w:jc w:val="center"/>
              <w:rPr>
                <w:rFonts w:ascii="Arial" w:eastAsia="Times New Roman" w:hAnsi="Arial"/>
                <w:b/>
                <w:bCs/>
                <w:rtl/>
              </w:rPr>
            </w:pPr>
            <w:r w:rsidRPr="00842070">
              <w:rPr>
                <w:rFonts w:ascii="Arial" w:eastAsia="Times New Roman" w:hAnsi="Arial"/>
                <w:b/>
                <w:bCs/>
                <w:rtl/>
              </w:rPr>
              <w:t>נגד</w:t>
            </w:r>
          </w:p>
          <w:p w14:paraId="762AEA65" w14:textId="77777777" w:rsidR="00E110BE" w:rsidRPr="00842070" w:rsidRDefault="00E110BE">
            <w:pPr>
              <w:spacing w:line="360" w:lineRule="auto"/>
              <w:jc w:val="center"/>
              <w:rPr>
                <w:rFonts w:ascii="Arial" w:eastAsia="Times New Roman" w:hAnsi="Arial"/>
                <w:b/>
                <w:bCs/>
              </w:rPr>
            </w:pPr>
          </w:p>
        </w:tc>
      </w:tr>
      <w:tr w:rsidR="00E110BE" w:rsidRPr="00842070" w14:paraId="2A36021A" w14:textId="77777777">
        <w:tc>
          <w:tcPr>
            <w:tcW w:w="2880" w:type="dxa"/>
          </w:tcPr>
          <w:p w14:paraId="2B9431A3" w14:textId="77777777" w:rsidR="00E110BE" w:rsidRPr="00842070" w:rsidRDefault="00842070">
            <w:pPr>
              <w:spacing w:line="360" w:lineRule="auto"/>
              <w:ind w:left="26"/>
              <w:rPr>
                <w:rFonts w:ascii="Times New Roman" w:eastAsia="Times New Roman" w:hAnsi="Times New Roman"/>
                <w:b/>
                <w:bCs/>
                <w:rtl/>
              </w:rPr>
            </w:pPr>
            <w:r w:rsidRPr="00842070">
              <w:rPr>
                <w:rFonts w:ascii="Times New Roman" w:eastAsia="Times New Roman" w:hAnsi="Times New Roman" w:hint="cs"/>
                <w:b/>
                <w:bCs/>
                <w:rtl/>
              </w:rPr>
              <w:t>ה</w:t>
            </w:r>
            <w:r w:rsidRPr="00842070">
              <w:rPr>
                <w:rFonts w:ascii="Times New Roman" w:eastAsia="Times New Roman" w:hAnsi="Times New Roman" w:hint="cs"/>
                <w:rtl/>
              </w:rPr>
              <w:t>נאשם</w:t>
            </w:r>
          </w:p>
        </w:tc>
        <w:tc>
          <w:tcPr>
            <w:tcW w:w="5922" w:type="dxa"/>
            <w:gridSpan w:val="2"/>
          </w:tcPr>
          <w:p w14:paraId="6F40F64E" w14:textId="77777777" w:rsidR="00E110BE" w:rsidRPr="00842070" w:rsidRDefault="00842070">
            <w:pPr>
              <w:spacing w:line="360" w:lineRule="auto"/>
              <w:rPr>
                <w:rFonts w:ascii="Times New Roman" w:eastAsia="Times New Roman" w:hAnsi="Times New Roman"/>
                <w:b/>
                <w:bCs/>
                <w:rtl/>
              </w:rPr>
            </w:pPr>
            <w:r w:rsidRPr="00842070">
              <w:rPr>
                <w:rFonts w:ascii="Times New Roman" w:eastAsia="Times New Roman" w:hAnsi="Times New Roman" w:hint="cs"/>
                <w:rtl/>
              </w:rPr>
              <w:t xml:space="preserve">יוסי מגל </w:t>
            </w:r>
          </w:p>
        </w:tc>
      </w:tr>
    </w:tbl>
    <w:p w14:paraId="74FB6B58" w14:textId="77777777" w:rsidR="00E110BE" w:rsidRPr="00842070" w:rsidRDefault="00E110BE">
      <w:pPr>
        <w:spacing w:line="360" w:lineRule="auto"/>
        <w:jc w:val="both"/>
        <w:rPr>
          <w:rtl/>
        </w:rPr>
      </w:pPr>
    </w:p>
    <w:p w14:paraId="6C520F3E" w14:textId="77777777" w:rsidR="00E110BE" w:rsidRPr="00842070" w:rsidRDefault="00842070">
      <w:pPr>
        <w:spacing w:line="360" w:lineRule="auto"/>
        <w:rPr>
          <w:b/>
          <w:bCs/>
          <w:rtl/>
        </w:rPr>
      </w:pPr>
      <w:r w:rsidRPr="00842070">
        <w:rPr>
          <w:rFonts w:hint="cs"/>
          <w:b/>
          <w:bCs/>
          <w:rtl/>
        </w:rPr>
        <w:t>נוכחים:</w:t>
      </w:r>
    </w:p>
    <w:p w14:paraId="231FBC87" w14:textId="77777777" w:rsidR="00E110BE" w:rsidRPr="00842070" w:rsidRDefault="00842070">
      <w:pPr>
        <w:spacing w:line="360" w:lineRule="auto"/>
        <w:rPr>
          <w:b/>
          <w:bCs/>
          <w:rtl/>
        </w:rPr>
      </w:pPr>
      <w:bookmarkStart w:id="2" w:name="FirstLawyer"/>
      <w:r w:rsidRPr="00842070">
        <w:rPr>
          <w:rFonts w:hint="cs"/>
          <w:b/>
          <w:bCs/>
          <w:rtl/>
        </w:rPr>
        <w:t>ב"כ</w:t>
      </w:r>
      <w:bookmarkEnd w:id="2"/>
      <w:r w:rsidRPr="00842070">
        <w:rPr>
          <w:rFonts w:hint="cs"/>
          <w:b/>
          <w:bCs/>
          <w:rtl/>
        </w:rPr>
        <w:t xml:space="preserve"> המאשימה מתמחה אירן אהרון </w:t>
      </w:r>
    </w:p>
    <w:p w14:paraId="13905C64" w14:textId="77777777" w:rsidR="00E110BE" w:rsidRPr="00842070" w:rsidRDefault="00842070">
      <w:pPr>
        <w:spacing w:line="360" w:lineRule="auto"/>
        <w:rPr>
          <w:b/>
          <w:bCs/>
          <w:rtl/>
        </w:rPr>
      </w:pPr>
      <w:r w:rsidRPr="00842070">
        <w:rPr>
          <w:rFonts w:hint="cs"/>
          <w:b/>
          <w:bCs/>
          <w:rtl/>
        </w:rPr>
        <w:t xml:space="preserve">הנאשם וב"כ עו"ד  אייל אוחיון </w:t>
      </w:r>
    </w:p>
    <w:p w14:paraId="24351789" w14:textId="77777777" w:rsidR="00E110BE" w:rsidRPr="00842070" w:rsidRDefault="00E110BE">
      <w:pPr>
        <w:spacing w:line="360" w:lineRule="auto"/>
        <w:jc w:val="both"/>
        <w:rPr>
          <w:rtl/>
        </w:rPr>
      </w:pPr>
    </w:p>
    <w:p w14:paraId="23D4A6E2" w14:textId="77777777" w:rsidR="00AC4F39" w:rsidRPr="00AC4F39" w:rsidRDefault="00AC4F39" w:rsidP="00AC4F39">
      <w:pPr>
        <w:spacing w:after="120" w:line="240" w:lineRule="exact"/>
        <w:ind w:left="283" w:hanging="283"/>
        <w:jc w:val="both"/>
        <w:rPr>
          <w:rFonts w:ascii="FrankRuehl" w:eastAsia="Times New Roman" w:hAnsi="FrankRuehl" w:cs="FrankRuehl"/>
          <w:rtl/>
        </w:rPr>
      </w:pPr>
      <w:bookmarkStart w:id="3" w:name="LawTable"/>
    </w:p>
    <w:p w14:paraId="3012E3D9" w14:textId="77777777" w:rsidR="00AC4F39" w:rsidRPr="00AC4F39" w:rsidRDefault="00AC4F39" w:rsidP="00AC4F39">
      <w:pPr>
        <w:spacing w:after="120" w:line="240" w:lineRule="exact"/>
        <w:ind w:left="283" w:hanging="283"/>
        <w:jc w:val="both"/>
        <w:rPr>
          <w:rFonts w:ascii="FrankRuehl" w:eastAsia="Times New Roman" w:hAnsi="FrankRuehl" w:cs="FrankRuehl"/>
          <w:rtl/>
        </w:rPr>
      </w:pPr>
      <w:r w:rsidRPr="00AC4F39">
        <w:rPr>
          <w:rFonts w:ascii="FrankRuehl" w:eastAsia="Times New Roman" w:hAnsi="FrankRuehl" w:cs="FrankRuehl"/>
          <w:rtl/>
        </w:rPr>
        <w:t xml:space="preserve">חקיקה שאוזכרה: </w:t>
      </w:r>
    </w:p>
    <w:p w14:paraId="5FBBDB10" w14:textId="77777777" w:rsidR="00AC4F39" w:rsidRPr="00AC4F39" w:rsidRDefault="00AC4F39" w:rsidP="00AC4F39">
      <w:pPr>
        <w:spacing w:after="120" w:line="240" w:lineRule="exact"/>
        <w:ind w:left="283" w:hanging="283"/>
        <w:jc w:val="both"/>
        <w:rPr>
          <w:rFonts w:ascii="FrankRuehl" w:eastAsia="Times New Roman" w:hAnsi="FrankRuehl" w:cs="FrankRuehl"/>
          <w:rtl/>
        </w:rPr>
      </w:pPr>
      <w:hyperlink r:id="rId6" w:history="1">
        <w:r w:rsidRPr="00AC4F39">
          <w:rPr>
            <w:rFonts w:ascii="FrankRuehl" w:eastAsia="Times New Roman" w:hAnsi="FrankRuehl" w:cs="FrankRuehl"/>
            <w:color w:val="0000FF"/>
            <w:u w:val="single"/>
            <w:rtl/>
          </w:rPr>
          <w:t>חוק העונשין, תשל"ז-1977</w:t>
        </w:r>
      </w:hyperlink>
      <w:r w:rsidRPr="00AC4F39">
        <w:rPr>
          <w:rFonts w:ascii="FrankRuehl" w:eastAsia="Times New Roman" w:hAnsi="FrankRuehl" w:cs="FrankRuehl"/>
          <w:rtl/>
        </w:rPr>
        <w:t xml:space="preserve">: סע'  </w:t>
      </w:r>
      <w:hyperlink r:id="rId7" w:history="1">
        <w:r w:rsidRPr="00AC4F39">
          <w:rPr>
            <w:rFonts w:ascii="FrankRuehl" w:eastAsia="Times New Roman" w:hAnsi="FrankRuehl" w:cs="FrankRuehl"/>
            <w:color w:val="0000FF"/>
            <w:u w:val="single"/>
            <w:rtl/>
          </w:rPr>
          <w:t>35א.</w:t>
        </w:r>
      </w:hyperlink>
    </w:p>
    <w:p w14:paraId="44CFEFD8" w14:textId="77777777" w:rsidR="00AC4F39" w:rsidRPr="00AC4F39" w:rsidRDefault="00AC4F39" w:rsidP="00AC4F39">
      <w:pPr>
        <w:spacing w:after="120" w:line="240" w:lineRule="exact"/>
        <w:ind w:left="283" w:hanging="283"/>
        <w:jc w:val="both"/>
        <w:rPr>
          <w:rFonts w:ascii="FrankRuehl" w:eastAsia="Times New Roman" w:hAnsi="FrankRuehl" w:cs="FrankRuehl"/>
          <w:rtl/>
        </w:rPr>
      </w:pPr>
      <w:hyperlink r:id="rId8" w:history="1">
        <w:r w:rsidRPr="00AC4F39">
          <w:rPr>
            <w:rFonts w:ascii="FrankRuehl" w:eastAsia="Times New Roman" w:hAnsi="FrankRuehl" w:cs="FrankRuehl"/>
            <w:color w:val="0000FF"/>
            <w:u w:val="single"/>
            <w:rtl/>
          </w:rPr>
          <w:t>פקודת הסמים המסוכנים [נוסח חדש], תשל"ג-1973</w:t>
        </w:r>
      </w:hyperlink>
    </w:p>
    <w:p w14:paraId="7831150C" w14:textId="77777777" w:rsidR="00AC4F39" w:rsidRDefault="00AC4F39">
      <w:pPr>
        <w:spacing w:line="360" w:lineRule="auto"/>
        <w:jc w:val="center"/>
        <w:rPr>
          <w:rFonts w:ascii="Arial" w:eastAsia="Times New Roman" w:hAnsi="Arial"/>
          <w:sz w:val="28"/>
          <w:szCs w:val="28"/>
          <w:rtl/>
        </w:rPr>
      </w:pPr>
      <w:bookmarkStart w:id="4" w:name="LawTable_End"/>
    </w:p>
    <w:bookmarkEnd w:id="3"/>
    <w:bookmarkEnd w:id="4"/>
    <w:p w14:paraId="0E015690" w14:textId="77777777" w:rsidR="00AC4F39" w:rsidRPr="00842070" w:rsidRDefault="00AC4F39">
      <w:pPr>
        <w:spacing w:line="360" w:lineRule="auto"/>
        <w:jc w:val="center"/>
        <w:rPr>
          <w:rFonts w:ascii="Arial" w:eastAsia="Times New Roman" w:hAnsi="Arial"/>
          <w:b/>
          <w:bCs/>
          <w:sz w:val="28"/>
          <w:szCs w:val="28"/>
          <w:rtl/>
        </w:rPr>
      </w:pPr>
    </w:p>
    <w:p w14:paraId="646286AF" w14:textId="77777777" w:rsidR="00AC4F39" w:rsidRPr="00842070" w:rsidRDefault="00AC4F39" w:rsidP="00842070">
      <w:pPr>
        <w:spacing w:line="360" w:lineRule="auto"/>
        <w:jc w:val="center"/>
        <w:rPr>
          <w:rFonts w:ascii="Arial" w:eastAsia="Times New Roman" w:hAnsi="Arial"/>
          <w:b/>
          <w:bCs/>
          <w:sz w:val="28"/>
          <w:szCs w:val="28"/>
          <w:u w:val="single"/>
          <w:rtl/>
        </w:rPr>
      </w:pPr>
      <w:bookmarkStart w:id="5" w:name="_GoBack"/>
      <w:bookmarkStart w:id="6" w:name="PsakDin"/>
      <w:bookmarkEnd w:id="5"/>
      <w:r w:rsidRPr="00842070">
        <w:rPr>
          <w:rFonts w:ascii="Arial" w:eastAsia="Times New Roman" w:hAnsi="Arial"/>
          <w:b/>
          <w:bCs/>
          <w:sz w:val="28"/>
          <w:szCs w:val="28"/>
          <w:u w:val="single"/>
          <w:rtl/>
        </w:rPr>
        <w:t>גזר דין</w:t>
      </w:r>
    </w:p>
    <w:bookmarkEnd w:id="6"/>
    <w:p w14:paraId="32D5E681" w14:textId="77777777" w:rsidR="00AC4F39" w:rsidRDefault="00AC4F39">
      <w:pPr>
        <w:spacing w:line="360" w:lineRule="auto"/>
        <w:jc w:val="both"/>
        <w:rPr>
          <w:rFonts w:ascii="Arial" w:eastAsia="Times New Roman" w:hAnsi="Arial"/>
          <w:rtl/>
        </w:rPr>
      </w:pPr>
    </w:p>
    <w:p w14:paraId="52F8B12A" w14:textId="77777777" w:rsidR="00AC4F39" w:rsidRDefault="00AC4F39">
      <w:pPr>
        <w:spacing w:line="360" w:lineRule="auto"/>
        <w:jc w:val="both"/>
        <w:rPr>
          <w:rFonts w:ascii="Arial" w:eastAsia="Times New Roman" w:hAnsi="Arial"/>
          <w:rtl/>
        </w:rPr>
      </w:pPr>
      <w:bookmarkStart w:id="7" w:name="ABSTRACT_START"/>
      <w:bookmarkEnd w:id="7"/>
      <w:r>
        <w:rPr>
          <w:rFonts w:ascii="Arial" w:eastAsia="Times New Roman" w:hAnsi="Arial" w:hint="cs"/>
          <w:rtl/>
        </w:rPr>
        <w:t>בתאריך 7.10.10 הוגש נגד הנאשם כתב אישום ועימו הוגשה גם בקשה למעצרו עד תום הליכים. כפי העולה מפרוטוקול הדיון, בשלב מאוחר יותר שוחרר הנאשם ממעצר, בתנאים מגבילים. מלכתחילה, כלל כתב האישום שני אישומים בהם ייחסה התביעה לנאשם עבירות של סחר בסמים במועדים שונים כלפי שני קוני סם שונים. כפי שיפורט להלן, כתב האישום תוקן במהלך המשפט</w:t>
      </w:r>
      <w:bookmarkStart w:id="8" w:name="ABSTRACT_END"/>
      <w:bookmarkEnd w:id="8"/>
      <w:r>
        <w:rPr>
          <w:rFonts w:ascii="Arial" w:eastAsia="Times New Roman" w:hAnsi="Arial" w:hint="cs"/>
          <w:rtl/>
        </w:rPr>
        <w:t>.</w:t>
      </w:r>
    </w:p>
    <w:p w14:paraId="29B16AFB" w14:textId="77777777" w:rsidR="00AC4F39" w:rsidRDefault="00AC4F39">
      <w:pPr>
        <w:spacing w:line="360" w:lineRule="auto"/>
        <w:jc w:val="both"/>
        <w:rPr>
          <w:rFonts w:ascii="Arial" w:eastAsia="Times New Roman" w:hAnsi="Arial"/>
          <w:rtl/>
        </w:rPr>
      </w:pPr>
    </w:p>
    <w:p w14:paraId="1661E70B" w14:textId="77777777" w:rsidR="00AC4F39" w:rsidRDefault="00AC4F39">
      <w:pPr>
        <w:spacing w:line="360" w:lineRule="auto"/>
        <w:jc w:val="both"/>
        <w:rPr>
          <w:rFonts w:ascii="Arial" w:eastAsia="Times New Roman" w:hAnsi="Arial"/>
          <w:rtl/>
        </w:rPr>
      </w:pPr>
      <w:r>
        <w:rPr>
          <w:rFonts w:ascii="Arial" w:eastAsia="Times New Roman" w:hAnsi="Arial" w:hint="cs"/>
          <w:rtl/>
        </w:rPr>
        <w:t>בדיון שהתקיים לפני ביום 11.5.11 הודיעו הצדדים כי הגיעו להסדר טיעון. על פי ההסדר כתב האישום יתוקן, הנאשם יודה בעובדות כתב האישום המתוקן ויורשע. על פי מסמך ההסדר שהוגש לבית המשפט, הודיעו הצדדים כי אין להם הסכמה לגבי העונש וכי התביעה מתנגדת להפנות הנאשם לשירות המבחן.</w:t>
      </w:r>
    </w:p>
    <w:p w14:paraId="44E94BE4" w14:textId="77777777" w:rsidR="00AC4F39" w:rsidRDefault="00AC4F39">
      <w:pPr>
        <w:spacing w:line="360" w:lineRule="auto"/>
        <w:jc w:val="both"/>
        <w:rPr>
          <w:rFonts w:ascii="Arial" w:eastAsia="Times New Roman" w:hAnsi="Arial"/>
          <w:rtl/>
        </w:rPr>
      </w:pPr>
    </w:p>
    <w:p w14:paraId="45113AD3" w14:textId="77777777" w:rsidR="00AC4F39" w:rsidRDefault="00AC4F39">
      <w:pPr>
        <w:spacing w:line="360" w:lineRule="auto"/>
        <w:jc w:val="both"/>
        <w:rPr>
          <w:rFonts w:ascii="Arial" w:eastAsia="Times New Roman" w:hAnsi="Arial"/>
          <w:rtl/>
        </w:rPr>
      </w:pPr>
      <w:r>
        <w:rPr>
          <w:rFonts w:ascii="Arial" w:eastAsia="Times New Roman" w:hAnsi="Arial" w:hint="cs"/>
          <w:rtl/>
        </w:rPr>
        <w:t xml:space="preserve">בעקבות הודיית הנאשם בכתב האישום המתוקן, הורשע הנאשם על פי הודייתו בעובדותיו. באשר למחלוקת בין הצדדים בשאלה אם להפנות הנאשם לשירות המבחן בטרם טיעונים לעונש, החלטתי </w:t>
      </w:r>
      <w:r>
        <w:rPr>
          <w:rFonts w:ascii="Arial" w:eastAsia="Times New Roman" w:hAnsi="Arial" w:hint="cs"/>
          <w:rtl/>
        </w:rPr>
        <w:lastRenderedPageBreak/>
        <w:t>כי בשים לב לעתירת התביעה לעונש מאסר בפועל, ולפי מהות העבירות בהן הורשע הנאשם, יש מקום, בטרם טיעונים לעונש, לקבל תסקיר משירות המבחן.</w:t>
      </w:r>
    </w:p>
    <w:p w14:paraId="410A980E" w14:textId="77777777" w:rsidR="00AC4F39" w:rsidRDefault="00AC4F39">
      <w:pPr>
        <w:spacing w:line="360" w:lineRule="auto"/>
        <w:jc w:val="both"/>
        <w:rPr>
          <w:rFonts w:ascii="Arial" w:eastAsia="Times New Roman" w:hAnsi="Arial"/>
          <w:rtl/>
        </w:rPr>
      </w:pPr>
    </w:p>
    <w:p w14:paraId="4E781E09" w14:textId="77777777" w:rsidR="00AC4F39" w:rsidRDefault="00AC4F39">
      <w:pPr>
        <w:spacing w:line="360" w:lineRule="auto"/>
        <w:jc w:val="both"/>
        <w:rPr>
          <w:rFonts w:ascii="Arial" w:eastAsia="Times New Roman" w:hAnsi="Arial"/>
          <w:rtl/>
        </w:rPr>
      </w:pPr>
      <w:r>
        <w:rPr>
          <w:rFonts w:ascii="Arial" w:eastAsia="Times New Roman" w:hAnsi="Arial" w:hint="cs"/>
          <w:rtl/>
        </w:rPr>
        <w:t>כאן המקום לפרט במה הודה הנאשם. הנאשם הודה כי בין השנים 2009 ל- 2010 במספר הזדמנויות ובתאריכים שאינם ידועים לתביעה, באזור הערים חולון ובת ים, מכר הנאשם לקטין ב.ט יליד 21.8.94 ולאדם אחר אורי רוזנצוויג, חשיש ומריחואנה בתמורה לסכומי כסף שונים.</w:t>
      </w:r>
    </w:p>
    <w:p w14:paraId="71252E03" w14:textId="77777777" w:rsidR="00AC4F39" w:rsidRDefault="00AC4F39">
      <w:pPr>
        <w:spacing w:line="360" w:lineRule="auto"/>
        <w:jc w:val="both"/>
        <w:rPr>
          <w:rFonts w:ascii="Arial" w:eastAsia="Times New Roman" w:hAnsi="Arial"/>
          <w:rtl/>
        </w:rPr>
      </w:pPr>
    </w:p>
    <w:p w14:paraId="3A6314C3" w14:textId="77777777" w:rsidR="00AC4F39" w:rsidRDefault="00AC4F39">
      <w:pPr>
        <w:spacing w:line="360" w:lineRule="auto"/>
        <w:jc w:val="both"/>
        <w:rPr>
          <w:rFonts w:ascii="Arial" w:eastAsia="Times New Roman" w:hAnsi="Arial"/>
          <w:rtl/>
        </w:rPr>
      </w:pPr>
      <w:r>
        <w:rPr>
          <w:rFonts w:ascii="Arial" w:eastAsia="Times New Roman" w:hAnsi="Arial" w:hint="cs"/>
          <w:rtl/>
        </w:rPr>
        <w:t xml:space="preserve">במאמר מוסגר ובשלב זה של גזר הדין אסב תשומת הלב כי התביעה לא ייחסה לנאשם העבירות החמורות יותר של הדחת קטין לסמים, עבירה המחייבת מאסר בפועל (כמובן בסייג הקבוע </w:t>
      </w:r>
      <w:hyperlink r:id="rId9" w:history="1">
        <w:r w:rsidRPr="00AC4F39">
          <w:rPr>
            <w:rFonts w:ascii="Arial" w:eastAsia="Times New Roman" w:hAnsi="Arial"/>
            <w:color w:val="0000FF"/>
            <w:u w:val="single"/>
            <w:rtl/>
          </w:rPr>
          <w:t>בסעיף 35א.</w:t>
        </w:r>
      </w:hyperlink>
      <w:r>
        <w:rPr>
          <w:rFonts w:ascii="Arial" w:eastAsia="Times New Roman" w:hAnsi="Arial" w:hint="cs"/>
          <w:rtl/>
        </w:rPr>
        <w:t xml:space="preserve"> ל</w:t>
      </w:r>
      <w:hyperlink r:id="rId10" w:history="1">
        <w:r w:rsidRPr="00842070">
          <w:rPr>
            <w:rFonts w:ascii="Arial" w:eastAsia="Times New Roman" w:hAnsi="Arial"/>
            <w:color w:val="0000FF"/>
            <w:u w:val="single"/>
            <w:rtl/>
          </w:rPr>
          <w:t>חוק העונשין</w:t>
        </w:r>
      </w:hyperlink>
      <w:r>
        <w:rPr>
          <w:rFonts w:ascii="Arial" w:eastAsia="Times New Roman" w:hAnsi="Arial" w:hint="cs"/>
          <w:rtl/>
        </w:rPr>
        <w:t xml:space="preserve"> באשר לעונש חובה).</w:t>
      </w:r>
    </w:p>
    <w:p w14:paraId="0620576F" w14:textId="77777777" w:rsidR="00AC4F39" w:rsidRDefault="00AC4F39">
      <w:pPr>
        <w:spacing w:line="360" w:lineRule="auto"/>
        <w:jc w:val="both"/>
        <w:rPr>
          <w:rFonts w:ascii="Arial" w:eastAsia="Times New Roman" w:hAnsi="Arial"/>
          <w:rtl/>
        </w:rPr>
      </w:pPr>
    </w:p>
    <w:p w14:paraId="21C6E197" w14:textId="77777777" w:rsidR="00AC4F39" w:rsidRDefault="00AC4F39">
      <w:pPr>
        <w:spacing w:line="360" w:lineRule="auto"/>
        <w:jc w:val="both"/>
        <w:rPr>
          <w:rFonts w:ascii="Arial" w:eastAsia="Times New Roman" w:hAnsi="Arial"/>
          <w:rtl/>
        </w:rPr>
      </w:pPr>
      <w:r>
        <w:rPr>
          <w:rFonts w:ascii="Arial" w:eastAsia="Times New Roman" w:hAnsi="Arial" w:hint="cs"/>
          <w:rtl/>
        </w:rPr>
        <w:t>הדיונים במשפט זה התמשכו על פני מספר ישיבות, בדרך כלל לפי המלצת שירות המבחן. סופו של דבר שהוגשו ארבעה תסקירים. השלישי מבין הארבעה  ניתן סמוך לפני הדיון שנקבע לשמיעת טיעונים לעונש – 10.10.12.</w:t>
      </w:r>
    </w:p>
    <w:p w14:paraId="65C93465" w14:textId="77777777" w:rsidR="00AC4F39" w:rsidRDefault="00AC4F39">
      <w:pPr>
        <w:spacing w:line="360" w:lineRule="auto"/>
        <w:jc w:val="both"/>
        <w:rPr>
          <w:rFonts w:ascii="Arial" w:eastAsia="Times New Roman" w:hAnsi="Arial"/>
          <w:rtl/>
        </w:rPr>
      </w:pPr>
    </w:p>
    <w:p w14:paraId="72EBFF06" w14:textId="77777777" w:rsidR="00AC4F39" w:rsidRDefault="00AC4F39">
      <w:pPr>
        <w:spacing w:line="360" w:lineRule="auto"/>
        <w:jc w:val="both"/>
        <w:rPr>
          <w:rFonts w:ascii="Arial" w:eastAsia="Times New Roman" w:hAnsi="Arial"/>
          <w:rtl/>
        </w:rPr>
      </w:pPr>
      <w:r>
        <w:rPr>
          <w:rFonts w:ascii="Arial" w:eastAsia="Times New Roman" w:hAnsi="Arial" w:hint="cs"/>
          <w:rtl/>
        </w:rPr>
        <w:t xml:space="preserve">אקדים הסוף ואומר שבתסקיר השלישי הנ''ל המליץ שירות המבחן בסופו של תהליך ארוך שנמשך כשנה, כדלקמן: </w:t>
      </w:r>
    </w:p>
    <w:p w14:paraId="62A37E71" w14:textId="77777777" w:rsidR="00AC4F39" w:rsidRDefault="00AC4F39">
      <w:pPr>
        <w:spacing w:line="360" w:lineRule="auto"/>
        <w:jc w:val="both"/>
        <w:rPr>
          <w:rFonts w:ascii="Arial" w:eastAsia="Times New Roman" w:hAnsi="Arial"/>
          <w:rtl/>
        </w:rPr>
      </w:pPr>
    </w:p>
    <w:p w14:paraId="3536993B" w14:textId="77777777" w:rsidR="00AC4F39" w:rsidRDefault="00AC4F39">
      <w:pPr>
        <w:spacing w:line="360" w:lineRule="auto"/>
        <w:jc w:val="both"/>
        <w:rPr>
          <w:rFonts w:ascii="Arial" w:eastAsia="Times New Roman" w:hAnsi="Arial"/>
          <w:b/>
          <w:bCs/>
          <w:rtl/>
        </w:rPr>
      </w:pPr>
      <w:r>
        <w:rPr>
          <w:rFonts w:ascii="Arial" w:eastAsia="Times New Roman" w:hAnsi="Arial" w:hint="cs"/>
          <w:b/>
          <w:bCs/>
          <w:rtl/>
        </w:rPr>
        <w:t>"לפיכך אנו חוזרים וממליצים על העמדתו במבחן שרותנו למשך שנה וחצי, בתנאי המשך טיפול אינטנסיבי במרכז יום לנפגעי סמים ברחובות וביחידה לטיפול בנפגעי סמים בחולון, במהלכה יעבור את השלבים האינטנסיבים ולאחריהם נהווה מסגרת טיפולית סמכותית עבורו בהליכי ההסתגלות וההשתלבות מחדש בתפקוד אישי, משפחתי ותעסוקתי בקהילה."</w:t>
      </w:r>
    </w:p>
    <w:p w14:paraId="0AA140A8" w14:textId="77777777" w:rsidR="00AC4F39" w:rsidRDefault="00AC4F39">
      <w:pPr>
        <w:spacing w:line="360" w:lineRule="auto"/>
        <w:jc w:val="both"/>
        <w:rPr>
          <w:rFonts w:ascii="Arial" w:eastAsia="Times New Roman" w:hAnsi="Arial"/>
          <w:b/>
          <w:bCs/>
          <w:rtl/>
        </w:rPr>
      </w:pPr>
    </w:p>
    <w:p w14:paraId="673A26CD" w14:textId="77777777" w:rsidR="00AC4F39" w:rsidRDefault="00AC4F39">
      <w:pPr>
        <w:spacing w:line="360" w:lineRule="auto"/>
        <w:jc w:val="both"/>
        <w:rPr>
          <w:rFonts w:ascii="Arial" w:eastAsia="Times New Roman" w:hAnsi="Arial"/>
          <w:rtl/>
        </w:rPr>
      </w:pPr>
      <w:r>
        <w:rPr>
          <w:rFonts w:ascii="Arial" w:eastAsia="Times New Roman" w:hAnsi="Arial" w:hint="cs"/>
          <w:rtl/>
        </w:rPr>
        <w:t xml:space="preserve">לנוכח האמור בתסקיר זה, שקלתי לגזור על הנאשם עונש מאסר שירוצה בעבודות שירות. לפיכך דחיתי הדיון ליום 16.1.13 לקבלת חוות דעת הממונה על עבודות שירות בשב''ס (להלן – "הממונה"). </w:t>
      </w:r>
    </w:p>
    <w:p w14:paraId="3CEF6209" w14:textId="77777777" w:rsidR="00AC4F39" w:rsidRDefault="00AC4F39">
      <w:pPr>
        <w:spacing w:line="360" w:lineRule="auto"/>
        <w:jc w:val="both"/>
        <w:rPr>
          <w:rFonts w:ascii="Arial" w:eastAsia="Times New Roman" w:hAnsi="Arial"/>
          <w:rtl/>
        </w:rPr>
      </w:pPr>
    </w:p>
    <w:p w14:paraId="4690CBC3" w14:textId="77777777" w:rsidR="00AC4F39" w:rsidRDefault="00AC4F39">
      <w:pPr>
        <w:spacing w:line="360" w:lineRule="auto"/>
        <w:jc w:val="both"/>
        <w:rPr>
          <w:rFonts w:ascii="Arial" w:eastAsia="Times New Roman" w:hAnsi="Arial"/>
          <w:rtl/>
        </w:rPr>
      </w:pPr>
      <w:r>
        <w:rPr>
          <w:rFonts w:ascii="Arial" w:eastAsia="Times New Roman" w:hAnsi="Arial" w:hint="cs"/>
          <w:rtl/>
        </w:rPr>
        <w:t>בדיון שהתקיים לפני ביום 16.1.13  התקבלה חוות דעת הממונה לפיה קבע הממונה כי לא יוכל לשים הנאשם בעבודות שירות משום שהוא נמצא בטיפול במרכז יום. לנוכח בקשת ב''כ הנאשם להפנות הנאשם בשנית לממונה על מנת לנסות ולמצוא עבודות שירות התואמות לנסיבותיו אלה של הנאשם, הוריתי לדחות הדיון לשם קבלת חוות דעת משלימה מטעם הממונה.</w:t>
      </w:r>
    </w:p>
    <w:p w14:paraId="3BE5BF2C" w14:textId="77777777" w:rsidR="00AC4F39" w:rsidRDefault="00AC4F39">
      <w:pPr>
        <w:spacing w:line="360" w:lineRule="auto"/>
        <w:jc w:val="both"/>
        <w:rPr>
          <w:rFonts w:ascii="Arial" w:eastAsia="Times New Roman" w:hAnsi="Arial"/>
          <w:rtl/>
        </w:rPr>
      </w:pPr>
    </w:p>
    <w:p w14:paraId="77E3D1D3" w14:textId="77777777" w:rsidR="00AC4F39" w:rsidRDefault="00AC4F39">
      <w:pPr>
        <w:spacing w:line="360" w:lineRule="auto"/>
        <w:jc w:val="both"/>
        <w:rPr>
          <w:rFonts w:ascii="Arial" w:eastAsia="Times New Roman" w:hAnsi="Arial"/>
          <w:rtl/>
        </w:rPr>
      </w:pPr>
      <w:r>
        <w:rPr>
          <w:rFonts w:ascii="Arial" w:eastAsia="Times New Roman" w:hAnsi="Arial" w:hint="cs"/>
          <w:rtl/>
        </w:rPr>
        <w:t>ואכן, סמוך לפני הדיון שנקבע ליום 17.4.13 הוגשה חוות דעת משלימה. הממונה מצא ליתן חוות דעת חיובית. כמו כן, הוגש תסקיר משלים, רביעי במספר, שבו שירות המבחן חזר שוב על המלצתו להעמיד הנאשם במבחן, אך המליץ לדחות ביצוע עבודות השירות עד לחודש ינואר 2014 הוא מועד סיום הטיפול במרכז  היום.</w:t>
      </w:r>
    </w:p>
    <w:p w14:paraId="79F5797E" w14:textId="77777777" w:rsidR="00AC4F39" w:rsidRDefault="00AC4F39">
      <w:pPr>
        <w:spacing w:line="360" w:lineRule="auto"/>
        <w:jc w:val="both"/>
        <w:rPr>
          <w:rFonts w:ascii="Arial" w:eastAsia="Times New Roman" w:hAnsi="Arial"/>
          <w:rtl/>
        </w:rPr>
      </w:pPr>
    </w:p>
    <w:p w14:paraId="5942E210" w14:textId="77777777" w:rsidR="00AC4F39" w:rsidRDefault="00AC4F39">
      <w:pPr>
        <w:spacing w:line="360" w:lineRule="auto"/>
        <w:jc w:val="both"/>
        <w:rPr>
          <w:rFonts w:ascii="Arial" w:eastAsia="Times New Roman" w:hAnsi="Arial"/>
          <w:rtl/>
        </w:rPr>
      </w:pPr>
    </w:p>
    <w:p w14:paraId="75E7736D" w14:textId="77777777" w:rsidR="00AC4F39" w:rsidRDefault="00AC4F39">
      <w:pPr>
        <w:spacing w:line="360" w:lineRule="auto"/>
        <w:jc w:val="both"/>
        <w:rPr>
          <w:rFonts w:ascii="Arial" w:eastAsia="Times New Roman" w:hAnsi="Arial"/>
          <w:rtl/>
        </w:rPr>
      </w:pPr>
      <w:r>
        <w:rPr>
          <w:rFonts w:ascii="Arial" w:eastAsia="Times New Roman" w:hAnsi="Arial" w:hint="cs"/>
          <w:rtl/>
        </w:rPr>
        <w:lastRenderedPageBreak/>
        <w:t>בדיון שהתקיים ביום 17.4.13,חזרה התביעה בטיעוניה לעונש על עמדתה הנחרצת כפי שבאה לידי ביטוי עוד מתחילת ההליכים – לפי עמדה זו העונש היחיד ההולם העבירות החמורות שעבר הנאשם, בשים לב לעברו, ובהתעלם משיקולי השיקום כפי שבאו לידי ביטוי בתסקירי שירות המבחן – הוא מאסר בפועל.</w:t>
      </w:r>
    </w:p>
    <w:p w14:paraId="4B4400DA" w14:textId="77777777" w:rsidR="00AC4F39" w:rsidRDefault="00AC4F39">
      <w:pPr>
        <w:spacing w:line="360" w:lineRule="auto"/>
        <w:jc w:val="both"/>
        <w:rPr>
          <w:rFonts w:ascii="Arial" w:eastAsia="Times New Roman" w:hAnsi="Arial"/>
          <w:rtl/>
        </w:rPr>
      </w:pPr>
    </w:p>
    <w:p w14:paraId="0AE18689" w14:textId="77777777" w:rsidR="00AC4F39" w:rsidRDefault="00AC4F39">
      <w:pPr>
        <w:spacing w:line="360" w:lineRule="auto"/>
        <w:jc w:val="both"/>
        <w:rPr>
          <w:rFonts w:ascii="Arial" w:eastAsia="Times New Roman" w:hAnsi="Arial"/>
          <w:rtl/>
        </w:rPr>
      </w:pPr>
      <w:r>
        <w:rPr>
          <w:rFonts w:ascii="Arial" w:eastAsia="Times New Roman" w:hAnsi="Arial" w:hint="cs"/>
          <w:rtl/>
        </w:rPr>
        <w:t>עמדה זו של התביעה אינה מופרכת כלל ועיקר והיא נסמכת על בסיס אחד בלבד, כך נדמה והוא שיקול הגמול בגין חומרת העבירות של סחר בסמים, עבירות שהן מן החמורות עלי ספר החוקים. אין להקל ראש כלל ועיקר בעמדה עונשית זו, יש בה כדי לבטא אינטרס ציבורי שבהענשת עבריין הפוגע בחברה באופן כה קשה דהיינו בסחר בסמים. לכך יש להוסיף עברו הפלילי המכביד של הנאשם בתחום עבירות הסמים ואלימות וכי בגין עבירות אלימות ריצה בעבר תקופות מאסר.</w:t>
      </w:r>
    </w:p>
    <w:p w14:paraId="08F2F95C" w14:textId="77777777" w:rsidR="00AC4F39" w:rsidRDefault="00AC4F39">
      <w:pPr>
        <w:spacing w:line="360" w:lineRule="auto"/>
        <w:jc w:val="both"/>
        <w:rPr>
          <w:rFonts w:ascii="Arial" w:eastAsia="Times New Roman" w:hAnsi="Arial"/>
          <w:rtl/>
        </w:rPr>
      </w:pPr>
    </w:p>
    <w:p w14:paraId="6C54EBC0" w14:textId="77777777" w:rsidR="00AC4F39" w:rsidRDefault="00AC4F39">
      <w:pPr>
        <w:spacing w:line="360" w:lineRule="auto"/>
        <w:jc w:val="both"/>
        <w:rPr>
          <w:rFonts w:ascii="Arial" w:eastAsia="Times New Roman" w:hAnsi="Arial"/>
          <w:rtl/>
        </w:rPr>
      </w:pPr>
      <w:r>
        <w:rPr>
          <w:rFonts w:ascii="Arial" w:eastAsia="Times New Roman" w:hAnsi="Arial" w:hint="cs"/>
          <w:rtl/>
        </w:rPr>
        <w:t>בא כוח הנאשם, ביקש להקל עם הנאשם תוך שהוא סומך עמדתו זו בעיקר או אך ורק על האמור והמומלץ בתסקירי שירות המבחן.</w:t>
      </w:r>
    </w:p>
    <w:p w14:paraId="10E520D6" w14:textId="77777777" w:rsidR="00AC4F39" w:rsidRDefault="00AC4F39">
      <w:pPr>
        <w:spacing w:line="360" w:lineRule="auto"/>
        <w:jc w:val="both"/>
        <w:rPr>
          <w:rFonts w:ascii="Arial" w:eastAsia="Times New Roman" w:hAnsi="Arial"/>
          <w:rtl/>
        </w:rPr>
      </w:pPr>
    </w:p>
    <w:p w14:paraId="41295D6D" w14:textId="77777777" w:rsidR="00AC4F39" w:rsidRDefault="00AC4F39">
      <w:pPr>
        <w:spacing w:line="360" w:lineRule="auto"/>
        <w:jc w:val="both"/>
        <w:rPr>
          <w:rFonts w:ascii="Arial" w:eastAsia="Times New Roman" w:hAnsi="Arial"/>
          <w:rtl/>
        </w:rPr>
      </w:pPr>
      <w:r>
        <w:rPr>
          <w:rFonts w:ascii="Arial" w:eastAsia="Times New Roman" w:hAnsi="Arial" w:hint="cs"/>
          <w:rtl/>
        </w:rPr>
        <w:t xml:space="preserve">ההתלבטות בגזירת דינו של הנאשם מצויה בתחום שבין עונש הנותן משקל רב יותר לחומרת העבירות של סחר בסמים, אל מול שיקולי השיקום שיש בהם כדי להקל עם הנאשם. </w:t>
      </w:r>
    </w:p>
    <w:p w14:paraId="6AF1F477" w14:textId="77777777" w:rsidR="00AC4F39" w:rsidRDefault="00AC4F39">
      <w:pPr>
        <w:spacing w:line="360" w:lineRule="auto"/>
        <w:jc w:val="both"/>
        <w:rPr>
          <w:rFonts w:ascii="Arial" w:eastAsia="Times New Roman" w:hAnsi="Arial"/>
          <w:rtl/>
        </w:rPr>
      </w:pPr>
    </w:p>
    <w:p w14:paraId="5F3C5936" w14:textId="77777777" w:rsidR="00AC4F39" w:rsidRDefault="00AC4F39">
      <w:pPr>
        <w:spacing w:line="360" w:lineRule="auto"/>
        <w:jc w:val="both"/>
        <w:rPr>
          <w:rFonts w:ascii="Arial" w:eastAsia="Times New Roman" w:hAnsi="Arial"/>
          <w:rtl/>
        </w:rPr>
      </w:pPr>
      <w:r>
        <w:rPr>
          <w:rFonts w:ascii="Arial" w:eastAsia="Times New Roman" w:hAnsi="Arial" w:hint="cs"/>
          <w:rtl/>
        </w:rPr>
        <w:t>בבוא התביעה לעתור לעונש, בדיון שהתקיים לפני ביום 16.1.13, ביקש בא כוח התביעה למצוא פגם בתסקיר שניתן סמוך לדיון שהתקיים לפני ביום 10.10.12. בתסקיר זה, מציין שירות המבחן כי בחודש יולי 2012 נפתח לנאשם תיק פלילי שעניינו סחר בסמים, שימוש בסמים שלא לצריכה עצמית והפרת הוראה חוקית. שירות המבחן אינו מציין בתסקיר מקור המידע הזה, ומן הסתם מקורו בפלט הרישום הפלילי באשר מכונה מב''ד (מב''ד "מחכה לבירור דין").</w:t>
      </w:r>
    </w:p>
    <w:p w14:paraId="293760AF" w14:textId="77777777" w:rsidR="00AC4F39" w:rsidRDefault="00AC4F39">
      <w:pPr>
        <w:spacing w:line="360" w:lineRule="auto"/>
        <w:jc w:val="both"/>
        <w:rPr>
          <w:rFonts w:ascii="Arial" w:eastAsia="Times New Roman" w:hAnsi="Arial"/>
          <w:rtl/>
        </w:rPr>
      </w:pPr>
    </w:p>
    <w:p w14:paraId="4C84DAE9" w14:textId="77777777" w:rsidR="00AC4F39" w:rsidRDefault="00AC4F39">
      <w:pPr>
        <w:spacing w:line="360" w:lineRule="auto"/>
        <w:jc w:val="both"/>
        <w:rPr>
          <w:rFonts w:ascii="Arial" w:eastAsia="Times New Roman" w:hAnsi="Arial"/>
          <w:rtl/>
        </w:rPr>
      </w:pPr>
      <w:r>
        <w:rPr>
          <w:rFonts w:ascii="Arial" w:eastAsia="Times New Roman" w:hAnsi="Arial" w:hint="cs"/>
          <w:rtl/>
        </w:rPr>
        <w:t>שואל בא כוח התביעה שאלה חשובה והיא אם נפתח נגד הנאשם תיק בעבירות כה חמורות, בהיותו בתנאים מגבילים וממתין למשפטו ולגזר דינו, הכיצד ממליץ שירות המבחן כפי שהמליץ? רוצה הוא לומר שיש להתעלם מהמלצת שירות המבחן משום הספק שבתוקף שלה.</w:t>
      </w:r>
    </w:p>
    <w:p w14:paraId="1FCF0579" w14:textId="77777777" w:rsidR="00AC4F39" w:rsidRDefault="00AC4F39">
      <w:pPr>
        <w:spacing w:line="360" w:lineRule="auto"/>
        <w:jc w:val="both"/>
        <w:rPr>
          <w:rFonts w:ascii="Arial" w:eastAsia="Times New Roman" w:hAnsi="Arial"/>
          <w:rtl/>
        </w:rPr>
      </w:pPr>
    </w:p>
    <w:p w14:paraId="6411AADA" w14:textId="77777777" w:rsidR="00AC4F39" w:rsidRDefault="00AC4F39">
      <w:pPr>
        <w:spacing w:line="360" w:lineRule="auto"/>
        <w:jc w:val="both"/>
        <w:rPr>
          <w:rFonts w:ascii="Arial" w:eastAsia="Times New Roman" w:hAnsi="Arial"/>
          <w:rtl/>
        </w:rPr>
      </w:pPr>
      <w:r>
        <w:rPr>
          <w:rFonts w:ascii="Arial" w:eastAsia="Times New Roman" w:hAnsi="Arial" w:hint="cs"/>
          <w:rtl/>
        </w:rPr>
        <w:t>בא כוח  הנאשם התרעם קשות על השימוש שעושה התביעה בתיק מב''ד. שהרי ידוע כי לעיתים קרובות, הגדרת העבירות שבתיק המב''ד בעת פתיחת תיק החקירה על ידי חוקר המשטרה, אין לה ולא כלום עם חומר החקירה שבתיק. רוצה לומר שמהרישום של תיק מב''ד בלבד אין ללמוד דבר.</w:t>
      </w:r>
    </w:p>
    <w:p w14:paraId="14D45A5E" w14:textId="77777777" w:rsidR="00AC4F39" w:rsidRDefault="00AC4F39">
      <w:pPr>
        <w:spacing w:line="360" w:lineRule="auto"/>
        <w:jc w:val="both"/>
        <w:rPr>
          <w:rFonts w:ascii="Arial" w:eastAsia="Times New Roman" w:hAnsi="Arial"/>
          <w:rtl/>
        </w:rPr>
      </w:pPr>
    </w:p>
    <w:p w14:paraId="319B9494" w14:textId="77777777" w:rsidR="00AC4F39" w:rsidRDefault="00AC4F39">
      <w:pPr>
        <w:spacing w:line="360" w:lineRule="auto"/>
        <w:jc w:val="both"/>
        <w:rPr>
          <w:rFonts w:ascii="Arial" w:eastAsia="Times New Roman" w:hAnsi="Arial"/>
          <w:rtl/>
        </w:rPr>
      </w:pPr>
      <w:r>
        <w:rPr>
          <w:rFonts w:ascii="Arial" w:eastAsia="Times New Roman" w:hAnsi="Arial" w:hint="cs"/>
          <w:rtl/>
        </w:rPr>
        <w:t xml:space="preserve">פתחתי במחלוקת בין הצדדים לעניין התיק שנפתח נגד הנאשם בחודש יולי כיון שבדעתי ללכת אחר ההלכה שנפסקה ברע''פ 1021/07 פלוני נ' מדינת ישראל (ראו גם ד''נ 357/10 באותו עניין) דהיינו לעשות שימוש זהיר ביותר אם בכלל לעשות בו שימוש, במידע זה. </w:t>
      </w:r>
    </w:p>
    <w:p w14:paraId="389FAFBB" w14:textId="77777777" w:rsidR="00AC4F39" w:rsidRDefault="00AC4F39">
      <w:pPr>
        <w:spacing w:line="360" w:lineRule="auto"/>
        <w:jc w:val="both"/>
        <w:rPr>
          <w:rFonts w:ascii="Arial" w:eastAsia="Times New Roman" w:hAnsi="Arial"/>
          <w:rtl/>
        </w:rPr>
      </w:pPr>
    </w:p>
    <w:p w14:paraId="61257B17" w14:textId="77777777" w:rsidR="00AC4F39" w:rsidRDefault="00AC4F39">
      <w:pPr>
        <w:spacing w:line="360" w:lineRule="auto"/>
        <w:jc w:val="both"/>
        <w:rPr>
          <w:rFonts w:ascii="Arial" w:eastAsia="Times New Roman" w:hAnsi="Arial"/>
          <w:rtl/>
        </w:rPr>
      </w:pPr>
      <w:r>
        <w:rPr>
          <w:rFonts w:ascii="Arial" w:eastAsia="Times New Roman" w:hAnsi="Arial" w:hint="cs"/>
          <w:rtl/>
        </w:rPr>
        <w:t>אכן, תיק שנפתח ומוגדר ברישום הפלילי כמב''ד יכול וישמש ראיה לעונש כפי שנקבע בהלכה דלעיל, אך כאמור בית המשפט "יידרש – באופן זהיר ומושכל – לנתונים בתסקיר הנוגעים לתיקי מב''ד". לדעתי, השימוש בתיקי מב''ד מותנה בהצגת ראיות, דהיינו לא די באמירה בעלמא כי נפתח לנאשם תיק אלא ראוי להביא לפני בית המשפט ראיות ממשיות ומהותיות באשר לתוכן וחומר החקירה. אכן, יש ותתעורר מחלוקת למשמעות האמור בתיק החקירה אך זה הוא עניין ונושא אחרים. הניסיון המצטבר מלמד כי לעיתים אין כמעט קשר בין הגדרת העבירות בתיק מב''ד לבין מהות הראיות וחומר החקירה בתיק בסופו של הליך. יש ותיקי מב''ד רבים נסגרים לאחר בחינת חומר החקירה: הן משום חוסר ראיות כמו גם משום אי אשמה. לפיכך אין להסיק דבר מהאמירה בתסקיר כי נפתח לנאשם תיק וכו'. מעבר לכך, יש לסמוך על שירות המבחן כגוף מקצועי, מהימן ואמין שאילו ראה בעניין זה מכשלה להמלצה הסופית, הייתה ההמלצה שונה מזו שבתסקיר האחרון.</w:t>
      </w:r>
    </w:p>
    <w:p w14:paraId="75EFF93E" w14:textId="77777777" w:rsidR="00AC4F39" w:rsidRDefault="00AC4F39">
      <w:pPr>
        <w:spacing w:line="360" w:lineRule="auto"/>
        <w:jc w:val="both"/>
        <w:rPr>
          <w:rFonts w:ascii="Arial" w:eastAsia="Times New Roman" w:hAnsi="Arial"/>
          <w:rtl/>
        </w:rPr>
      </w:pPr>
    </w:p>
    <w:p w14:paraId="1239C234" w14:textId="77777777" w:rsidR="00AC4F39" w:rsidRDefault="00AC4F39">
      <w:pPr>
        <w:spacing w:line="360" w:lineRule="auto"/>
        <w:jc w:val="both"/>
        <w:rPr>
          <w:rFonts w:ascii="Arial" w:eastAsia="Times New Roman" w:hAnsi="Arial"/>
          <w:rtl/>
        </w:rPr>
      </w:pPr>
      <w:r>
        <w:rPr>
          <w:rFonts w:ascii="Arial" w:eastAsia="Times New Roman" w:hAnsi="Arial" w:hint="cs"/>
          <w:rtl/>
        </w:rPr>
        <w:t>לפיכך הנחת המוצא שלי היא ששירות המבחן ממליץ על שיקום ונושא התיק שנפתח אינו בבחינת מכשלה. איני מתעלם כי יש והנאשם מערים על שירות המבחן ובדרך עקיפין על בית המשפט, אך בשלב זה, אין לפני ביסוס כי כך נוהג הנאשם.</w:t>
      </w:r>
    </w:p>
    <w:p w14:paraId="4CDBEFF9" w14:textId="77777777" w:rsidR="00AC4F39" w:rsidRDefault="00AC4F39">
      <w:pPr>
        <w:spacing w:line="360" w:lineRule="auto"/>
        <w:jc w:val="both"/>
        <w:rPr>
          <w:rFonts w:ascii="Arial" w:eastAsia="Times New Roman" w:hAnsi="Arial"/>
          <w:rtl/>
        </w:rPr>
      </w:pPr>
    </w:p>
    <w:p w14:paraId="2C920E4E" w14:textId="77777777" w:rsidR="00AC4F39" w:rsidRDefault="00AC4F39">
      <w:pPr>
        <w:spacing w:line="360" w:lineRule="auto"/>
        <w:jc w:val="both"/>
        <w:rPr>
          <w:rFonts w:ascii="Arial" w:eastAsia="Times New Roman" w:hAnsi="Arial"/>
          <w:rtl/>
        </w:rPr>
      </w:pPr>
      <w:r>
        <w:rPr>
          <w:rFonts w:ascii="Arial" w:eastAsia="Times New Roman" w:hAnsi="Arial" w:hint="cs"/>
          <w:rtl/>
        </w:rPr>
        <w:t>השאלה חוזרת לקדמותה. האם להעדיף השיקום על פני הענישה המחמירה? ראשית לכל, ובסיס לגזר דין זה הוא שאני נותן משקל רב ביותר להמלצות התסקיר. איני מתעלם כמובן מהעיקרון כי המלצות שירות המבחן אינן חזות הכול וכי אין הן אלא המלצה לבית המשפט.</w:t>
      </w:r>
    </w:p>
    <w:p w14:paraId="7A3BA0EC" w14:textId="77777777" w:rsidR="00AC4F39" w:rsidRDefault="00AC4F39">
      <w:pPr>
        <w:spacing w:line="360" w:lineRule="auto"/>
        <w:jc w:val="both"/>
        <w:rPr>
          <w:rFonts w:ascii="Arial" w:eastAsia="Times New Roman" w:hAnsi="Arial"/>
          <w:rtl/>
        </w:rPr>
      </w:pPr>
    </w:p>
    <w:p w14:paraId="5C996EBA" w14:textId="77777777" w:rsidR="00AC4F39" w:rsidRDefault="00AC4F39">
      <w:pPr>
        <w:spacing w:line="360" w:lineRule="auto"/>
        <w:jc w:val="both"/>
        <w:rPr>
          <w:rFonts w:ascii="Arial" w:eastAsia="Times New Roman" w:hAnsi="Arial"/>
          <w:rtl/>
        </w:rPr>
      </w:pPr>
      <w:r>
        <w:rPr>
          <w:rFonts w:ascii="Arial" w:eastAsia="Times New Roman" w:hAnsi="Arial" w:hint="cs"/>
          <w:rtl/>
        </w:rPr>
        <w:t>ארבעת תסקירי שירות המבחן מפרטים באופן רחב ומקיף הליך השיקום שערך הנאשם במשך הזמן הרב שחלף. לפי שירות המבחן, הנאשם מצוי בעיצומו של הליך שיקום של גמילה מסמים. לפיכך, קטיעת ההליך בדרך של גזירת מאסר בפועל, תביא לנסיגה ודרדור הנאשם.</w:t>
      </w:r>
    </w:p>
    <w:p w14:paraId="0539AC1E" w14:textId="77777777" w:rsidR="00AC4F39" w:rsidRDefault="00AC4F39">
      <w:pPr>
        <w:spacing w:line="360" w:lineRule="auto"/>
        <w:jc w:val="both"/>
        <w:rPr>
          <w:rFonts w:ascii="Arial" w:eastAsia="Times New Roman" w:hAnsi="Arial"/>
          <w:rtl/>
        </w:rPr>
      </w:pPr>
    </w:p>
    <w:p w14:paraId="108CA683" w14:textId="77777777" w:rsidR="00AC4F39" w:rsidRDefault="00AC4F39">
      <w:pPr>
        <w:spacing w:line="360" w:lineRule="auto"/>
        <w:jc w:val="both"/>
        <w:rPr>
          <w:rFonts w:ascii="Arial" w:eastAsia="Times New Roman" w:hAnsi="Arial"/>
          <w:rtl/>
        </w:rPr>
      </w:pPr>
      <w:r>
        <w:rPr>
          <w:rFonts w:ascii="Arial" w:eastAsia="Times New Roman" w:hAnsi="Arial" w:hint="cs"/>
          <w:rtl/>
        </w:rPr>
        <w:t xml:space="preserve">אכן, אין להתעלם מחומרת העבירות שבצע הנאשם. העבירות של סחר בסמים הן מהחמורות ביותר אשר פגיעתן בציבור קשה וחמורה. אילו הייתי בוחן העונש ההולם לעבירות שביצע הנאשם בבחינת הפגיעה הקשה בערך החברתי שהרי מכת הסמים היא מכה קשה הפוגעת קשות באדם המכור להם, היה מקום לגזור על הנאשם עונש מאסר בפועל ממושך. יש לזכור כי הפצת הסמים בקרב הציבור כמוה כהרעלת הציבור תרתי משמע. מדיניות הענישה כפי שהציג בא כוח התביעה בפסיקה שהגיש לבית המשפט היא עונש של מאסר בפועל כגמול בגין עבירות חמורות אלה. </w:t>
      </w:r>
    </w:p>
    <w:p w14:paraId="7EDC981F" w14:textId="77777777" w:rsidR="00AC4F39" w:rsidRDefault="00AC4F39">
      <w:pPr>
        <w:spacing w:line="360" w:lineRule="auto"/>
        <w:jc w:val="both"/>
        <w:rPr>
          <w:rFonts w:ascii="Arial" w:eastAsia="Times New Roman" w:hAnsi="Arial"/>
          <w:rtl/>
        </w:rPr>
      </w:pPr>
    </w:p>
    <w:p w14:paraId="6FC4E7BA" w14:textId="77777777" w:rsidR="00AC4F39" w:rsidRDefault="00AC4F39">
      <w:pPr>
        <w:spacing w:line="360" w:lineRule="auto"/>
        <w:jc w:val="both"/>
        <w:rPr>
          <w:rFonts w:ascii="Arial" w:eastAsia="Times New Roman" w:hAnsi="Arial"/>
          <w:rtl/>
        </w:rPr>
      </w:pPr>
      <w:r>
        <w:rPr>
          <w:rFonts w:ascii="Arial" w:eastAsia="Times New Roman" w:hAnsi="Arial" w:hint="cs"/>
          <w:rtl/>
        </w:rPr>
        <w:t>אלא שככול שאני שוקל האינטרס השיקומי, הרי שנראה כי האיזון הוא בשקילת עונש מאסר שירוצה בעבודות שירות, עונש שיהיה בו מחד גיסא המסר הנכון לחומרת העבירות ומאידך גיסא לא יהא בו כדי לקטוע התהליך השיקומי אותו עובר הנאשם.</w:t>
      </w:r>
    </w:p>
    <w:p w14:paraId="6FFABE2F" w14:textId="77777777" w:rsidR="00AC4F39" w:rsidRDefault="00AC4F39">
      <w:pPr>
        <w:spacing w:line="360" w:lineRule="auto"/>
        <w:jc w:val="both"/>
        <w:rPr>
          <w:rFonts w:ascii="Arial" w:eastAsia="Times New Roman" w:hAnsi="Arial"/>
          <w:rtl/>
        </w:rPr>
      </w:pPr>
    </w:p>
    <w:p w14:paraId="015EF568" w14:textId="77777777" w:rsidR="00AC4F39" w:rsidRDefault="00AC4F39">
      <w:pPr>
        <w:spacing w:line="360" w:lineRule="auto"/>
        <w:jc w:val="both"/>
        <w:rPr>
          <w:rFonts w:ascii="Arial" w:eastAsia="Times New Roman" w:hAnsi="Arial"/>
          <w:rtl/>
        </w:rPr>
      </w:pPr>
      <w:r>
        <w:rPr>
          <w:rFonts w:ascii="Arial" w:eastAsia="Times New Roman" w:hAnsi="Arial" w:hint="cs"/>
          <w:rtl/>
        </w:rPr>
        <w:t>כאן המקום להתייחס לבעייתיות העולה מתוך אי ההתאמה בין מועד סיום ההליך הטיפולי במרכז היום, הצפוי להיות בחודש ינואר 2014 לבין עינוי הדין שיש בדחיית המשפט עד לאחר מועד זה, ומתוך כך הצורך לסיים ההליכים כיום.</w:t>
      </w:r>
    </w:p>
    <w:p w14:paraId="32F952A6" w14:textId="77777777" w:rsidR="00AC4F39" w:rsidRDefault="00AC4F39">
      <w:pPr>
        <w:spacing w:line="360" w:lineRule="auto"/>
        <w:jc w:val="both"/>
        <w:rPr>
          <w:rFonts w:ascii="Arial" w:eastAsia="Times New Roman" w:hAnsi="Arial"/>
          <w:rtl/>
        </w:rPr>
      </w:pPr>
    </w:p>
    <w:p w14:paraId="21E4892B" w14:textId="77777777" w:rsidR="00AC4F39" w:rsidRDefault="00AC4F39">
      <w:pPr>
        <w:spacing w:line="360" w:lineRule="auto"/>
        <w:jc w:val="both"/>
        <w:rPr>
          <w:rFonts w:ascii="Arial" w:eastAsia="Times New Roman" w:hAnsi="Arial"/>
          <w:rtl/>
        </w:rPr>
      </w:pPr>
      <w:r>
        <w:rPr>
          <w:rFonts w:ascii="Arial" w:eastAsia="Times New Roman" w:hAnsi="Arial" w:hint="cs"/>
          <w:rtl/>
        </w:rPr>
        <w:t>אני סבור שבשלה העת לגזור הדין למאסר בעבודות שירות, תוך העמדת הנאשם בפיקוח שירות המבחן למשך שנה וחצי. הקשר בין הנאשם לשירות המבחן במשך שנה וחצי חשוב ביותר, גם בעת שהנאשם מרצה עונש מאסר בעבודות שירות. ברור כי אם יפר הנאשם האימון שניתן בו, ויפר צו המבחן, יהיה מקום לגזור דינו מחדש.</w:t>
      </w:r>
    </w:p>
    <w:p w14:paraId="576EF3F3" w14:textId="77777777" w:rsidR="00AC4F39" w:rsidRDefault="00AC4F39">
      <w:pPr>
        <w:spacing w:line="360" w:lineRule="auto"/>
        <w:jc w:val="both"/>
        <w:rPr>
          <w:rFonts w:ascii="Arial" w:eastAsia="Times New Roman" w:hAnsi="Arial"/>
          <w:rtl/>
        </w:rPr>
      </w:pPr>
    </w:p>
    <w:p w14:paraId="569191BF" w14:textId="77777777" w:rsidR="00AC4F39" w:rsidRDefault="00AC4F39">
      <w:pPr>
        <w:spacing w:line="360" w:lineRule="auto"/>
        <w:jc w:val="both"/>
        <w:rPr>
          <w:rFonts w:ascii="Arial" w:eastAsia="Times New Roman" w:hAnsi="Arial"/>
          <w:b/>
          <w:bCs/>
          <w:rtl/>
        </w:rPr>
      </w:pPr>
      <w:r>
        <w:rPr>
          <w:rFonts w:ascii="Arial" w:eastAsia="Times New Roman" w:hAnsi="Arial" w:hint="cs"/>
          <w:b/>
          <w:bCs/>
          <w:rtl/>
        </w:rPr>
        <w:t>אלה העונשים שאני משית על הנאשם:</w:t>
      </w:r>
    </w:p>
    <w:p w14:paraId="29913417" w14:textId="77777777" w:rsidR="00AC4F39" w:rsidRDefault="00AC4F39">
      <w:pPr>
        <w:spacing w:line="360" w:lineRule="auto"/>
        <w:jc w:val="both"/>
        <w:rPr>
          <w:rFonts w:ascii="Arial" w:eastAsia="Times New Roman" w:hAnsi="Arial"/>
          <w:b/>
          <w:bCs/>
          <w:rtl/>
        </w:rPr>
      </w:pPr>
    </w:p>
    <w:p w14:paraId="428818D1" w14:textId="77777777" w:rsidR="00AC4F39" w:rsidRDefault="00AC4F39">
      <w:pPr>
        <w:spacing w:line="360" w:lineRule="auto"/>
        <w:jc w:val="both"/>
        <w:rPr>
          <w:rFonts w:ascii="Arial" w:eastAsia="Times New Roman" w:hAnsi="Arial"/>
          <w:b/>
          <w:bCs/>
          <w:rtl/>
        </w:rPr>
      </w:pPr>
      <w:r>
        <w:rPr>
          <w:rFonts w:ascii="Arial" w:eastAsia="Times New Roman" w:hAnsi="Arial" w:hint="cs"/>
          <w:b/>
          <w:bCs/>
          <w:rtl/>
        </w:rPr>
        <w:t>6 חודשי מאסר.</w:t>
      </w:r>
    </w:p>
    <w:p w14:paraId="7A2CE82F" w14:textId="77777777" w:rsidR="00AC4F39" w:rsidRDefault="00AC4F39">
      <w:pPr>
        <w:spacing w:line="360" w:lineRule="auto"/>
        <w:jc w:val="both"/>
        <w:rPr>
          <w:rFonts w:ascii="Arial" w:eastAsia="Times New Roman" w:hAnsi="Arial"/>
          <w:b/>
          <w:bCs/>
          <w:rtl/>
        </w:rPr>
      </w:pPr>
    </w:p>
    <w:p w14:paraId="27D4403F" w14:textId="77777777" w:rsidR="00AC4F39" w:rsidRDefault="00AC4F39">
      <w:pPr>
        <w:spacing w:line="360" w:lineRule="auto"/>
        <w:jc w:val="both"/>
        <w:rPr>
          <w:rFonts w:ascii="Arial" w:eastAsia="Times New Roman" w:hAnsi="Arial"/>
          <w:b/>
          <w:bCs/>
          <w:rtl/>
        </w:rPr>
      </w:pPr>
      <w:r>
        <w:rPr>
          <w:rFonts w:ascii="Arial" w:eastAsia="Times New Roman" w:hAnsi="Arial" w:hint="cs"/>
          <w:b/>
          <w:bCs/>
          <w:rtl/>
        </w:rPr>
        <w:t>עונש המאסר ירוצה בעבודות שירות כפי חוות דעת הממונה על עבודות שירות  בשב''ס שעותק ממנה מצוי בידי הנאשם הוא יודע פרטיה לרבות ובמיוחד מועד תחילת העבודות – 28.4.14.</w:t>
      </w:r>
    </w:p>
    <w:p w14:paraId="14B17D64" w14:textId="77777777" w:rsidR="00AC4F39" w:rsidRDefault="00AC4F39">
      <w:pPr>
        <w:spacing w:line="360" w:lineRule="auto"/>
        <w:jc w:val="both"/>
        <w:rPr>
          <w:rFonts w:ascii="Arial" w:eastAsia="Times New Roman" w:hAnsi="Arial"/>
          <w:b/>
          <w:bCs/>
          <w:rtl/>
        </w:rPr>
      </w:pPr>
    </w:p>
    <w:p w14:paraId="78242A42" w14:textId="77777777" w:rsidR="00AC4F39" w:rsidRDefault="00AC4F39">
      <w:pPr>
        <w:spacing w:line="360" w:lineRule="auto"/>
        <w:jc w:val="both"/>
        <w:rPr>
          <w:rFonts w:ascii="Arial" w:eastAsia="Times New Roman" w:hAnsi="Arial"/>
          <w:b/>
          <w:bCs/>
          <w:rtl/>
        </w:rPr>
      </w:pPr>
      <w:r>
        <w:rPr>
          <w:rFonts w:ascii="Arial" w:eastAsia="Times New Roman" w:hAnsi="Arial" w:hint="cs"/>
          <w:b/>
          <w:bCs/>
          <w:rtl/>
        </w:rPr>
        <w:t xml:space="preserve">7 חודשי מאסר על תנאי והתנאי הוא שבמשך שלוש שנים מהיום לא יעבור הנאשם עבירה על </w:t>
      </w:r>
      <w:hyperlink r:id="rId11" w:history="1">
        <w:r w:rsidRPr="00842070">
          <w:rPr>
            <w:rFonts w:ascii="Arial" w:eastAsia="Times New Roman" w:hAnsi="Arial"/>
            <w:b/>
            <w:bCs/>
            <w:color w:val="0000FF"/>
            <w:u w:val="single"/>
            <w:rtl/>
          </w:rPr>
          <w:t>פקודת הסמים המסוכנים</w:t>
        </w:r>
      </w:hyperlink>
      <w:r>
        <w:rPr>
          <w:rFonts w:ascii="Arial" w:eastAsia="Times New Roman" w:hAnsi="Arial" w:hint="cs"/>
          <w:b/>
          <w:bCs/>
          <w:rtl/>
        </w:rPr>
        <w:t xml:space="preserve"> מסוג פשע.</w:t>
      </w:r>
    </w:p>
    <w:p w14:paraId="1E762A61" w14:textId="77777777" w:rsidR="00AC4F39" w:rsidRDefault="00AC4F39">
      <w:pPr>
        <w:spacing w:line="360" w:lineRule="auto"/>
        <w:jc w:val="both"/>
        <w:rPr>
          <w:rFonts w:ascii="Arial" w:eastAsia="Times New Roman" w:hAnsi="Arial"/>
          <w:b/>
          <w:bCs/>
          <w:rtl/>
        </w:rPr>
      </w:pPr>
    </w:p>
    <w:p w14:paraId="36447D37" w14:textId="77777777" w:rsidR="00AC4F39" w:rsidRDefault="00AC4F39">
      <w:pPr>
        <w:spacing w:line="360" w:lineRule="auto"/>
        <w:jc w:val="both"/>
        <w:rPr>
          <w:rFonts w:ascii="Arial" w:eastAsia="Times New Roman" w:hAnsi="Arial"/>
          <w:b/>
          <w:bCs/>
          <w:rtl/>
        </w:rPr>
      </w:pPr>
      <w:r>
        <w:rPr>
          <w:rFonts w:ascii="Arial" w:eastAsia="Times New Roman" w:hAnsi="Arial" w:hint="cs"/>
          <w:b/>
          <w:bCs/>
          <w:rtl/>
        </w:rPr>
        <w:t>5 חודשי מאסר על תנאי והתנאי הוא שבמשך שלוש שנים מהיום לא יעבור הנאשם עבירה על פקודת הסמים המסוכנים מסוג עוון.</w:t>
      </w:r>
    </w:p>
    <w:p w14:paraId="7C8486BC" w14:textId="77777777" w:rsidR="00AC4F39" w:rsidRDefault="00AC4F39">
      <w:pPr>
        <w:spacing w:line="360" w:lineRule="auto"/>
        <w:jc w:val="both"/>
        <w:rPr>
          <w:rFonts w:ascii="Arial" w:eastAsia="Times New Roman" w:hAnsi="Arial"/>
          <w:b/>
          <w:bCs/>
          <w:rtl/>
        </w:rPr>
      </w:pPr>
    </w:p>
    <w:p w14:paraId="0331DFC0" w14:textId="77777777" w:rsidR="00AC4F39" w:rsidRDefault="00AC4F39">
      <w:pPr>
        <w:spacing w:line="360" w:lineRule="auto"/>
        <w:jc w:val="both"/>
        <w:rPr>
          <w:rFonts w:ascii="Arial" w:eastAsia="Times New Roman" w:hAnsi="Arial"/>
          <w:b/>
          <w:bCs/>
          <w:rtl/>
        </w:rPr>
      </w:pPr>
    </w:p>
    <w:p w14:paraId="2B616932" w14:textId="77777777" w:rsidR="00AC4F39" w:rsidRDefault="00AC4F39">
      <w:pPr>
        <w:spacing w:line="360" w:lineRule="auto"/>
        <w:jc w:val="both"/>
        <w:rPr>
          <w:rFonts w:ascii="Arial" w:eastAsia="Times New Roman" w:hAnsi="Arial"/>
          <w:b/>
          <w:bCs/>
          <w:rtl/>
        </w:rPr>
      </w:pPr>
    </w:p>
    <w:p w14:paraId="530D6F98" w14:textId="77777777" w:rsidR="00AC4F39" w:rsidRDefault="00AC4F39">
      <w:pPr>
        <w:spacing w:line="360" w:lineRule="auto"/>
        <w:jc w:val="both"/>
        <w:rPr>
          <w:rFonts w:ascii="Arial" w:eastAsia="Times New Roman" w:hAnsi="Arial"/>
          <w:b/>
          <w:bCs/>
          <w:rtl/>
        </w:rPr>
      </w:pPr>
      <w:r>
        <w:rPr>
          <w:rFonts w:ascii="Arial" w:eastAsia="Times New Roman" w:hAnsi="Arial" w:hint="cs"/>
          <w:b/>
          <w:bCs/>
          <w:rtl/>
        </w:rPr>
        <w:t>אני מחייב הנאשם להיות בפיקוח שירות המבחן ל</w:t>
      </w:r>
      <w:r>
        <w:rPr>
          <w:rFonts w:ascii="Arial" w:eastAsia="Times New Roman" w:hAnsi="Arial" w:hint="cs"/>
          <w:b/>
          <w:bCs/>
          <w:u w:val="single"/>
          <w:rtl/>
        </w:rPr>
        <w:t>משך 18 חודשים.</w:t>
      </w:r>
      <w:r>
        <w:rPr>
          <w:rFonts w:ascii="Arial" w:eastAsia="Times New Roman" w:hAnsi="Arial" w:hint="cs"/>
          <w:b/>
          <w:bCs/>
          <w:rtl/>
        </w:rPr>
        <w:t xml:space="preserve"> הנאשם מסכים להיות בפיקוח והוסבר משמעות הפרת צו המבחן. ואסב תשומת לב הנאשם כי צו המבחן חל גם לאחר סיום ריצוי עונש המאסר בעבודות שירות, וככל ששירות המבחן יקבע תנאים לפיקוח לרבות המשך טיפול שיקומי בעת ביצוע עבודות השירות או לאחר מכך, על הנאשם למלא אחרי תנאי המבחן שאם לא כן, הפרת צו המבחן תגרור משפטו של הנאשם מחדש.</w:t>
      </w:r>
    </w:p>
    <w:p w14:paraId="457EEF30" w14:textId="77777777" w:rsidR="00AC4F39" w:rsidRDefault="00AC4F39">
      <w:pPr>
        <w:spacing w:line="360" w:lineRule="auto"/>
        <w:jc w:val="both"/>
        <w:rPr>
          <w:rFonts w:ascii="Arial" w:eastAsia="Times New Roman" w:hAnsi="Arial"/>
          <w:b/>
          <w:bCs/>
          <w:rtl/>
        </w:rPr>
      </w:pPr>
    </w:p>
    <w:p w14:paraId="31AADD87" w14:textId="77777777" w:rsidR="00AC4F39" w:rsidRDefault="00AC4F39">
      <w:pPr>
        <w:spacing w:line="360" w:lineRule="auto"/>
        <w:jc w:val="both"/>
        <w:rPr>
          <w:rFonts w:ascii="Arial" w:eastAsia="Times New Roman" w:hAnsi="Arial"/>
          <w:b/>
          <w:bCs/>
          <w:rtl/>
        </w:rPr>
      </w:pPr>
      <w:r>
        <w:rPr>
          <w:rFonts w:ascii="Arial" w:eastAsia="Times New Roman" w:hAnsi="Arial" w:hint="cs"/>
          <w:b/>
          <w:bCs/>
          <w:rtl/>
        </w:rPr>
        <w:t>איני משית על הנאשם סנקציה כספית בשים לב לתקופה הארוכה בה מצוי הנאשם בתנאים מגבילים.</w:t>
      </w:r>
    </w:p>
    <w:p w14:paraId="03015CC3" w14:textId="77777777" w:rsidR="00AC4F39" w:rsidRDefault="00AC4F39">
      <w:pPr>
        <w:spacing w:line="360" w:lineRule="auto"/>
        <w:jc w:val="both"/>
        <w:rPr>
          <w:rFonts w:ascii="Arial" w:eastAsia="Times New Roman" w:hAnsi="Arial"/>
          <w:b/>
          <w:bCs/>
          <w:rtl/>
        </w:rPr>
      </w:pPr>
    </w:p>
    <w:p w14:paraId="66505AB6" w14:textId="77777777" w:rsidR="00AC4F39" w:rsidRDefault="00AC4F39">
      <w:pPr>
        <w:spacing w:line="360" w:lineRule="auto"/>
        <w:jc w:val="both"/>
        <w:rPr>
          <w:rFonts w:ascii="Arial" w:eastAsia="Times New Roman" w:hAnsi="Arial"/>
          <w:b/>
          <w:bCs/>
          <w:rtl/>
        </w:rPr>
      </w:pPr>
      <w:r>
        <w:rPr>
          <w:rFonts w:ascii="Arial" w:eastAsia="Times New Roman" w:hAnsi="Arial" w:hint="cs"/>
          <w:b/>
          <w:bCs/>
          <w:rtl/>
        </w:rPr>
        <w:t xml:space="preserve">ככל שהנאשם או מי מטעמו הפקידו ערבויות כספיות כערובה לשרורו הסכומים יועברו לידי ב"כ הנאשם עו"ד אייל אוחיון. </w:t>
      </w:r>
    </w:p>
    <w:p w14:paraId="33B4E8F6" w14:textId="77777777" w:rsidR="00AC4F39" w:rsidRDefault="00AC4F39">
      <w:pPr>
        <w:spacing w:line="360" w:lineRule="auto"/>
        <w:jc w:val="both"/>
        <w:rPr>
          <w:rFonts w:ascii="Arial" w:eastAsia="Times New Roman" w:hAnsi="Arial"/>
          <w:b/>
          <w:bCs/>
          <w:rtl/>
        </w:rPr>
      </w:pPr>
    </w:p>
    <w:p w14:paraId="3E5A04FA" w14:textId="77777777" w:rsidR="00AC4F39" w:rsidRDefault="00AC4F39">
      <w:pPr>
        <w:spacing w:line="360" w:lineRule="auto"/>
        <w:jc w:val="both"/>
        <w:rPr>
          <w:rFonts w:ascii="Arial" w:eastAsia="Times New Roman" w:hAnsi="Arial"/>
          <w:b/>
          <w:bCs/>
          <w:rtl/>
        </w:rPr>
      </w:pPr>
      <w:r>
        <w:rPr>
          <w:rFonts w:ascii="Arial" w:eastAsia="Times New Roman" w:hAnsi="Arial" w:hint="cs"/>
          <w:b/>
          <w:bCs/>
          <w:rtl/>
        </w:rPr>
        <w:t>עותק מגזר דין זה יועבר לשירות המבחן.</w:t>
      </w:r>
    </w:p>
    <w:p w14:paraId="1E7DBBF8" w14:textId="77777777" w:rsidR="00AC4F39" w:rsidRDefault="00AC4F39">
      <w:pPr>
        <w:spacing w:line="360" w:lineRule="auto"/>
        <w:jc w:val="both"/>
        <w:rPr>
          <w:rFonts w:ascii="Arial" w:eastAsia="Times New Roman" w:hAnsi="Arial"/>
          <w:rtl/>
        </w:rPr>
      </w:pPr>
    </w:p>
    <w:p w14:paraId="58A0E811" w14:textId="77777777" w:rsidR="00AC4F39" w:rsidRDefault="00AC4F39">
      <w:pPr>
        <w:spacing w:line="360" w:lineRule="auto"/>
        <w:jc w:val="both"/>
        <w:rPr>
          <w:rFonts w:ascii="Arial" w:eastAsia="Times New Roman" w:hAnsi="Arial"/>
          <w:rtl/>
        </w:rPr>
      </w:pPr>
      <w:r>
        <w:rPr>
          <w:rFonts w:ascii="Arial" w:eastAsia="Times New Roman" w:hAnsi="Arial" w:hint="cs"/>
          <w:b/>
          <w:bCs/>
          <w:rtl/>
        </w:rPr>
        <w:t xml:space="preserve">עותק מגזר דין זה יועבר לממונה על עבודות שרות. </w:t>
      </w:r>
    </w:p>
    <w:p w14:paraId="2FF3BF40" w14:textId="77777777" w:rsidR="00AC4F39" w:rsidRDefault="00AC4F39">
      <w:pPr>
        <w:spacing w:line="360" w:lineRule="auto"/>
        <w:jc w:val="both"/>
        <w:rPr>
          <w:rFonts w:ascii="Arial" w:eastAsia="Times New Roman" w:hAnsi="Arial"/>
        </w:rPr>
      </w:pPr>
    </w:p>
    <w:p w14:paraId="34FCC362" w14:textId="77777777" w:rsidR="00E110BE" w:rsidRDefault="00E110BE">
      <w:pPr>
        <w:spacing w:line="360" w:lineRule="auto"/>
        <w:jc w:val="both"/>
        <w:rPr>
          <w:rtl/>
        </w:rPr>
      </w:pPr>
    </w:p>
    <w:p w14:paraId="5FE044DE" w14:textId="77777777" w:rsidR="00E110BE" w:rsidRDefault="00842070">
      <w:pPr>
        <w:spacing w:line="360" w:lineRule="auto"/>
        <w:jc w:val="both"/>
        <w:rPr>
          <w:b/>
          <w:bCs/>
          <w:rtl/>
        </w:rPr>
      </w:pPr>
      <w:r>
        <w:rPr>
          <w:rFonts w:hint="cs"/>
          <w:b/>
          <w:bCs/>
          <w:rtl/>
        </w:rPr>
        <w:t>זכות ערעור תוך 45 יום מהיום.</w:t>
      </w:r>
    </w:p>
    <w:p w14:paraId="39BED051" w14:textId="77777777" w:rsidR="00E110BE" w:rsidRDefault="00E110BE">
      <w:pPr>
        <w:spacing w:line="360" w:lineRule="auto"/>
        <w:jc w:val="right"/>
        <w:rPr>
          <w:rtl/>
        </w:rPr>
      </w:pPr>
    </w:p>
    <w:p w14:paraId="684A7AD5" w14:textId="77777777" w:rsidR="00E110BE" w:rsidRDefault="00842070">
      <w:pPr>
        <w:spacing w:line="360" w:lineRule="auto"/>
        <w:jc w:val="center"/>
        <w:rPr>
          <w:rtl/>
        </w:rPr>
      </w:pPr>
      <w:r w:rsidRPr="00842070">
        <w:rPr>
          <w:b/>
          <w:bCs/>
          <w:color w:val="FFFFFF"/>
          <w:sz w:val="2"/>
          <w:szCs w:val="2"/>
          <w:rtl/>
        </w:rPr>
        <w:t>5129371</w:t>
      </w:r>
      <w:r>
        <w:rPr>
          <w:b/>
          <w:bCs/>
          <w:rtl/>
        </w:rPr>
        <w:t xml:space="preserve">ניתנה והודעה היום י"ב אדר תשע"ד, 12/02/2014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110BE" w14:paraId="11B60C0D" w14:textId="77777777">
        <w:trPr>
          <w:trHeight w:val="364"/>
          <w:jc w:val="right"/>
        </w:trPr>
        <w:tc>
          <w:tcPr>
            <w:tcW w:w="3708" w:type="dxa"/>
          </w:tcPr>
          <w:p w14:paraId="0C571B31" w14:textId="77777777" w:rsidR="00E110BE" w:rsidRPr="00842070" w:rsidRDefault="00842070">
            <w:pPr>
              <w:spacing w:line="360" w:lineRule="auto"/>
              <w:jc w:val="center"/>
              <w:rPr>
                <w:rFonts w:ascii="Times New Roman" w:eastAsia="Times New Roman" w:hAnsi="Times New Roman"/>
                <w:color w:val="FFFFFF"/>
                <w:sz w:val="2"/>
                <w:szCs w:val="2"/>
              </w:rPr>
            </w:pPr>
            <w:r w:rsidRPr="00842070">
              <w:rPr>
                <w:rFonts w:ascii="Times New Roman" w:eastAsia="Times New Roman" w:hAnsi="Times New Roman"/>
                <w:color w:val="FFFFFF"/>
                <w:sz w:val="2"/>
                <w:szCs w:val="2"/>
                <w:rtl/>
              </w:rPr>
              <w:t>54678313</w:t>
            </w:r>
          </w:p>
          <w:p w14:paraId="04BAEA2A" w14:textId="77777777" w:rsidR="00E110BE" w:rsidRDefault="00E110BE">
            <w:pPr>
              <w:spacing w:line="360" w:lineRule="auto"/>
              <w:jc w:val="center"/>
              <w:rPr>
                <w:rFonts w:ascii="Times New Roman" w:eastAsia="Times New Roman" w:hAnsi="Times New Roman"/>
                <w:rtl/>
              </w:rPr>
            </w:pPr>
          </w:p>
        </w:tc>
      </w:tr>
      <w:tr w:rsidR="00E110BE" w14:paraId="601261F9" w14:textId="77777777">
        <w:trPr>
          <w:trHeight w:val="415"/>
          <w:jc w:val="right"/>
        </w:trPr>
        <w:tc>
          <w:tcPr>
            <w:tcW w:w="3708" w:type="dxa"/>
          </w:tcPr>
          <w:p w14:paraId="0FF90A72" w14:textId="77777777" w:rsidR="00E110BE" w:rsidRDefault="00842070">
            <w:pPr>
              <w:spacing w:line="360" w:lineRule="auto"/>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3C456DE4" w14:textId="77777777" w:rsidR="00E110BE" w:rsidRDefault="00E110BE">
      <w:pPr>
        <w:spacing w:line="360" w:lineRule="auto"/>
        <w:jc w:val="right"/>
        <w:rPr>
          <w:rtl/>
        </w:rPr>
      </w:pPr>
    </w:p>
    <w:p w14:paraId="4E9594E6" w14:textId="77777777" w:rsidR="00E110BE" w:rsidRDefault="00E110BE">
      <w:pPr>
        <w:spacing w:line="360" w:lineRule="auto"/>
        <w:jc w:val="center"/>
        <w:rPr>
          <w:rtl/>
        </w:rPr>
      </w:pPr>
    </w:p>
    <w:p w14:paraId="5B7E29EC" w14:textId="77777777" w:rsidR="00E110BE" w:rsidRDefault="00E110BE">
      <w:pPr>
        <w:spacing w:line="360" w:lineRule="auto"/>
        <w:jc w:val="center"/>
        <w:rPr>
          <w:rtl/>
        </w:rPr>
      </w:pPr>
    </w:p>
    <w:p w14:paraId="121B31EE" w14:textId="77777777" w:rsidR="00E110BE" w:rsidRPr="00AC4F39" w:rsidRDefault="00AC4F39">
      <w:pPr>
        <w:spacing w:line="360" w:lineRule="auto"/>
        <w:jc w:val="both"/>
        <w:rPr>
          <w:color w:val="FFFFFF"/>
          <w:sz w:val="2"/>
          <w:szCs w:val="2"/>
        </w:rPr>
      </w:pPr>
      <w:r w:rsidRPr="00AC4F39">
        <w:rPr>
          <w:color w:val="FFFFFF"/>
          <w:sz w:val="2"/>
          <w:szCs w:val="2"/>
          <w:rtl/>
        </w:rPr>
        <w:t>5129371</w:t>
      </w:r>
      <w:r w:rsidR="00842070" w:rsidRPr="00AC4F39">
        <w:rPr>
          <w:color w:val="FFFFFF"/>
          <w:sz w:val="2"/>
          <w:szCs w:val="2"/>
          <w:rtl/>
        </w:rPr>
        <w:t xml:space="preserve"> </w:t>
      </w:r>
    </w:p>
    <w:p w14:paraId="38574038" w14:textId="77777777" w:rsidR="00842070" w:rsidRPr="00AC4F39" w:rsidRDefault="00AC4F39" w:rsidP="00842070">
      <w:pPr>
        <w:keepNext/>
        <w:rPr>
          <w:color w:val="FFFFFF"/>
          <w:sz w:val="2"/>
          <w:szCs w:val="2"/>
          <w:rtl/>
        </w:rPr>
      </w:pPr>
      <w:r w:rsidRPr="00AC4F39">
        <w:rPr>
          <w:color w:val="FFFFFF"/>
          <w:sz w:val="2"/>
          <w:szCs w:val="2"/>
          <w:rtl/>
        </w:rPr>
        <w:t>54678313</w:t>
      </w:r>
    </w:p>
    <w:p w14:paraId="06476622" w14:textId="77777777" w:rsidR="00842070" w:rsidRDefault="00842070" w:rsidP="00842070">
      <w:pPr>
        <w:rPr>
          <w:rtl/>
        </w:rPr>
      </w:pPr>
    </w:p>
    <w:p w14:paraId="7C25EC42" w14:textId="77777777" w:rsidR="00842070" w:rsidRDefault="00842070" w:rsidP="00842070">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55E58BDF" w14:textId="77777777" w:rsidR="00AC4F39" w:rsidRPr="00AC4F39" w:rsidRDefault="00AC4F39" w:rsidP="00AC4F39">
      <w:pPr>
        <w:keepNext/>
        <w:rPr>
          <w:color w:val="000000"/>
          <w:sz w:val="22"/>
          <w:szCs w:val="22"/>
          <w:rtl/>
        </w:rPr>
      </w:pPr>
    </w:p>
    <w:p w14:paraId="6233D96E" w14:textId="77777777" w:rsidR="00AC4F39" w:rsidRPr="00AC4F39" w:rsidRDefault="00AC4F39" w:rsidP="00AC4F39">
      <w:pPr>
        <w:keepNext/>
        <w:rPr>
          <w:color w:val="000000"/>
          <w:sz w:val="22"/>
          <w:szCs w:val="22"/>
          <w:rtl/>
        </w:rPr>
      </w:pPr>
      <w:r w:rsidRPr="00AC4F39">
        <w:rPr>
          <w:color w:val="000000"/>
          <w:sz w:val="22"/>
          <w:szCs w:val="22"/>
          <w:rtl/>
        </w:rPr>
        <w:t>אברהם הימן 54678313-/</w:t>
      </w:r>
    </w:p>
    <w:p w14:paraId="7A292E9E" w14:textId="77777777" w:rsidR="00E110BE" w:rsidRPr="00842070" w:rsidRDefault="00AC4F39" w:rsidP="00AC4F39">
      <w:pPr>
        <w:rPr>
          <w:color w:val="0000FF"/>
          <w:u w:val="single"/>
        </w:rPr>
      </w:pPr>
      <w:r w:rsidRPr="00AC4F39">
        <w:rPr>
          <w:color w:val="000000"/>
          <w:u w:val="single"/>
          <w:rtl/>
        </w:rPr>
        <w:t>נוסח מסמך זה כפוף לשינויי ניסוח ועריכה</w:t>
      </w:r>
    </w:p>
    <w:sectPr w:rsidR="00E110BE" w:rsidRPr="00842070" w:rsidSect="00AC4F39">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5C562" w14:textId="77777777" w:rsidR="00DC21F6" w:rsidRPr="0087767B" w:rsidRDefault="00DC21F6">
      <w:pPr>
        <w:rPr>
          <w:rFonts w:cs="Arial"/>
          <w:szCs w:val="20"/>
        </w:rPr>
      </w:pPr>
      <w:r>
        <w:separator/>
      </w:r>
    </w:p>
  </w:endnote>
  <w:endnote w:type="continuationSeparator" w:id="0">
    <w:p w14:paraId="0B337F66" w14:textId="77777777" w:rsidR="00DC21F6" w:rsidRPr="0087767B" w:rsidRDefault="00DC21F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50536" w14:textId="77777777" w:rsidR="00AC4F39" w:rsidRDefault="00AC4F39" w:rsidP="00AC4F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35C574" w14:textId="77777777" w:rsidR="00E110BE" w:rsidRPr="00AC4F39" w:rsidRDefault="00AC4F39" w:rsidP="00AC4F39">
    <w:pPr>
      <w:pStyle w:val="a4"/>
      <w:pBdr>
        <w:top w:val="single" w:sz="4" w:space="1" w:color="auto"/>
        <w:between w:val="single" w:sz="4" w:space="0" w:color="auto"/>
      </w:pBdr>
      <w:spacing w:after="60"/>
      <w:jc w:val="center"/>
      <w:rPr>
        <w:rFonts w:ascii="FrankRuehl" w:hAnsi="FrankRuehl" w:cs="FrankRuehl"/>
        <w:color w:val="000000"/>
      </w:rPr>
    </w:pPr>
    <w:r w:rsidRPr="00AC4F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6275E" w14:textId="77777777" w:rsidR="00AC4F39" w:rsidRDefault="00AC4F39" w:rsidP="00AC4F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0ECE">
      <w:rPr>
        <w:rFonts w:ascii="FrankRuehl" w:hAnsi="FrankRuehl" w:cs="FrankRuehl"/>
        <w:noProof/>
        <w:rtl/>
      </w:rPr>
      <w:t>1</w:t>
    </w:r>
    <w:r>
      <w:rPr>
        <w:rFonts w:ascii="FrankRuehl" w:hAnsi="FrankRuehl" w:cs="FrankRuehl"/>
        <w:rtl/>
      </w:rPr>
      <w:fldChar w:fldCharType="end"/>
    </w:r>
  </w:p>
  <w:p w14:paraId="7380F7FE" w14:textId="77777777" w:rsidR="00E110BE" w:rsidRPr="00AC4F39" w:rsidRDefault="00AC4F39" w:rsidP="00AC4F39">
    <w:pPr>
      <w:pStyle w:val="a4"/>
      <w:pBdr>
        <w:top w:val="single" w:sz="4" w:space="1" w:color="auto"/>
        <w:between w:val="single" w:sz="4" w:space="0" w:color="auto"/>
      </w:pBdr>
      <w:spacing w:after="60"/>
      <w:jc w:val="center"/>
      <w:rPr>
        <w:rFonts w:ascii="FrankRuehl" w:hAnsi="FrankRuehl" w:cs="FrankRuehl"/>
        <w:color w:val="000000"/>
      </w:rPr>
    </w:pPr>
    <w:r w:rsidRPr="00AC4F39">
      <w:rPr>
        <w:rFonts w:ascii="FrankRuehl" w:hAnsi="FrankRuehl" w:cs="FrankRuehl"/>
        <w:color w:val="000000"/>
      </w:rPr>
      <w:pict w14:anchorId="0B1BF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A9955" w14:textId="77777777" w:rsidR="00DC21F6" w:rsidRPr="0087767B" w:rsidRDefault="00DC21F6">
      <w:pPr>
        <w:rPr>
          <w:rFonts w:cs="Arial"/>
          <w:szCs w:val="20"/>
        </w:rPr>
      </w:pPr>
      <w:r>
        <w:separator/>
      </w:r>
    </w:p>
  </w:footnote>
  <w:footnote w:type="continuationSeparator" w:id="0">
    <w:p w14:paraId="249A0CC6" w14:textId="77777777" w:rsidR="00DC21F6" w:rsidRPr="0087767B" w:rsidRDefault="00DC21F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C53F0" w14:textId="77777777" w:rsidR="00842070" w:rsidRPr="00AC4F39" w:rsidRDefault="00AC4F39" w:rsidP="00AC4F3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12585-10-10</w:t>
    </w:r>
    <w:r>
      <w:rPr>
        <w:color w:val="000000"/>
        <w:sz w:val="22"/>
        <w:szCs w:val="22"/>
        <w:rtl/>
      </w:rPr>
      <w:tab/>
      <w:t xml:space="preserve"> מדינת ישראל נ' יוסי מגל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1CEC9" w14:textId="77777777" w:rsidR="00842070" w:rsidRPr="00AC4F39" w:rsidRDefault="00AC4F39" w:rsidP="00AC4F3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12585-10-10</w:t>
    </w:r>
    <w:r>
      <w:rPr>
        <w:color w:val="000000"/>
        <w:sz w:val="22"/>
        <w:szCs w:val="22"/>
        <w:rtl/>
      </w:rPr>
      <w:tab/>
      <w:t xml:space="preserve"> מדינת ישראל נ' יוסי מגל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10BE"/>
    <w:rsid w:val="001A2829"/>
    <w:rsid w:val="00790ECE"/>
    <w:rsid w:val="00842070"/>
    <w:rsid w:val="00AC4F39"/>
    <w:rsid w:val="00AE55A9"/>
    <w:rsid w:val="00DC21F6"/>
    <w:rsid w:val="00E110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6A0020"/>
  <w15:chartTrackingRefBased/>
  <w15:docId w15:val="{06E04DAD-6F84-443A-A389-799339FF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10B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110BE"/>
    <w:pPr>
      <w:tabs>
        <w:tab w:val="center" w:pos="4153"/>
        <w:tab w:val="right" w:pos="8306"/>
      </w:tabs>
    </w:pPr>
  </w:style>
  <w:style w:type="paragraph" w:styleId="a4">
    <w:name w:val="footer"/>
    <w:basedOn w:val="a"/>
    <w:rsid w:val="00E110BE"/>
    <w:pPr>
      <w:tabs>
        <w:tab w:val="center" w:pos="4153"/>
        <w:tab w:val="right" w:pos="8306"/>
      </w:tabs>
    </w:pPr>
  </w:style>
  <w:style w:type="character" w:styleId="a5">
    <w:name w:val="page number"/>
    <w:basedOn w:val="a0"/>
    <w:rsid w:val="00E110BE"/>
  </w:style>
  <w:style w:type="character" w:styleId="a6">
    <w:name w:val="line number"/>
    <w:basedOn w:val="a0"/>
    <w:rsid w:val="00E110BE"/>
  </w:style>
  <w:style w:type="character" w:styleId="Hyperlink">
    <w:name w:val="Hyperlink"/>
    <w:basedOn w:val="a0"/>
    <w:rsid w:val="008420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5a"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5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1581</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9468</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7995492</vt:i4>
      </vt:variant>
      <vt:variant>
        <vt:i4>12</vt:i4>
      </vt:variant>
      <vt:variant>
        <vt:i4>0</vt:i4>
      </vt:variant>
      <vt:variant>
        <vt:i4>5</vt:i4>
      </vt:variant>
      <vt:variant>
        <vt:lpwstr>http://www.nevo.co.il/law/70301</vt:lpwstr>
      </vt:variant>
      <vt:variant>
        <vt:lpwstr/>
      </vt:variant>
      <vt:variant>
        <vt:i4>6291558</vt:i4>
      </vt:variant>
      <vt:variant>
        <vt:i4>9</vt:i4>
      </vt:variant>
      <vt:variant>
        <vt:i4>0</vt:i4>
      </vt:variant>
      <vt:variant>
        <vt:i4>5</vt:i4>
      </vt:variant>
      <vt:variant>
        <vt:lpwstr>http://www.nevo.co.il/law/70301/35a</vt:lpwstr>
      </vt:variant>
      <vt:variant>
        <vt:lpwstr/>
      </vt:variant>
      <vt:variant>
        <vt:i4>8257637</vt:i4>
      </vt:variant>
      <vt:variant>
        <vt:i4>6</vt:i4>
      </vt:variant>
      <vt:variant>
        <vt:i4>0</vt:i4>
      </vt:variant>
      <vt:variant>
        <vt:i4>5</vt:i4>
      </vt:variant>
      <vt:variant>
        <vt:lpwstr>http://www.nevo.co.il/law/4216</vt:lpwstr>
      </vt:variant>
      <vt:variant>
        <vt:lpwstr/>
      </vt:variant>
      <vt:variant>
        <vt:i4>6291558</vt:i4>
      </vt:variant>
      <vt:variant>
        <vt:i4>3</vt:i4>
      </vt:variant>
      <vt:variant>
        <vt:i4>0</vt:i4>
      </vt:variant>
      <vt:variant>
        <vt:i4>5</vt:i4>
      </vt:variant>
      <vt:variant>
        <vt:lpwstr>http://www.nevo.co.il/law/70301/35a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2025-04-22T21:36:00Z</dcterms:created>
  <dcterms:modified xsi:type="dcterms:W3CDTF">2025-04-22T21:36:00Z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12585</vt:lpwstr>
  </property>
  <property fmtid="{D5CDD505-2E9C-101B-9397-08002B2CF9AE}" pid="6" name="NEWPARTB">
    <vt:lpwstr>10</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יוסי מגל</vt:lpwstr>
  </property>
  <property fmtid="{D5CDD505-2E9C-101B-9397-08002B2CF9AE}" pid="10" name="LAWYER">
    <vt:lpwstr>אייל אוחיון</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20140212</vt:lpwstr>
  </property>
  <property fmtid="{D5CDD505-2E9C-101B-9397-08002B2CF9AE}" pid="14" name="TYPE_N_DATE">
    <vt:lpwstr>38020140212</vt:lpwstr>
  </property>
  <property fmtid="{D5CDD505-2E9C-101B-9397-08002B2CF9AE}" pid="15" name="WORDNUMPAGES">
    <vt:lpwstr>6</vt:lpwstr>
  </property>
  <property fmtid="{D5CDD505-2E9C-101B-9397-08002B2CF9AE}" pid="16" name="TYPE_ABS_DATE">
    <vt:lpwstr>380020140212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70301/035a</vt:lpwstr>
  </property>
  <property fmtid="{D5CDD505-2E9C-101B-9397-08002B2CF9AE}" pid="36" name="LAWLISTTMP2">
    <vt:lpwstr>4216</vt:lpwstr>
  </property>
</Properties>
</file>