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8E5F15" w:rsidRPr="00AE6E97" w14:paraId="3D2F3C8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D3D8BF5" w14:textId="77777777" w:rsidR="008E5F15" w:rsidRPr="00AE6E97" w:rsidRDefault="00AE6E9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E6E9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8E5F15" w:rsidRPr="00AE6E97" w14:paraId="4314DB95" w14:textId="77777777">
        <w:trPr>
          <w:trHeight w:val="337"/>
          <w:jc w:val="center"/>
        </w:trPr>
        <w:tc>
          <w:tcPr>
            <w:tcW w:w="6396" w:type="dxa"/>
          </w:tcPr>
          <w:p w14:paraId="5830D623" w14:textId="77777777" w:rsidR="008E5F15" w:rsidRPr="00AE6E97" w:rsidRDefault="00AE6E97">
            <w:pPr>
              <w:rPr>
                <w:b/>
                <w:bCs/>
                <w:sz w:val="26"/>
                <w:szCs w:val="26"/>
                <w:rtl/>
              </w:rPr>
            </w:pPr>
            <w:r w:rsidRPr="00AE6E97">
              <w:rPr>
                <w:b/>
                <w:bCs/>
                <w:sz w:val="26"/>
                <w:szCs w:val="26"/>
                <w:rtl/>
              </w:rPr>
              <w:t>ת"פ</w:t>
            </w:r>
            <w:r w:rsidRPr="00AE6E9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E6E97">
              <w:rPr>
                <w:b/>
                <w:bCs/>
                <w:sz w:val="26"/>
                <w:szCs w:val="26"/>
                <w:rtl/>
              </w:rPr>
              <w:t>53150-11-10</w:t>
            </w:r>
            <w:r w:rsidRPr="00AE6E9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E6E97">
              <w:rPr>
                <w:b/>
                <w:bCs/>
                <w:sz w:val="26"/>
                <w:szCs w:val="26"/>
                <w:rtl/>
              </w:rPr>
              <w:t>מדינת ישראל נ' סורי</w:t>
            </w:r>
          </w:p>
          <w:p w14:paraId="6493DC2C" w14:textId="77777777" w:rsidR="008E5F15" w:rsidRPr="00AE6E97" w:rsidRDefault="008E5F1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7726D90" w14:textId="77777777" w:rsidR="008E5F15" w:rsidRPr="00AE6E97" w:rsidRDefault="008E5F15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BE1DE2B" w14:textId="77777777" w:rsidR="008E5F15" w:rsidRPr="00AE6E97" w:rsidRDefault="00AE6E9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AE6E97">
              <w:rPr>
                <w:b/>
                <w:bCs/>
                <w:sz w:val="26"/>
                <w:szCs w:val="26"/>
                <w:rtl/>
              </w:rPr>
              <w:t>21 ינואר 2015</w:t>
            </w:r>
          </w:p>
        </w:tc>
      </w:tr>
    </w:tbl>
    <w:p w14:paraId="1238B34E" w14:textId="77777777" w:rsidR="008E5F15" w:rsidRPr="00AE6E97" w:rsidRDefault="008E5F15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8E5F15" w:rsidRPr="00AE6E97" w14:paraId="4B70A7B2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24437873" w14:textId="77777777" w:rsidR="008E5F15" w:rsidRPr="00AE6E97" w:rsidRDefault="00AE6E97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E6E9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AE6E97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AE6E9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8E5F15" w:rsidRPr="00AE6E97" w14:paraId="544A288A" w14:textId="77777777">
        <w:tc>
          <w:tcPr>
            <w:tcW w:w="2880" w:type="dxa"/>
          </w:tcPr>
          <w:p w14:paraId="3BDE424A" w14:textId="77777777" w:rsidR="008E5F15" w:rsidRPr="00AE6E97" w:rsidRDefault="00AE6E9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AE6E9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E6E9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58A1D691" w14:textId="77777777" w:rsidR="008E5F15" w:rsidRPr="00AE6E97" w:rsidRDefault="00AE6E9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E6E9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53B14FAB" w14:textId="77777777" w:rsidR="008E5F15" w:rsidRPr="00AE6E97" w:rsidRDefault="008E5F1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8E5F15" w:rsidRPr="00AE6E97" w14:paraId="42EBD071" w14:textId="77777777">
        <w:tc>
          <w:tcPr>
            <w:tcW w:w="8802" w:type="dxa"/>
            <w:gridSpan w:val="3"/>
          </w:tcPr>
          <w:p w14:paraId="3C0212AB" w14:textId="77777777" w:rsidR="008E5F15" w:rsidRPr="00AE6E97" w:rsidRDefault="00AE6E9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AE6E9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6931079" w14:textId="77777777" w:rsidR="008E5F15" w:rsidRPr="00AE6E97" w:rsidRDefault="008E5F1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8E5F15" w:rsidRPr="00AE6E97" w14:paraId="3C4BCCFE" w14:textId="77777777">
        <w:tc>
          <w:tcPr>
            <w:tcW w:w="2880" w:type="dxa"/>
          </w:tcPr>
          <w:p w14:paraId="6BA85AC3" w14:textId="77777777" w:rsidR="008E5F15" w:rsidRPr="00AE6E97" w:rsidRDefault="00AE6E9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E6E9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E6E9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34AED145" w14:textId="77777777" w:rsidR="008E5F15" w:rsidRPr="00AE6E97" w:rsidRDefault="00AE6E9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E6E97">
              <w:rPr>
                <w:rFonts w:ascii="Times New Roman" w:eastAsia="Times New Roman" w:hAnsi="Times New Roman" w:hint="cs"/>
                <w:rtl/>
              </w:rPr>
              <w:t>סובחי סורי</w:t>
            </w:r>
          </w:p>
          <w:p w14:paraId="319F033B" w14:textId="77777777" w:rsidR="008E5F15" w:rsidRPr="00AE6E97" w:rsidRDefault="008E5F1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3040EF4" w14:textId="77777777" w:rsidR="008E5F15" w:rsidRPr="00AE6E97" w:rsidRDefault="00AE6E97">
      <w:pPr>
        <w:spacing w:line="360" w:lineRule="auto"/>
        <w:jc w:val="both"/>
        <w:rPr>
          <w:sz w:val="6"/>
          <w:szCs w:val="6"/>
          <w:rtl/>
        </w:rPr>
      </w:pPr>
      <w:r w:rsidRPr="00AE6E97">
        <w:rPr>
          <w:sz w:val="6"/>
          <w:szCs w:val="6"/>
          <w:rtl/>
        </w:rPr>
        <w:t>&lt;#2#&gt;</w:t>
      </w:r>
    </w:p>
    <w:p w14:paraId="0DBE88F3" w14:textId="77777777" w:rsidR="008E5F15" w:rsidRPr="00AE6E97" w:rsidRDefault="00AE6E97">
      <w:pPr>
        <w:pStyle w:val="12"/>
        <w:rPr>
          <w:u w:val="none"/>
          <w:rtl/>
        </w:rPr>
      </w:pPr>
      <w:r w:rsidRPr="00AE6E97">
        <w:rPr>
          <w:rFonts w:hint="cs"/>
          <w:u w:val="none"/>
          <w:rtl/>
        </w:rPr>
        <w:t>נוכחים:</w:t>
      </w:r>
    </w:p>
    <w:p w14:paraId="619891BD" w14:textId="77777777" w:rsidR="008E5F15" w:rsidRPr="00AE6E97" w:rsidRDefault="00AE6E97">
      <w:pPr>
        <w:pStyle w:val="12"/>
        <w:rPr>
          <w:b w:val="0"/>
          <w:bCs w:val="0"/>
          <w:u w:val="none"/>
        </w:rPr>
      </w:pPr>
      <w:bookmarkStart w:id="2" w:name="FirstLawyer"/>
      <w:r w:rsidRPr="00AE6E97">
        <w:rPr>
          <w:rFonts w:hint="cs"/>
          <w:b w:val="0"/>
          <w:bCs w:val="0"/>
          <w:u w:val="none"/>
          <w:rtl/>
        </w:rPr>
        <w:t>ב"כ</w:t>
      </w:r>
      <w:bookmarkEnd w:id="2"/>
      <w:r w:rsidRPr="00AE6E97">
        <w:rPr>
          <w:rFonts w:hint="cs"/>
          <w:b w:val="0"/>
          <w:bCs w:val="0"/>
          <w:u w:val="none"/>
          <w:rtl/>
        </w:rPr>
        <w:t xml:space="preserve"> המאשימה- עו"ד עדי תורג'מן</w:t>
      </w:r>
    </w:p>
    <w:p w14:paraId="351BFA18" w14:textId="77777777" w:rsidR="008E5F15" w:rsidRPr="00AE6E97" w:rsidRDefault="00AE6E97">
      <w:pPr>
        <w:pStyle w:val="12"/>
        <w:rPr>
          <w:b w:val="0"/>
          <w:bCs w:val="0"/>
          <w:u w:val="none"/>
          <w:rtl/>
        </w:rPr>
      </w:pPr>
      <w:r w:rsidRPr="00AE6E97">
        <w:rPr>
          <w:rFonts w:hint="cs"/>
          <w:b w:val="0"/>
          <w:bCs w:val="0"/>
          <w:u w:val="none"/>
          <w:rtl/>
        </w:rPr>
        <w:t>הנאשם  – נוכח</w:t>
      </w:r>
      <w:r w:rsidRPr="00AE6E97">
        <w:rPr>
          <w:rFonts w:hint="cs"/>
          <w:b w:val="0"/>
          <w:bCs w:val="0"/>
          <w:u w:val="none"/>
          <w:rtl/>
        </w:rPr>
        <w:br/>
        <w:t>הסנגור- עו"ד אבי קורונל, ס.ציבורי</w:t>
      </w:r>
    </w:p>
    <w:p w14:paraId="0D563CEB" w14:textId="77777777" w:rsidR="008E5F15" w:rsidRPr="00AE6E97" w:rsidRDefault="00AE6E97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AE6E97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406BC0D0" w14:textId="77777777" w:rsidR="00AE6E97" w:rsidRPr="00AE6E97" w:rsidRDefault="00AE6E97" w:rsidP="00AE6E97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AE6E97">
        <w:rPr>
          <w:rFonts w:ascii="FrankRuehl" w:hAnsi="FrankRuehl" w:cs="FrankRuehl"/>
          <w:rtl/>
        </w:rPr>
        <w:t xml:space="preserve">חקיקה שאוזכרה: </w:t>
      </w:r>
    </w:p>
    <w:p w14:paraId="00D0C34F" w14:textId="77777777" w:rsidR="00AE6E97" w:rsidRPr="00AE6E97" w:rsidRDefault="00AE6E97" w:rsidP="00AE6E97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E6E9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63E155B6" w14:textId="77777777" w:rsidR="00AE6E97" w:rsidRPr="00AE6E97" w:rsidRDefault="00AE6E97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56A200CE" w14:textId="77777777" w:rsidR="00AE6E97" w:rsidRPr="00AE6E97" w:rsidRDefault="00AE6E97" w:rsidP="00AE6E97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AE6E9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005D467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מקבל</w:t>
      </w:r>
      <w:r>
        <w:rPr>
          <w:rFonts w:hint="cs"/>
          <w:rtl/>
        </w:rPr>
        <w:t>ת</w:t>
      </w:r>
      <w:r>
        <w:rPr>
          <w:rtl/>
        </w:rPr>
        <w:t xml:space="preserve"> את הסדר הטיעון. </w:t>
      </w:r>
    </w:p>
    <w:p w14:paraId="1AB226AC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eastAsia"/>
          <w:rtl/>
        </w:rPr>
        <w:t>בהתחשב</w:t>
      </w:r>
      <w:r>
        <w:rPr>
          <w:rtl/>
        </w:rPr>
        <w:t xml:space="preserve"> </w:t>
      </w:r>
      <w:r>
        <w:rPr>
          <w:rFonts w:hint="eastAsia"/>
          <w:rtl/>
        </w:rPr>
        <w:t>בהודאת</w:t>
      </w:r>
      <w:r>
        <w:rPr>
          <w:rtl/>
        </w:rPr>
        <w:t xml:space="preserve"> הנאשם, עברו</w:t>
      </w:r>
      <w:r>
        <w:rPr>
          <w:rFonts w:hint="cs"/>
          <w:rtl/>
        </w:rPr>
        <w:t xml:space="preserve"> הנקי</w:t>
      </w:r>
      <w:r>
        <w:rPr>
          <w:rtl/>
        </w:rPr>
        <w:t>, עמדת ב"</w:t>
      </w:r>
      <w:r>
        <w:rPr>
          <w:rFonts w:hint="eastAsia"/>
          <w:rtl/>
        </w:rPr>
        <w:t>כ</w:t>
      </w:r>
      <w:r>
        <w:rPr>
          <w:rtl/>
        </w:rPr>
        <w:t xml:space="preserve"> המאשימה, נסיבות העבירה ונסיבותיו האישיות של הנאשם, </w:t>
      </w:r>
      <w:r>
        <w:rPr>
          <w:rFonts w:hint="eastAsia"/>
          <w:rtl/>
        </w:rPr>
        <w:t>ומבלי</w:t>
      </w:r>
      <w:r>
        <w:rPr>
          <w:rtl/>
        </w:rPr>
        <w:t xml:space="preserve"> להתעלם מחומרת העבירה, אני 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הנאשם את העונשים הבאים: </w:t>
      </w:r>
    </w:p>
    <w:p w14:paraId="3F825140" w14:textId="77777777" w:rsidR="008E5F15" w:rsidRDefault="008E5F15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0573EA02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תנאי לתקופה של  </w:t>
      </w:r>
      <w:r>
        <w:rPr>
          <w:rFonts w:hint="cs"/>
          <w:rtl/>
        </w:rPr>
        <w:t>3</w:t>
      </w:r>
      <w:r>
        <w:rPr>
          <w:rtl/>
        </w:rPr>
        <w:t xml:space="preserve">  </w:t>
      </w:r>
      <w:r>
        <w:rPr>
          <w:rFonts w:hint="eastAsia"/>
          <w:rtl/>
        </w:rPr>
        <w:t>חודשים</w:t>
      </w:r>
      <w:r>
        <w:rPr>
          <w:rtl/>
        </w:rPr>
        <w:t xml:space="preserve">, למשך </w:t>
      </w:r>
      <w:r>
        <w:rPr>
          <w:rFonts w:hint="cs"/>
          <w:rtl/>
        </w:rPr>
        <w:t>3</w:t>
      </w:r>
      <w:r>
        <w:rPr>
          <w:rtl/>
        </w:rPr>
        <w:t xml:space="preserve">   </w:t>
      </w:r>
      <w:r>
        <w:rPr>
          <w:rFonts w:hint="eastAsia"/>
          <w:rtl/>
        </w:rPr>
        <w:t>שנים</w:t>
      </w:r>
      <w:r>
        <w:rPr>
          <w:rtl/>
        </w:rPr>
        <w:t xml:space="preserve"> מהיום, והתנאי הוא כי הנאשם לא </w:t>
      </w:r>
      <w:r>
        <w:rPr>
          <w:rFonts w:hint="eastAsia"/>
          <w:rtl/>
        </w:rPr>
        <w:t>יעבור</w:t>
      </w:r>
      <w:r>
        <w:rPr>
          <w:rtl/>
        </w:rPr>
        <w:t xml:space="preserve"> בתקופה זו עביר</w:t>
      </w:r>
      <w:r>
        <w:rPr>
          <w:rFonts w:hint="cs"/>
          <w:rtl/>
        </w:rPr>
        <w:t xml:space="preserve">ה על </w:t>
      </w:r>
      <w:hyperlink r:id="rId7" w:history="1">
        <w:r w:rsidRPr="00AE6E9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</w:t>
      </w:r>
      <w:r>
        <w:rPr>
          <w:rtl/>
        </w:rPr>
        <w:t xml:space="preserve">, ויורשע עליה בדין. </w:t>
      </w:r>
    </w:p>
    <w:p w14:paraId="4AE4F577" w14:textId="77777777" w:rsidR="008E5F15" w:rsidRDefault="008E5F15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4CA9AC8C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 </w:t>
      </w:r>
      <w:r>
        <w:rPr>
          <w:rFonts w:hint="cs"/>
          <w:rtl/>
        </w:rPr>
        <w:t>2,000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, או </w:t>
      </w:r>
      <w:r>
        <w:rPr>
          <w:rFonts w:hint="cs"/>
          <w:rtl/>
        </w:rPr>
        <w:t>8</w:t>
      </w:r>
      <w:r>
        <w:rPr>
          <w:rtl/>
        </w:rPr>
        <w:t xml:space="preserve">  </w:t>
      </w:r>
      <w:r>
        <w:rPr>
          <w:rFonts w:hint="eastAsia"/>
          <w:rtl/>
        </w:rPr>
        <w:t>ימי</w:t>
      </w:r>
      <w:r>
        <w:rPr>
          <w:rtl/>
        </w:rPr>
        <w:t xml:space="preserve"> מאסר תמורתו.  </w:t>
      </w:r>
      <w:r>
        <w:rPr>
          <w:rFonts w:hint="eastAsia"/>
          <w:rtl/>
        </w:rPr>
        <w:t>הקנס</w:t>
      </w:r>
      <w:r>
        <w:rPr>
          <w:rtl/>
        </w:rPr>
        <w:t xml:space="preserve"> ישולם ב-</w:t>
      </w:r>
      <w:r>
        <w:rPr>
          <w:rFonts w:hint="cs"/>
          <w:rtl/>
        </w:rPr>
        <w:t>8</w:t>
      </w:r>
      <w:r>
        <w:rPr>
          <w:rtl/>
        </w:rPr>
        <w:t xml:space="preserve">   </w:t>
      </w:r>
      <w:r>
        <w:rPr>
          <w:rFonts w:hint="eastAsia"/>
          <w:rtl/>
        </w:rPr>
        <w:t>תשלומים</w:t>
      </w:r>
      <w:r>
        <w:rPr>
          <w:rtl/>
        </w:rPr>
        <w:t xml:space="preserve"> חודשיים שווים ע"</w:t>
      </w:r>
      <w:r>
        <w:rPr>
          <w:rFonts w:hint="eastAsia"/>
          <w:rtl/>
        </w:rPr>
        <w:t>ס</w:t>
      </w:r>
      <w:r>
        <w:rPr>
          <w:rtl/>
        </w:rPr>
        <w:t xml:space="preserve">   </w:t>
      </w:r>
      <w:r>
        <w:rPr>
          <w:rFonts w:hint="cs"/>
          <w:rtl/>
        </w:rPr>
        <w:t>250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כל אחד, החל מיום   </w:t>
      </w:r>
      <w:r>
        <w:rPr>
          <w:rFonts w:hint="cs"/>
          <w:rtl/>
        </w:rPr>
        <w:t>15/2/15</w:t>
      </w:r>
      <w:r>
        <w:rPr>
          <w:rtl/>
        </w:rPr>
        <w:t xml:space="preserve">   </w:t>
      </w:r>
      <w:r>
        <w:rPr>
          <w:rFonts w:hint="cs"/>
          <w:rtl/>
        </w:rPr>
        <w:t xml:space="preserve">ובכל חודש עוקב. </w:t>
      </w:r>
    </w:p>
    <w:p w14:paraId="244D5A4B" w14:textId="77777777" w:rsidR="008E5F15" w:rsidRDefault="008E5F15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</w:p>
    <w:p w14:paraId="468DA425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ארבעת התשלומים האחרונים יקוזזו כנגד הפיקדון שהופקד בקופת ביהמ"ש, אשר ישמש </w:t>
      </w:r>
    </w:p>
    <w:p w14:paraId="42DF026C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לתשלומם. </w:t>
      </w:r>
    </w:p>
    <w:p w14:paraId="006CC10E" w14:textId="77777777" w:rsidR="008E5F15" w:rsidRDefault="008E5F15">
      <w:pPr>
        <w:overflowPunct w:val="0"/>
        <w:autoSpaceDE w:val="0"/>
        <w:autoSpaceDN w:val="0"/>
        <w:adjustRightInd w:val="0"/>
        <w:spacing w:line="360" w:lineRule="auto"/>
        <w:rPr>
          <w:b/>
          <w:bCs/>
          <w:rtl/>
        </w:rPr>
      </w:pPr>
    </w:p>
    <w:p w14:paraId="6736E510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cs"/>
          <w:rtl/>
        </w:rPr>
        <w:t xml:space="preserve">צו להשמדת המוצג- סמים. </w:t>
      </w:r>
    </w:p>
    <w:p w14:paraId="3FFE92BF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זכות</w:t>
      </w:r>
      <w:r>
        <w:rPr>
          <w:rtl/>
        </w:rPr>
        <w:t xml:space="preserve"> ערעור תוך 45 יום. </w:t>
      </w:r>
    </w:p>
    <w:p w14:paraId="245078F6" w14:textId="77777777" w:rsidR="008E5F15" w:rsidRDefault="00AE6E97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E3D4B76" w14:textId="77777777" w:rsidR="008E5F15" w:rsidRDefault="00AE6E97">
      <w:pPr>
        <w:overflowPunct w:val="0"/>
        <w:autoSpaceDE w:val="0"/>
        <w:autoSpaceDN w:val="0"/>
        <w:adjustRightInd w:val="0"/>
        <w:rPr>
          <w:rtl/>
        </w:rPr>
      </w:pPr>
      <w:r>
        <w:rPr>
          <w:b/>
          <w:bCs/>
          <w:rtl/>
        </w:rPr>
        <w:t xml:space="preserve">ניתנה והודעה היום א' שבט תשע"ה, 21/01/2015 במעמד הנוכחים. </w:t>
      </w:r>
    </w:p>
    <w:p w14:paraId="5084BC64" w14:textId="77777777" w:rsidR="008E5F15" w:rsidRDefault="00AE6E97">
      <w:bookmarkStart w:id="6" w:name="_GoBack"/>
      <w:bookmarkEnd w:id="6"/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לילך</w:t>
      </w:r>
      <w:r>
        <w:t xml:space="preserve">  </w:t>
      </w:r>
      <w:r>
        <w:rPr>
          <w:rtl/>
        </w:rPr>
        <w:t>וקנין</w:t>
      </w:r>
    </w:p>
    <w:p w14:paraId="0F3C2FF5" w14:textId="77777777" w:rsidR="00AE6E97" w:rsidRPr="00AE6E97" w:rsidRDefault="00AE6E97" w:rsidP="00AE6E97">
      <w:pPr>
        <w:keepNext/>
        <w:rPr>
          <w:color w:val="000000"/>
          <w:sz w:val="22"/>
          <w:szCs w:val="22"/>
          <w:rtl/>
        </w:rPr>
      </w:pPr>
    </w:p>
    <w:p w14:paraId="13088580" w14:textId="77777777" w:rsidR="00AE6E97" w:rsidRPr="00AE6E97" w:rsidRDefault="00AE6E97" w:rsidP="00AE6E97">
      <w:pPr>
        <w:keepNext/>
        <w:rPr>
          <w:color w:val="000000"/>
          <w:sz w:val="22"/>
          <w:szCs w:val="22"/>
          <w:rtl/>
        </w:rPr>
      </w:pPr>
      <w:r w:rsidRPr="00AE6E97">
        <w:rPr>
          <w:color w:val="000000"/>
          <w:sz w:val="22"/>
          <w:szCs w:val="22"/>
          <w:rtl/>
        </w:rPr>
        <w:t>שושנה פיינסוד כהן 54678313</w:t>
      </w:r>
    </w:p>
    <w:p w14:paraId="48F63B84" w14:textId="77777777" w:rsidR="00AE6E97" w:rsidRDefault="00AE6E97" w:rsidP="00AE6E97">
      <w:r w:rsidRPr="00AE6E97">
        <w:rPr>
          <w:color w:val="000000"/>
          <w:rtl/>
        </w:rPr>
        <w:t>נוסח מסמך זה כפוף לשינויי ניסוח ועריכה</w:t>
      </w:r>
    </w:p>
    <w:p w14:paraId="295623C0" w14:textId="77777777" w:rsidR="00AE6E97" w:rsidRDefault="00AE6E97" w:rsidP="00AE6E97">
      <w:pPr>
        <w:rPr>
          <w:rtl/>
        </w:rPr>
      </w:pPr>
    </w:p>
    <w:p w14:paraId="68A64CB2" w14:textId="77777777" w:rsidR="008E5F15" w:rsidRPr="00AE6E97" w:rsidRDefault="00AE6E97" w:rsidP="003344A7">
      <w:pPr>
        <w:jc w:val="center"/>
        <w:rPr>
          <w:rFonts w:hint="cs"/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8E5F15" w:rsidRPr="00AE6E97" w:rsidSect="00AE6E97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C189A" w14:textId="77777777" w:rsidR="004262DB" w:rsidRPr="00B55007" w:rsidRDefault="004262D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B4F2413" w14:textId="77777777" w:rsidR="004262DB" w:rsidRPr="00B55007" w:rsidRDefault="004262D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62C05" w14:textId="77777777" w:rsidR="00AE6E97" w:rsidRDefault="00AE6E97" w:rsidP="00AE6E9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19</w:t>
    </w:r>
    <w:r>
      <w:rPr>
        <w:rFonts w:ascii="FrankRuehl" w:hAnsi="FrankRuehl" w:cs="FrankRuehl"/>
        <w:rtl/>
      </w:rPr>
      <w:fldChar w:fldCharType="end"/>
    </w:r>
  </w:p>
  <w:p w14:paraId="4DD3B559" w14:textId="77777777" w:rsidR="008E5F15" w:rsidRPr="00AE6E97" w:rsidRDefault="00AE6E97" w:rsidP="00AE6E9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6E9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CD45" w14:textId="77777777" w:rsidR="00AE6E97" w:rsidRDefault="00AE6E97" w:rsidP="00AE6E9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0416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57C16F" w14:textId="77777777" w:rsidR="008E5F15" w:rsidRPr="00AE6E97" w:rsidRDefault="00AE6E97" w:rsidP="00AE6E9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6E97">
      <w:rPr>
        <w:rFonts w:ascii="FrankRuehl" w:hAnsi="FrankRuehl" w:cs="FrankRuehl"/>
        <w:color w:val="000000"/>
      </w:rPr>
      <w:pict w14:anchorId="3F732C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66ADC" w14:textId="77777777" w:rsidR="004262DB" w:rsidRPr="00B55007" w:rsidRDefault="004262D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868B444" w14:textId="77777777" w:rsidR="004262DB" w:rsidRPr="00B55007" w:rsidRDefault="004262D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C3F1C" w14:textId="77777777" w:rsidR="00AE6E97" w:rsidRPr="00AE6E97" w:rsidRDefault="00AE6E97" w:rsidP="00AE6E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53150-11-10</w:t>
    </w:r>
    <w:r>
      <w:rPr>
        <w:color w:val="000000"/>
        <w:sz w:val="22"/>
        <w:szCs w:val="22"/>
        <w:rtl/>
      </w:rPr>
      <w:tab/>
      <w:t xml:space="preserve"> מדינת ישראל נ' סובחי סורי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B972" w14:textId="77777777" w:rsidR="00AE6E97" w:rsidRPr="00AE6E97" w:rsidRDefault="00AE6E97" w:rsidP="00AE6E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53150-11-10</w:t>
    </w:r>
    <w:r>
      <w:rPr>
        <w:color w:val="000000"/>
        <w:sz w:val="22"/>
        <w:szCs w:val="22"/>
        <w:rtl/>
      </w:rPr>
      <w:tab/>
      <w:t xml:space="preserve"> מדינת ישראל נ' סובחי סורי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E5F15"/>
    <w:rsid w:val="00071A92"/>
    <w:rsid w:val="003344A7"/>
    <w:rsid w:val="004262DB"/>
    <w:rsid w:val="00491130"/>
    <w:rsid w:val="008E5F15"/>
    <w:rsid w:val="00904160"/>
    <w:rsid w:val="00A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68B169"/>
  <w15:chartTrackingRefBased/>
  <w15:docId w15:val="{BC0D611B-66C1-4B61-962D-09D7E68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5F15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E5F1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E5F1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8E5F15"/>
  </w:style>
  <w:style w:type="character" w:customStyle="1" w:styleId="TimesNewRomanTimesNewRoman">
    <w:name w:val="סגנון (לטיני) Times New Roman (עברית ושפות אחרות) Times New Roman..."/>
    <w:basedOn w:val="a0"/>
    <w:rsid w:val="008E5F15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E5F15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8E5F15"/>
  </w:style>
  <w:style w:type="character" w:styleId="Hyperlink">
    <w:name w:val="Hyperlink"/>
    <w:basedOn w:val="a0"/>
    <w:rsid w:val="00AE6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1355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2025-04-22T21:36:00Z</dcterms:created>
  <dcterms:modified xsi:type="dcterms:W3CDTF">2025-04-22T21:36:00Z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53150</vt:lpwstr>
  </property>
  <property fmtid="{D5CDD505-2E9C-101B-9397-08002B2CF9AE}" pid="6" name="NEWPARTB">
    <vt:lpwstr>11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סובחי סורי</vt:lpwstr>
  </property>
  <property fmtid="{D5CDD505-2E9C-101B-9397-08002B2CF9AE}" pid="10" name="LAWYER">
    <vt:lpwstr>עדי תורג'מן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20150121</vt:lpwstr>
  </property>
  <property fmtid="{D5CDD505-2E9C-101B-9397-08002B2CF9AE}" pid="14" name="TYPE_N_DATE">
    <vt:lpwstr>38020150121</vt:lpwstr>
  </property>
  <property fmtid="{D5CDD505-2E9C-101B-9397-08002B2CF9AE}" pid="15" name="LAWLISTTMP1">
    <vt:lpwstr>4216</vt:lpwstr>
  </property>
  <property fmtid="{D5CDD505-2E9C-101B-9397-08002B2CF9AE}" pid="16" name="WORDNUMPAGES">
    <vt:lpwstr>1</vt:lpwstr>
  </property>
  <property fmtid="{D5CDD505-2E9C-101B-9397-08002B2CF9AE}" pid="17" name="TYPE_ABS_DATE">
    <vt:lpwstr>380020150121</vt:lpwstr>
  </property>
</Properties>
</file>