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47200" w:rsidRPr="00003007" w14:paraId="61D15EAC" w14:textId="77777777">
        <w:trPr>
          <w:trHeight w:hRule="exact" w:val="418"/>
          <w:jc w:val="center"/>
        </w:trPr>
        <w:tc>
          <w:tcPr>
            <w:tcW w:w="8720" w:type="dxa"/>
            <w:gridSpan w:val="3"/>
          </w:tcPr>
          <w:p w14:paraId="39FAB3D2" w14:textId="77777777" w:rsidR="00C47200" w:rsidRPr="00003007" w:rsidRDefault="00003007">
            <w:pPr>
              <w:pStyle w:val="a3"/>
              <w:tabs>
                <w:tab w:val="clear" w:pos="8306"/>
              </w:tabs>
              <w:jc w:val="center"/>
              <w:rPr>
                <w:rFonts w:ascii="Tahoma" w:hAnsi="Tahoma" w:cs="Tahoma"/>
                <w:b/>
                <w:bCs/>
                <w:color w:val="000080"/>
                <w:sz w:val="20"/>
                <w:szCs w:val="20"/>
                <w:rtl/>
              </w:rPr>
            </w:pPr>
            <w:bookmarkStart w:id="0" w:name="LastJudge"/>
            <w:r w:rsidRPr="00003007">
              <w:rPr>
                <w:rFonts w:ascii="Tahoma" w:hAnsi="Tahoma" w:cs="Tahoma"/>
                <w:b/>
                <w:bCs/>
                <w:color w:val="000080"/>
                <w:sz w:val="20"/>
                <w:szCs w:val="20"/>
                <w:rtl/>
              </w:rPr>
              <w:t>בית משפט השלום בנתניה</w:t>
            </w:r>
          </w:p>
        </w:tc>
      </w:tr>
      <w:tr w:rsidR="00C47200" w:rsidRPr="00003007" w14:paraId="0C9D0BA3" w14:textId="77777777">
        <w:trPr>
          <w:trHeight w:val="337"/>
          <w:jc w:val="center"/>
        </w:trPr>
        <w:tc>
          <w:tcPr>
            <w:tcW w:w="6396" w:type="dxa"/>
          </w:tcPr>
          <w:p w14:paraId="3829CF17" w14:textId="77777777" w:rsidR="00C47200" w:rsidRPr="00003007" w:rsidRDefault="00003007">
            <w:pPr>
              <w:rPr>
                <w:b/>
                <w:bCs/>
                <w:sz w:val="26"/>
                <w:szCs w:val="26"/>
                <w:rtl/>
              </w:rPr>
            </w:pPr>
            <w:r w:rsidRPr="00003007">
              <w:rPr>
                <w:b/>
                <w:bCs/>
                <w:sz w:val="26"/>
                <w:szCs w:val="26"/>
                <w:rtl/>
              </w:rPr>
              <w:t>ת"פ</w:t>
            </w:r>
            <w:r w:rsidRPr="00003007">
              <w:rPr>
                <w:rFonts w:hint="cs"/>
                <w:b/>
                <w:bCs/>
                <w:sz w:val="26"/>
                <w:szCs w:val="26"/>
                <w:rtl/>
              </w:rPr>
              <w:t xml:space="preserve"> </w:t>
            </w:r>
            <w:r w:rsidRPr="00003007">
              <w:rPr>
                <w:b/>
                <w:bCs/>
                <w:sz w:val="26"/>
                <w:szCs w:val="26"/>
                <w:rtl/>
              </w:rPr>
              <w:t>58167-11-10</w:t>
            </w:r>
            <w:r w:rsidRPr="00003007">
              <w:rPr>
                <w:rFonts w:hint="cs"/>
                <w:b/>
                <w:bCs/>
                <w:sz w:val="26"/>
                <w:szCs w:val="26"/>
                <w:rtl/>
              </w:rPr>
              <w:t xml:space="preserve"> </w:t>
            </w:r>
            <w:r w:rsidRPr="00003007">
              <w:rPr>
                <w:b/>
                <w:bCs/>
                <w:sz w:val="26"/>
                <w:szCs w:val="26"/>
                <w:rtl/>
              </w:rPr>
              <w:t>מדינת ישראל נ' וייס</w:t>
            </w:r>
          </w:p>
          <w:p w14:paraId="36FA80B2" w14:textId="77777777" w:rsidR="00C47200" w:rsidRPr="00003007" w:rsidRDefault="00C47200">
            <w:pPr>
              <w:rPr>
                <w:b/>
                <w:bCs/>
                <w:sz w:val="26"/>
                <w:szCs w:val="26"/>
                <w:rtl/>
              </w:rPr>
            </w:pPr>
          </w:p>
        </w:tc>
        <w:tc>
          <w:tcPr>
            <w:tcW w:w="236" w:type="dxa"/>
          </w:tcPr>
          <w:p w14:paraId="4327F040" w14:textId="77777777" w:rsidR="00C47200" w:rsidRPr="00003007" w:rsidRDefault="00C47200">
            <w:pPr>
              <w:pStyle w:val="a3"/>
              <w:jc w:val="right"/>
              <w:rPr>
                <w:b/>
                <w:bCs/>
                <w:sz w:val="26"/>
                <w:szCs w:val="26"/>
                <w:rtl/>
              </w:rPr>
            </w:pPr>
          </w:p>
        </w:tc>
        <w:tc>
          <w:tcPr>
            <w:tcW w:w="2088" w:type="dxa"/>
          </w:tcPr>
          <w:p w14:paraId="6E389AF1" w14:textId="77777777" w:rsidR="00C47200" w:rsidRPr="00003007" w:rsidRDefault="00003007">
            <w:pPr>
              <w:pStyle w:val="a3"/>
              <w:tabs>
                <w:tab w:val="clear" w:pos="4153"/>
              </w:tabs>
              <w:jc w:val="right"/>
              <w:rPr>
                <w:b/>
                <w:bCs/>
                <w:sz w:val="26"/>
                <w:szCs w:val="26"/>
                <w:rtl/>
              </w:rPr>
            </w:pPr>
            <w:r w:rsidRPr="00003007">
              <w:rPr>
                <w:b/>
                <w:bCs/>
                <w:sz w:val="26"/>
                <w:szCs w:val="26"/>
                <w:rtl/>
              </w:rPr>
              <w:t>18 פברואר 2014</w:t>
            </w:r>
          </w:p>
        </w:tc>
      </w:tr>
    </w:tbl>
    <w:p w14:paraId="7FD417E5" w14:textId="77777777" w:rsidR="00C47200" w:rsidRPr="00003007" w:rsidRDefault="00C47200">
      <w:pPr>
        <w:pStyle w:val="a3"/>
        <w:jc w:val="center"/>
        <w:rPr>
          <w:rFonts w:ascii="Tahoma" w:hAnsi="Tahoma" w:cs="Tahoma"/>
          <w:b/>
          <w:bCs/>
          <w:color w:val="000080"/>
          <w:sz w:val="20"/>
          <w:szCs w:val="20"/>
          <w:rtl/>
        </w:rPr>
      </w:pPr>
    </w:p>
    <w:p w14:paraId="06A5A86D" w14:textId="77777777" w:rsidR="00C47200" w:rsidRPr="00003007" w:rsidRDefault="00C47200">
      <w:pPr>
        <w:spacing w:line="360" w:lineRule="auto"/>
        <w:jc w:val="both"/>
        <w:rPr>
          <w:sz w:val="6"/>
          <w:szCs w:val="6"/>
          <w:rtl/>
        </w:rPr>
      </w:pPr>
    </w:p>
    <w:tbl>
      <w:tblPr>
        <w:bidiVisual/>
        <w:tblW w:w="0" w:type="auto"/>
        <w:jc w:val="center"/>
        <w:tblLook w:val="0000" w:firstRow="0" w:lastRow="0" w:firstColumn="0" w:lastColumn="0" w:noHBand="0" w:noVBand="0"/>
      </w:tblPr>
      <w:tblGrid>
        <w:gridCol w:w="1582"/>
        <w:gridCol w:w="1279"/>
        <w:gridCol w:w="5778"/>
        <w:gridCol w:w="81"/>
      </w:tblGrid>
      <w:tr w:rsidR="00C47200" w:rsidRPr="00003007" w14:paraId="6717BA9B" w14:textId="77777777">
        <w:trPr>
          <w:gridAfter w:val="1"/>
          <w:wAfter w:w="54" w:type="dxa"/>
          <w:trHeight w:val="337"/>
          <w:jc w:val="center"/>
        </w:trPr>
        <w:tc>
          <w:tcPr>
            <w:tcW w:w="1592" w:type="dxa"/>
          </w:tcPr>
          <w:p w14:paraId="1C3B175F" w14:textId="77777777" w:rsidR="00C47200" w:rsidRPr="00003007" w:rsidRDefault="00003007">
            <w:pPr>
              <w:pStyle w:val="a3"/>
              <w:bidi w:val="0"/>
              <w:spacing w:line="360" w:lineRule="auto"/>
              <w:jc w:val="both"/>
              <w:rPr>
                <w:rFonts w:ascii="Times New Roman" w:hAnsi="Times New Roman"/>
                <w:sz w:val="28"/>
                <w:szCs w:val="28"/>
              </w:rPr>
            </w:pPr>
            <w:r w:rsidRPr="00003007">
              <w:rPr>
                <w:rFonts w:ascii="Times New Roman" w:hAnsi="Times New Roman"/>
                <w:sz w:val="28"/>
                <w:szCs w:val="28"/>
              </w:rPr>
              <w:t xml:space="preserve">  </w:t>
            </w:r>
          </w:p>
        </w:tc>
        <w:tc>
          <w:tcPr>
            <w:tcW w:w="7128" w:type="dxa"/>
            <w:gridSpan w:val="2"/>
          </w:tcPr>
          <w:p w14:paraId="21FC4CB7" w14:textId="77777777" w:rsidR="00C47200" w:rsidRPr="00003007" w:rsidRDefault="00003007">
            <w:pPr>
              <w:pStyle w:val="a3"/>
              <w:jc w:val="right"/>
              <w:rPr>
                <w:b/>
                <w:bCs/>
                <w:sz w:val="28"/>
                <w:szCs w:val="28"/>
                <w:rtl/>
              </w:rPr>
            </w:pPr>
            <w:r w:rsidRPr="00003007">
              <w:rPr>
                <w:rFonts w:hint="cs"/>
                <w:sz w:val="28"/>
                <w:szCs w:val="28"/>
                <w:rtl/>
              </w:rPr>
              <w:t xml:space="preserve"> 58180-11-10</w:t>
            </w:r>
          </w:p>
        </w:tc>
      </w:tr>
      <w:tr w:rsidR="00C47200" w:rsidRPr="00484F5C" w14:paraId="11128F35" w14:textId="77777777">
        <w:tblPrEx>
          <w:jc w:val="left"/>
          <w:tblLook w:val="01E0" w:firstRow="1" w:lastRow="1" w:firstColumn="1" w:lastColumn="1" w:noHBand="0" w:noVBand="0"/>
        </w:tblPrEx>
        <w:trPr>
          <w:gridAfter w:val="1"/>
          <w:wAfter w:w="55" w:type="dxa"/>
        </w:trPr>
        <w:tc>
          <w:tcPr>
            <w:tcW w:w="8719" w:type="dxa"/>
            <w:gridSpan w:val="3"/>
          </w:tcPr>
          <w:p w14:paraId="145EBA02" w14:textId="77777777" w:rsidR="00C47200" w:rsidRPr="00484F5C" w:rsidRDefault="00003007" w:rsidP="00484F5C">
            <w:pPr>
              <w:spacing w:before="240" w:after="240" w:line="360" w:lineRule="auto"/>
              <w:rPr>
                <w:rFonts w:ascii="Times New Roman" w:eastAsia="Times New Roman" w:hAnsi="Times New Roman"/>
                <w:b/>
                <w:bCs/>
                <w:sz w:val="28"/>
                <w:szCs w:val="28"/>
                <w:rtl/>
              </w:rPr>
            </w:pPr>
            <w:r w:rsidRPr="00484F5C">
              <w:rPr>
                <w:rFonts w:ascii="Times New Roman" w:eastAsia="Times New Roman" w:hAnsi="Times New Roman" w:hint="cs"/>
                <w:b/>
                <w:bCs/>
                <w:sz w:val="28"/>
                <w:szCs w:val="28"/>
                <w:rtl/>
              </w:rPr>
              <w:t>בפני כב' השופטת גלית ציגלר</w:t>
            </w:r>
            <w:r w:rsidRPr="00484F5C">
              <w:rPr>
                <w:rStyle w:val="TimesNewRomanTimesNewRoman"/>
                <w:rFonts w:eastAsia="Times New Roman"/>
                <w:b w:val="0"/>
                <w:bCs w:val="0"/>
                <w:sz w:val="28"/>
                <w:szCs w:val="28"/>
                <w:rtl/>
              </w:rPr>
              <w:t xml:space="preserve"> </w:t>
            </w:r>
          </w:p>
        </w:tc>
      </w:tr>
      <w:tr w:rsidR="00C47200" w:rsidRPr="00003007" w14:paraId="1AB22E82" w14:textId="77777777">
        <w:tblPrEx>
          <w:jc w:val="left"/>
          <w:tblLook w:val="01E0" w:firstRow="1" w:lastRow="1" w:firstColumn="1" w:lastColumn="1" w:noHBand="0" w:noVBand="0"/>
        </w:tblPrEx>
        <w:tc>
          <w:tcPr>
            <w:tcW w:w="2880" w:type="dxa"/>
            <w:gridSpan w:val="2"/>
          </w:tcPr>
          <w:p w14:paraId="100CABBD" w14:textId="77777777" w:rsidR="00C47200" w:rsidRPr="00484F5C" w:rsidRDefault="00003007" w:rsidP="00484F5C">
            <w:pPr>
              <w:spacing w:before="240" w:after="240"/>
              <w:ind w:left="26"/>
              <w:rPr>
                <w:rFonts w:ascii="Times New Roman" w:eastAsia="Times New Roman" w:hAnsi="Times New Roman"/>
                <w:b/>
                <w:bCs/>
                <w:sz w:val="28"/>
                <w:szCs w:val="28"/>
                <w:rtl/>
              </w:rPr>
            </w:pPr>
            <w:bookmarkStart w:id="1" w:name="FirstAppellant"/>
            <w:r w:rsidRPr="00484F5C">
              <w:rPr>
                <w:rFonts w:ascii="Times New Roman" w:eastAsia="Times New Roman" w:hAnsi="Times New Roman" w:hint="cs"/>
                <w:b/>
                <w:bCs/>
                <w:sz w:val="28"/>
                <w:szCs w:val="28"/>
                <w:rtl/>
              </w:rPr>
              <w:t>המאשימה</w:t>
            </w:r>
          </w:p>
        </w:tc>
        <w:tc>
          <w:tcPr>
            <w:tcW w:w="5922" w:type="dxa"/>
            <w:gridSpan w:val="2"/>
          </w:tcPr>
          <w:p w14:paraId="51253013" w14:textId="77777777" w:rsidR="00C47200" w:rsidRPr="00484F5C" w:rsidRDefault="00003007" w:rsidP="00484F5C">
            <w:pPr>
              <w:spacing w:before="240" w:after="240"/>
              <w:rPr>
                <w:rFonts w:ascii="Times New Roman" w:eastAsia="Times New Roman" w:hAnsi="Times New Roman"/>
                <w:b/>
                <w:bCs/>
                <w:sz w:val="28"/>
                <w:szCs w:val="28"/>
                <w:rtl/>
              </w:rPr>
            </w:pPr>
            <w:r w:rsidRPr="00484F5C">
              <w:rPr>
                <w:rFonts w:ascii="Times New Roman" w:eastAsia="Times New Roman" w:hAnsi="Times New Roman" w:hint="cs"/>
                <w:b/>
                <w:bCs/>
                <w:sz w:val="28"/>
                <w:szCs w:val="28"/>
                <w:rtl/>
              </w:rPr>
              <w:t>מדינת ישראל</w:t>
            </w:r>
          </w:p>
        </w:tc>
      </w:tr>
      <w:bookmarkEnd w:id="1"/>
      <w:tr w:rsidR="00C47200" w:rsidRPr="00003007" w14:paraId="17338926" w14:textId="77777777">
        <w:tblPrEx>
          <w:jc w:val="left"/>
          <w:tblLook w:val="01E0" w:firstRow="1" w:lastRow="1" w:firstColumn="1" w:lastColumn="1" w:noHBand="0" w:noVBand="0"/>
        </w:tblPrEx>
        <w:tc>
          <w:tcPr>
            <w:tcW w:w="8802" w:type="dxa"/>
            <w:gridSpan w:val="4"/>
          </w:tcPr>
          <w:p w14:paraId="40AEF064" w14:textId="77777777" w:rsidR="00C47200" w:rsidRPr="00484F5C" w:rsidRDefault="00003007" w:rsidP="00484F5C">
            <w:pPr>
              <w:spacing w:before="240" w:after="240"/>
              <w:jc w:val="center"/>
              <w:rPr>
                <w:rFonts w:ascii="Arial" w:eastAsia="Times New Roman" w:hAnsi="Arial"/>
                <w:b/>
                <w:bCs/>
                <w:sz w:val="28"/>
                <w:szCs w:val="28"/>
                <w:rtl/>
              </w:rPr>
            </w:pPr>
            <w:r w:rsidRPr="00484F5C">
              <w:rPr>
                <w:rFonts w:ascii="Arial" w:eastAsia="Times New Roman" w:hAnsi="Arial"/>
                <w:b/>
                <w:bCs/>
                <w:sz w:val="28"/>
                <w:szCs w:val="28"/>
                <w:rtl/>
              </w:rPr>
              <w:t>נגד</w:t>
            </w:r>
          </w:p>
          <w:p w14:paraId="12490AE4" w14:textId="77777777" w:rsidR="00C47200" w:rsidRPr="00484F5C" w:rsidRDefault="00C47200" w:rsidP="00484F5C">
            <w:pPr>
              <w:spacing w:before="240" w:after="240"/>
              <w:jc w:val="center"/>
              <w:rPr>
                <w:rFonts w:ascii="Arial" w:eastAsia="Times New Roman" w:hAnsi="Arial"/>
                <w:b/>
                <w:bCs/>
                <w:sz w:val="28"/>
                <w:szCs w:val="28"/>
              </w:rPr>
            </w:pPr>
          </w:p>
        </w:tc>
      </w:tr>
      <w:tr w:rsidR="00C47200" w:rsidRPr="00003007" w14:paraId="73E2A50C" w14:textId="77777777">
        <w:tblPrEx>
          <w:jc w:val="left"/>
          <w:tblLook w:val="01E0" w:firstRow="1" w:lastRow="1" w:firstColumn="1" w:lastColumn="1" w:noHBand="0" w:noVBand="0"/>
        </w:tblPrEx>
        <w:tc>
          <w:tcPr>
            <w:tcW w:w="2880" w:type="dxa"/>
            <w:gridSpan w:val="2"/>
          </w:tcPr>
          <w:p w14:paraId="2F2132C0" w14:textId="77777777" w:rsidR="00C47200" w:rsidRPr="00484F5C" w:rsidRDefault="00003007" w:rsidP="00484F5C">
            <w:pPr>
              <w:spacing w:before="240" w:after="240"/>
              <w:ind w:left="26"/>
              <w:rPr>
                <w:rFonts w:ascii="Times New Roman" w:eastAsia="Times New Roman" w:hAnsi="Times New Roman"/>
                <w:b/>
                <w:bCs/>
                <w:sz w:val="28"/>
                <w:szCs w:val="28"/>
                <w:rtl/>
              </w:rPr>
            </w:pPr>
            <w:r w:rsidRPr="00484F5C">
              <w:rPr>
                <w:rFonts w:ascii="Times New Roman" w:eastAsia="Times New Roman" w:hAnsi="Times New Roman" w:hint="cs"/>
                <w:b/>
                <w:bCs/>
                <w:sz w:val="28"/>
                <w:szCs w:val="28"/>
                <w:rtl/>
              </w:rPr>
              <w:t>הנאשם</w:t>
            </w:r>
          </w:p>
        </w:tc>
        <w:tc>
          <w:tcPr>
            <w:tcW w:w="5922" w:type="dxa"/>
            <w:gridSpan w:val="2"/>
          </w:tcPr>
          <w:p w14:paraId="27A4AF37" w14:textId="77777777" w:rsidR="00C47200" w:rsidRPr="00484F5C" w:rsidRDefault="00003007" w:rsidP="00484F5C">
            <w:pPr>
              <w:spacing w:before="240" w:after="240"/>
              <w:rPr>
                <w:rFonts w:ascii="Times New Roman" w:eastAsia="Times New Roman" w:hAnsi="Times New Roman"/>
                <w:b/>
                <w:bCs/>
                <w:sz w:val="28"/>
                <w:szCs w:val="28"/>
                <w:rtl/>
              </w:rPr>
            </w:pPr>
            <w:r w:rsidRPr="00484F5C">
              <w:rPr>
                <w:rFonts w:ascii="Times New Roman" w:eastAsia="Times New Roman" w:hAnsi="Times New Roman" w:hint="cs"/>
                <w:b/>
                <w:bCs/>
                <w:sz w:val="28"/>
                <w:szCs w:val="28"/>
                <w:rtl/>
              </w:rPr>
              <w:t>אמיר וייס</w:t>
            </w:r>
          </w:p>
        </w:tc>
      </w:tr>
    </w:tbl>
    <w:p w14:paraId="58E2B5EB" w14:textId="77777777" w:rsidR="00C47200" w:rsidRPr="00003007" w:rsidRDefault="00003007">
      <w:pPr>
        <w:pStyle w:val="12"/>
        <w:spacing w:line="360" w:lineRule="auto"/>
        <w:rPr>
          <w:sz w:val="28"/>
          <w:szCs w:val="28"/>
          <w:u w:val="none"/>
          <w:rtl/>
        </w:rPr>
      </w:pPr>
      <w:r w:rsidRPr="00003007">
        <w:rPr>
          <w:rFonts w:hint="cs"/>
          <w:sz w:val="28"/>
          <w:szCs w:val="28"/>
          <w:u w:val="none"/>
          <w:rtl/>
        </w:rPr>
        <w:t>נוכחים:</w:t>
      </w:r>
    </w:p>
    <w:p w14:paraId="0C69DC41" w14:textId="77777777" w:rsidR="00C47200" w:rsidRPr="00003007" w:rsidRDefault="00003007">
      <w:pPr>
        <w:pStyle w:val="12"/>
        <w:spacing w:line="360" w:lineRule="auto"/>
        <w:rPr>
          <w:b w:val="0"/>
          <w:bCs w:val="0"/>
          <w:sz w:val="28"/>
          <w:szCs w:val="28"/>
          <w:u w:val="none"/>
          <w:rtl/>
        </w:rPr>
      </w:pPr>
      <w:bookmarkStart w:id="2" w:name="FirstLawyer"/>
      <w:r w:rsidRPr="00003007">
        <w:rPr>
          <w:rFonts w:hint="cs"/>
          <w:b w:val="0"/>
          <w:bCs w:val="0"/>
          <w:sz w:val="28"/>
          <w:szCs w:val="28"/>
          <w:u w:val="none"/>
          <w:rtl/>
        </w:rPr>
        <w:t>ב"כ</w:t>
      </w:r>
      <w:bookmarkEnd w:id="2"/>
      <w:r w:rsidRPr="00003007">
        <w:rPr>
          <w:rFonts w:hint="cs"/>
          <w:b w:val="0"/>
          <w:bCs w:val="0"/>
          <w:sz w:val="28"/>
          <w:szCs w:val="28"/>
          <w:u w:val="none"/>
          <w:rtl/>
        </w:rPr>
        <w:t xml:space="preserve"> המאשימה </w:t>
      </w:r>
      <w:r w:rsidRPr="00003007">
        <w:rPr>
          <w:b w:val="0"/>
          <w:bCs w:val="0"/>
          <w:sz w:val="28"/>
          <w:szCs w:val="28"/>
          <w:u w:val="none"/>
          <w:rtl/>
        </w:rPr>
        <w:t>–</w:t>
      </w:r>
      <w:r w:rsidRPr="00003007">
        <w:rPr>
          <w:rFonts w:hint="cs"/>
          <w:b w:val="0"/>
          <w:bCs w:val="0"/>
          <w:sz w:val="28"/>
          <w:szCs w:val="28"/>
          <w:u w:val="none"/>
          <w:rtl/>
        </w:rPr>
        <w:t xml:space="preserve"> מתמחה שלומי חנניה</w:t>
      </w:r>
    </w:p>
    <w:p w14:paraId="543361F5" w14:textId="77777777" w:rsidR="00C47200" w:rsidRPr="00003007" w:rsidRDefault="00003007">
      <w:pPr>
        <w:pStyle w:val="12"/>
        <w:spacing w:line="360" w:lineRule="auto"/>
        <w:rPr>
          <w:b w:val="0"/>
          <w:bCs w:val="0"/>
          <w:sz w:val="28"/>
          <w:szCs w:val="28"/>
          <w:u w:val="none"/>
          <w:rtl/>
        </w:rPr>
      </w:pPr>
      <w:r w:rsidRPr="00003007">
        <w:rPr>
          <w:rFonts w:hint="cs"/>
          <w:b w:val="0"/>
          <w:bCs w:val="0"/>
          <w:sz w:val="28"/>
          <w:szCs w:val="28"/>
          <w:u w:val="none"/>
          <w:rtl/>
        </w:rPr>
        <w:t>הנאשם בעצמו וב"כ עו"ד שי רודה</w:t>
      </w:r>
    </w:p>
    <w:p w14:paraId="5241E49F" w14:textId="77777777" w:rsidR="00C47200" w:rsidRPr="00003007" w:rsidRDefault="00C47200">
      <w:pPr>
        <w:pStyle w:val="12"/>
        <w:rPr>
          <w:b w:val="0"/>
          <w:bCs w:val="0"/>
          <w:u w:val="none"/>
          <w:rtl/>
        </w:rPr>
      </w:pPr>
    </w:p>
    <w:p w14:paraId="44EC81D3" w14:textId="77777777" w:rsidR="00E56FC1" w:rsidRPr="00E56FC1" w:rsidRDefault="00E56FC1" w:rsidP="00E56FC1">
      <w:pPr>
        <w:pStyle w:val="12"/>
        <w:spacing w:after="120" w:line="240" w:lineRule="exact"/>
        <w:ind w:left="283" w:hanging="283"/>
        <w:jc w:val="both"/>
        <w:rPr>
          <w:rFonts w:ascii="FrankRuehl" w:hAnsi="FrankRuehl" w:cs="FrankRuehl"/>
          <w:b w:val="0"/>
          <w:bCs w:val="0"/>
          <w:u w:val="none"/>
          <w:rtl/>
        </w:rPr>
      </w:pPr>
      <w:bookmarkStart w:id="3" w:name="LawTable"/>
      <w:r w:rsidRPr="00E56FC1">
        <w:rPr>
          <w:rFonts w:ascii="FrankRuehl" w:hAnsi="FrankRuehl" w:cs="FrankRuehl"/>
          <w:b w:val="0"/>
          <w:bCs w:val="0"/>
          <w:u w:val="none"/>
          <w:rtl/>
        </w:rPr>
        <w:t xml:space="preserve">חקיקה שאוזכרה: </w:t>
      </w:r>
    </w:p>
    <w:p w14:paraId="403D623B" w14:textId="77777777" w:rsidR="00E56FC1" w:rsidRPr="00E56FC1" w:rsidRDefault="00E56FC1" w:rsidP="00E56FC1">
      <w:pPr>
        <w:pStyle w:val="12"/>
        <w:spacing w:after="120" w:line="240" w:lineRule="exact"/>
        <w:ind w:left="283" w:hanging="283"/>
        <w:jc w:val="both"/>
        <w:rPr>
          <w:rFonts w:ascii="FrankRuehl" w:hAnsi="FrankRuehl" w:cs="FrankRuehl"/>
          <w:b w:val="0"/>
          <w:bCs w:val="0"/>
          <w:u w:val="none"/>
          <w:rtl/>
        </w:rPr>
      </w:pPr>
      <w:hyperlink r:id="rId7" w:history="1">
        <w:r w:rsidRPr="00E56FC1">
          <w:rPr>
            <w:rFonts w:ascii="FrankRuehl" w:hAnsi="FrankRuehl" w:cs="FrankRuehl"/>
            <w:b w:val="0"/>
            <w:bCs w:val="0"/>
            <w:color w:val="0000FF"/>
            <w:rtl/>
          </w:rPr>
          <w:t>פקודת הסמים המסוכנים [נוסח חדש], תשל"ג-1973</w:t>
        </w:r>
      </w:hyperlink>
      <w:r w:rsidRPr="00E56FC1">
        <w:rPr>
          <w:rFonts w:ascii="FrankRuehl" w:hAnsi="FrankRuehl" w:cs="FrankRuehl"/>
          <w:b w:val="0"/>
          <w:bCs w:val="0"/>
          <w:u w:val="none"/>
          <w:rtl/>
        </w:rPr>
        <w:t xml:space="preserve">: סע'  </w:t>
      </w:r>
      <w:hyperlink r:id="rId8" w:history="1">
        <w:r w:rsidRPr="00E56FC1">
          <w:rPr>
            <w:rFonts w:ascii="FrankRuehl" w:hAnsi="FrankRuehl" w:cs="FrankRuehl"/>
            <w:b w:val="0"/>
            <w:bCs w:val="0"/>
            <w:color w:val="0000FF"/>
            <w:rtl/>
          </w:rPr>
          <w:t>7 (א)</w:t>
        </w:r>
      </w:hyperlink>
      <w:r w:rsidRPr="00E56FC1">
        <w:rPr>
          <w:rFonts w:ascii="FrankRuehl" w:hAnsi="FrankRuehl" w:cs="FrankRuehl"/>
          <w:b w:val="0"/>
          <w:bCs w:val="0"/>
          <w:u w:val="none"/>
          <w:rtl/>
        </w:rPr>
        <w:t xml:space="preserve">, </w:t>
      </w:r>
      <w:hyperlink r:id="rId9" w:history="1">
        <w:r w:rsidRPr="00E56FC1">
          <w:rPr>
            <w:rFonts w:ascii="FrankRuehl" w:hAnsi="FrankRuehl" w:cs="FrankRuehl"/>
            <w:b w:val="0"/>
            <w:bCs w:val="0"/>
            <w:color w:val="0000FF"/>
            <w:rtl/>
          </w:rPr>
          <w:t>7 (ג)</w:t>
        </w:r>
      </w:hyperlink>
      <w:r w:rsidRPr="00E56FC1">
        <w:rPr>
          <w:rFonts w:ascii="FrankRuehl" w:hAnsi="FrankRuehl" w:cs="FrankRuehl"/>
          <w:b w:val="0"/>
          <w:bCs w:val="0"/>
          <w:u w:val="none"/>
          <w:rtl/>
        </w:rPr>
        <w:t xml:space="preserve">, </w:t>
      </w:r>
      <w:hyperlink r:id="rId10" w:history="1">
        <w:r w:rsidRPr="00E56FC1">
          <w:rPr>
            <w:rFonts w:ascii="FrankRuehl" w:hAnsi="FrankRuehl" w:cs="FrankRuehl"/>
            <w:b w:val="0"/>
            <w:bCs w:val="0"/>
            <w:color w:val="0000FF"/>
            <w:rtl/>
          </w:rPr>
          <w:t>14</w:t>
        </w:r>
      </w:hyperlink>
    </w:p>
    <w:p w14:paraId="0DEE3E77" w14:textId="77777777" w:rsidR="00E56FC1" w:rsidRPr="00E56FC1" w:rsidRDefault="00E56FC1" w:rsidP="00E56FC1">
      <w:pPr>
        <w:pStyle w:val="12"/>
        <w:spacing w:after="120" w:line="240" w:lineRule="exact"/>
        <w:ind w:left="283" w:hanging="283"/>
        <w:jc w:val="both"/>
        <w:rPr>
          <w:rFonts w:ascii="FrankRuehl" w:hAnsi="FrankRuehl" w:cs="FrankRuehl"/>
          <w:b w:val="0"/>
          <w:bCs w:val="0"/>
          <w:u w:val="none"/>
          <w:rtl/>
        </w:rPr>
      </w:pPr>
      <w:hyperlink r:id="rId11" w:history="1">
        <w:r w:rsidRPr="00E56FC1">
          <w:rPr>
            <w:rFonts w:ascii="FrankRuehl" w:hAnsi="FrankRuehl" w:cs="FrankRuehl"/>
            <w:b w:val="0"/>
            <w:bCs w:val="0"/>
            <w:color w:val="0000FF"/>
            <w:rtl/>
          </w:rPr>
          <w:t>חוק העונשין, תשל"ז-1977</w:t>
        </w:r>
      </w:hyperlink>
      <w:r w:rsidRPr="00E56FC1">
        <w:rPr>
          <w:rFonts w:ascii="FrankRuehl" w:hAnsi="FrankRuehl" w:cs="FrankRuehl"/>
          <w:b w:val="0"/>
          <w:bCs w:val="0"/>
          <w:u w:val="none"/>
          <w:rtl/>
        </w:rPr>
        <w:t xml:space="preserve">: סע'  </w:t>
      </w:r>
      <w:hyperlink r:id="rId12" w:history="1">
        <w:r w:rsidRPr="00E56FC1">
          <w:rPr>
            <w:rFonts w:ascii="FrankRuehl" w:hAnsi="FrankRuehl" w:cs="FrankRuehl"/>
            <w:b w:val="0"/>
            <w:bCs w:val="0"/>
            <w:color w:val="0000FF"/>
            <w:rtl/>
          </w:rPr>
          <w:t>244</w:t>
        </w:r>
      </w:hyperlink>
    </w:p>
    <w:p w14:paraId="07DF0438" w14:textId="77777777" w:rsidR="00E56FC1" w:rsidRDefault="00E56FC1">
      <w:pPr>
        <w:pStyle w:val="12"/>
        <w:rPr>
          <w:b w:val="0"/>
          <w:bCs w:val="0"/>
          <w:sz w:val="6"/>
          <w:szCs w:val="6"/>
          <w:u w:val="none"/>
          <w:rtl/>
        </w:rPr>
      </w:pPr>
      <w:bookmarkStart w:id="4" w:name="LawTable_End"/>
    </w:p>
    <w:p w14:paraId="11B19989" w14:textId="77777777" w:rsidR="00E56FC1" w:rsidRDefault="00E56FC1">
      <w:pPr>
        <w:pStyle w:val="12"/>
        <w:rPr>
          <w:b w:val="0"/>
          <w:bCs w:val="0"/>
          <w:sz w:val="6"/>
          <w:szCs w:val="6"/>
          <w:u w:val="none"/>
          <w:rtl/>
        </w:rPr>
      </w:pPr>
    </w:p>
    <w:bookmarkEnd w:id="4"/>
    <w:p w14:paraId="655BD14B" w14:textId="77777777" w:rsidR="00E56FC1" w:rsidRPr="00E56FC1" w:rsidRDefault="00E56FC1">
      <w:pPr>
        <w:pStyle w:val="12"/>
        <w:rPr>
          <w:b w:val="0"/>
          <w:bCs w:val="0"/>
          <w:sz w:val="6"/>
          <w:szCs w:val="6"/>
          <w:u w:val="none"/>
          <w:rtl/>
        </w:rPr>
      </w:pPr>
    </w:p>
    <w:p w14:paraId="0E7910C0" w14:textId="77777777" w:rsidR="00E56FC1" w:rsidRPr="00E56FC1" w:rsidRDefault="00E56FC1">
      <w:pPr>
        <w:pStyle w:val="12"/>
        <w:rPr>
          <w:b w:val="0"/>
          <w:bCs w:val="0"/>
          <w:sz w:val="6"/>
          <w:szCs w:val="6"/>
          <w:u w:val="none"/>
          <w:rtl/>
        </w:rPr>
      </w:pPr>
    </w:p>
    <w:p w14:paraId="55845BCF" w14:textId="77777777" w:rsidR="00484F5C" w:rsidRDefault="00484F5C" w:rsidP="00003007">
      <w:pPr>
        <w:jc w:val="center"/>
        <w:rPr>
          <w:rFonts w:ascii="Arial" w:hAnsi="Arial" w:hint="cs"/>
          <w:b/>
          <w:bCs/>
          <w:sz w:val="28"/>
          <w:szCs w:val="28"/>
          <w:u w:val="single"/>
          <w:rtl/>
        </w:rPr>
      </w:pPr>
      <w:bookmarkStart w:id="5" w:name="PsakDin"/>
      <w:bookmarkEnd w:id="0"/>
      <w:bookmarkEnd w:id="3"/>
    </w:p>
    <w:p w14:paraId="51C2E7AB"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6" w:name="ABSTRACT_START"/>
      <w:bookmarkEnd w:id="6"/>
      <w:r w:rsidRPr="00484F5C">
        <w:rPr>
          <w:rFonts w:ascii="Times New Roman" w:hAnsi="Times New Roman" w:cs="FrankRuehl" w:hint="cs"/>
          <w:szCs w:val="26"/>
          <w:rtl/>
        </w:rPr>
        <w:t>מיני-רציו:</w:t>
      </w:r>
    </w:p>
    <w:p w14:paraId="3D3E724C"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 עבירות הסמים הן רעה שיש להלחם בה בכל האמצעים, וכשמדובר בנאשם שמעורבותו בעבירות אינה זניחה וכמות הסם בה היה מעורב היא גדולה, הרי שיתר השיקולים ובהם העדר עבר פלילי והאמור בתסקיר שירות המבחן ובמסמכים שהוצגו מטעם הנאשם, נסוגים מפני האינטרס הציבורי, ואין בהם כדי להחיל על הנאשם את החריג להרשעה.</w:t>
      </w:r>
    </w:p>
    <w:p w14:paraId="1FB3AC05"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 xml:space="preserve">* </w:t>
      </w:r>
      <w:r w:rsidRPr="00484F5C">
        <w:rPr>
          <w:rFonts w:ascii="Times New Roman" w:hAnsi="Times New Roman" w:cs="FrankRuehl"/>
          <w:szCs w:val="26"/>
          <w:rtl/>
        </w:rPr>
        <w:t>עונשין – ענישה – הימנעות מהרשעה</w:t>
      </w:r>
    </w:p>
    <w:p w14:paraId="4ADB108F"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 xml:space="preserve">* </w:t>
      </w:r>
      <w:r w:rsidRPr="00484F5C">
        <w:rPr>
          <w:rFonts w:ascii="Times New Roman" w:hAnsi="Times New Roman" w:cs="FrankRuehl"/>
          <w:szCs w:val="26"/>
          <w:rtl/>
        </w:rPr>
        <w:t>עונשין – ענישה – מדיניות ענישה: אי הרשעה</w:t>
      </w:r>
    </w:p>
    <w:p w14:paraId="5117287F"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 xml:space="preserve">* </w:t>
      </w:r>
      <w:r w:rsidRPr="00484F5C">
        <w:rPr>
          <w:rFonts w:ascii="Times New Roman" w:hAnsi="Times New Roman" w:cs="FrankRuehl"/>
          <w:szCs w:val="26"/>
          <w:rtl/>
        </w:rPr>
        <w:t>עונשין – ענישה – מדיניות ענישה: עבירות סמים</w:t>
      </w:r>
    </w:p>
    <w:p w14:paraId="00797538"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E929A18"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הנאשם הורשע על פי הודאתו בשני כתבי אישום, האחד עניינו עבירות של תיווך בסם מסוכן ושיבוש מהלכי משפט, אליו צירף הנאשם תיק שעניינו החזקת סם לצריכה עצמית.</w:t>
      </w:r>
    </w:p>
    <w:p w14:paraId="692E5FC3"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31CA75D"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Pr>
      </w:pPr>
      <w:r w:rsidRPr="00484F5C">
        <w:rPr>
          <w:rFonts w:ascii="Times New Roman" w:hAnsi="Times New Roman" w:cs="FrankRuehl" w:hint="cs"/>
          <w:szCs w:val="26"/>
          <w:rtl/>
        </w:rPr>
        <w:lastRenderedPageBreak/>
        <w:t>בית המשפט גזר את דינו של הנאשם, בקובעו כדלקמן:</w:t>
      </w:r>
    </w:p>
    <w:p w14:paraId="6D4D675C"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תחילה יש לבחון האם זהו המקרה בו יבטל בית המשפט את ההרשעה. נקודת המוצא בענישה היא שמי שמבצע עבירה יש להרשיעו בדין, שכן הרשעה משקפת מסר לציבור ותורמת לתחושת עשיית הצדק ושוויוניות בין נאשמים. עוד נקבע בפסיקה, כי כשמדובר בעבירות סמים יש להעדיף שיקולי הרתעה ואת טובת כלל הציבור על פני נסיבותיו האישיות של הנאשם.</w:t>
      </w:r>
    </w:p>
    <w:p w14:paraId="4D8326B0"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szCs w:val="26"/>
          <w:rtl/>
        </w:rPr>
      </w:pPr>
      <w:r w:rsidRPr="00484F5C">
        <w:rPr>
          <w:rFonts w:ascii="Times New Roman" w:hAnsi="Times New Roman" w:cs="FrankRuehl" w:hint="cs"/>
          <w:szCs w:val="26"/>
          <w:rtl/>
        </w:rPr>
        <w:t>במקרה דנן, ביצע הנאשם עבירות הקשורות בסמים בזו אחר זו, כשבכל פעם דובר על סם אחר, כאשר נסיבות עבירת התיווך מלמדות שהנאשם היה כתובת "להזמנת" סמים בכמויות לא מבוטלות, ובתוך זמן קצר. נסיבות אלה של החזקת סם, תווך בסם ושיבוש מהלכי משפט מבטאות חומרה של ממש במעשיו של הנאשם, באופן שמטה את הכף לטובת האינטרס הציבורי שבהרשעתו.</w:t>
      </w:r>
    </w:p>
    <w:p w14:paraId="3B7007ED"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szCs w:val="26"/>
          <w:rtl/>
        </w:rPr>
      </w:pPr>
      <w:r w:rsidRPr="00484F5C">
        <w:rPr>
          <w:rFonts w:ascii="Times New Roman" w:hAnsi="Times New Roman" w:cs="FrankRuehl" w:hint="cs"/>
          <w:szCs w:val="26"/>
          <w:rtl/>
        </w:rPr>
        <w:t>עבירות הסמים הן רעה שיש להלחם בה בכל האמצעים, וכשמדובר בנאשם שמעורבותו בעבירות אינה זניחה וכמות הסם בה היה מעורב היא גדולה, הרי שיתר השיקולים ובהם העדר עבר פלילי והאמור בתסקיר שירות המבחן ובמסמכים שהוצגו מטעם הנאשם, נסוגים מפני האינטרס הציבורי, ואין בהם כדי להחיל על הנאשם את החריג להרשעה.</w:t>
      </w:r>
    </w:p>
    <w:p w14:paraId="53ECEEB5" w14:textId="77777777" w:rsidR="00484F5C" w:rsidRPr="00484F5C" w:rsidRDefault="00484F5C" w:rsidP="00484F5C">
      <w:pPr>
        <w:pBdr>
          <w:top w:val="single" w:sz="4" w:space="1" w:color="auto"/>
          <w:bottom w:val="single" w:sz="4" w:space="1" w:color="auto"/>
        </w:pBdr>
        <w:spacing w:after="120" w:line="320" w:lineRule="exact"/>
        <w:jc w:val="both"/>
        <w:rPr>
          <w:rFonts w:ascii="Times New Roman" w:hAnsi="Times New Roman" w:cs="FrankRuehl" w:hint="cs"/>
          <w:szCs w:val="26"/>
          <w:rtl/>
        </w:rPr>
      </w:pPr>
      <w:r w:rsidRPr="00484F5C">
        <w:rPr>
          <w:rFonts w:ascii="Times New Roman" w:hAnsi="Times New Roman" w:cs="FrankRuehl" w:hint="cs"/>
          <w:szCs w:val="26"/>
          <w:rtl/>
        </w:rPr>
        <w:t>ביהמ"ש שקל  מצד אחד את הענישה הנדרשת בגין העבירות שאין להקל ראש בחומרתן, ומנגד את הנימוקים הנזקפים לזכותו של הנאשם, והטיל על הנאשם 6 חודשי מאסר אשר ירוצו בעבודות שירות, לצד מאסר על תנאי, פסילת רישיון נהיגה וקנס.</w:t>
      </w:r>
    </w:p>
    <w:p w14:paraId="438E66E7" w14:textId="77777777" w:rsidR="00484F5C" w:rsidRDefault="00484F5C" w:rsidP="00003007">
      <w:pPr>
        <w:jc w:val="center"/>
        <w:rPr>
          <w:rFonts w:ascii="Arial" w:hAnsi="Arial" w:hint="cs"/>
          <w:b/>
          <w:bCs/>
          <w:sz w:val="28"/>
          <w:szCs w:val="28"/>
          <w:u w:val="single"/>
          <w:rtl/>
        </w:rPr>
      </w:pPr>
      <w:bookmarkStart w:id="7" w:name="ABSTRACT_END"/>
      <w:bookmarkEnd w:id="7"/>
    </w:p>
    <w:p w14:paraId="490E7AE4" w14:textId="77777777" w:rsidR="00484F5C" w:rsidRDefault="00484F5C" w:rsidP="00003007">
      <w:pPr>
        <w:jc w:val="center"/>
        <w:rPr>
          <w:rFonts w:ascii="Arial" w:hAnsi="Arial" w:hint="cs"/>
          <w:b/>
          <w:bCs/>
          <w:sz w:val="28"/>
          <w:szCs w:val="28"/>
          <w:u w:val="single"/>
          <w:rtl/>
        </w:rPr>
      </w:pPr>
    </w:p>
    <w:p w14:paraId="4B8D67E6" w14:textId="77777777" w:rsidR="00003007" w:rsidRPr="00003007" w:rsidRDefault="00003007" w:rsidP="00003007">
      <w:pPr>
        <w:jc w:val="center"/>
        <w:rPr>
          <w:rFonts w:ascii="Arial" w:hAnsi="Arial"/>
          <w:b/>
          <w:bCs/>
          <w:sz w:val="28"/>
          <w:szCs w:val="28"/>
          <w:u w:val="single"/>
          <w:rtl/>
        </w:rPr>
      </w:pPr>
      <w:r w:rsidRPr="00003007">
        <w:rPr>
          <w:rFonts w:ascii="Arial" w:hAnsi="Arial"/>
          <w:b/>
          <w:bCs/>
          <w:sz w:val="28"/>
          <w:szCs w:val="28"/>
          <w:u w:val="single"/>
          <w:rtl/>
        </w:rPr>
        <w:t>גזר דין</w:t>
      </w:r>
    </w:p>
    <w:bookmarkEnd w:id="5"/>
    <w:p w14:paraId="0AD7D20D" w14:textId="77777777" w:rsidR="00C47200" w:rsidRDefault="00C47200">
      <w:pPr>
        <w:rPr>
          <w:rFonts w:ascii="Arial" w:hAnsi="Arial"/>
          <w:sz w:val="28"/>
          <w:szCs w:val="28"/>
        </w:rPr>
      </w:pPr>
    </w:p>
    <w:p w14:paraId="14A1FAFE" w14:textId="77777777" w:rsidR="00C47200" w:rsidRDefault="00003007">
      <w:pPr>
        <w:pStyle w:val="ListParagraph"/>
        <w:spacing w:line="360" w:lineRule="auto"/>
        <w:ind w:left="360"/>
        <w:jc w:val="both"/>
        <w:rPr>
          <w:rFonts w:cs="David"/>
          <w:sz w:val="28"/>
          <w:szCs w:val="28"/>
        </w:rPr>
      </w:pPr>
      <w:r>
        <w:rPr>
          <w:rFonts w:cs="David" w:hint="cs"/>
          <w:sz w:val="28"/>
          <w:szCs w:val="28"/>
          <w:rtl/>
        </w:rPr>
        <w:t xml:space="preserve">הנאשם הורשע על פי הודאתו בשני כתבי אישום, האחד עניינו עבירות של תיווך בסם מסוכן לפי </w:t>
      </w:r>
      <w:hyperlink r:id="rId13" w:history="1">
        <w:r w:rsidR="00BA0B8F" w:rsidRPr="00BA0B8F">
          <w:rPr>
            <w:rFonts w:cs="David" w:hint="eastAsia"/>
            <w:color w:val="0000FF"/>
            <w:sz w:val="28"/>
            <w:szCs w:val="28"/>
            <w:u w:val="single"/>
            <w:rtl/>
          </w:rPr>
          <w:t>סעיף</w:t>
        </w:r>
        <w:r w:rsidR="00BA0B8F" w:rsidRPr="00BA0B8F">
          <w:rPr>
            <w:rFonts w:cs="David"/>
            <w:color w:val="0000FF"/>
            <w:sz w:val="28"/>
            <w:szCs w:val="28"/>
            <w:u w:val="single"/>
            <w:rtl/>
          </w:rPr>
          <w:t xml:space="preserve"> 14</w:t>
        </w:r>
      </w:hyperlink>
      <w:r>
        <w:rPr>
          <w:rFonts w:cs="David" w:hint="cs"/>
          <w:sz w:val="28"/>
          <w:szCs w:val="28"/>
          <w:rtl/>
        </w:rPr>
        <w:t xml:space="preserve"> ל</w:t>
      </w:r>
      <w:hyperlink r:id="rId14" w:history="1">
        <w:r w:rsidRPr="00003007">
          <w:rPr>
            <w:rFonts w:cs="David" w:hint="eastAsia"/>
            <w:color w:val="0000FF"/>
            <w:sz w:val="28"/>
            <w:szCs w:val="28"/>
            <w:u w:val="single"/>
            <w:rtl/>
          </w:rPr>
          <w:t>פקודת</w:t>
        </w:r>
        <w:r w:rsidRPr="00003007">
          <w:rPr>
            <w:rFonts w:cs="David"/>
            <w:color w:val="0000FF"/>
            <w:sz w:val="28"/>
            <w:szCs w:val="28"/>
            <w:u w:val="single"/>
            <w:rtl/>
          </w:rPr>
          <w:t xml:space="preserve"> </w:t>
        </w:r>
        <w:r w:rsidRPr="00003007">
          <w:rPr>
            <w:rFonts w:cs="David" w:hint="eastAsia"/>
            <w:color w:val="0000FF"/>
            <w:sz w:val="28"/>
            <w:szCs w:val="28"/>
            <w:u w:val="single"/>
            <w:rtl/>
          </w:rPr>
          <w:t>הסמים</w:t>
        </w:r>
        <w:r w:rsidRPr="00003007">
          <w:rPr>
            <w:rFonts w:cs="David"/>
            <w:color w:val="0000FF"/>
            <w:sz w:val="28"/>
            <w:szCs w:val="28"/>
            <w:u w:val="single"/>
            <w:rtl/>
          </w:rPr>
          <w:t xml:space="preserve"> </w:t>
        </w:r>
        <w:r w:rsidRPr="00003007">
          <w:rPr>
            <w:rFonts w:cs="David" w:hint="eastAsia"/>
            <w:color w:val="0000FF"/>
            <w:sz w:val="28"/>
            <w:szCs w:val="28"/>
            <w:u w:val="single"/>
            <w:rtl/>
          </w:rPr>
          <w:t>המסוכנים</w:t>
        </w:r>
      </w:hyperlink>
      <w:r>
        <w:rPr>
          <w:rFonts w:cs="David" w:hint="cs"/>
          <w:sz w:val="28"/>
          <w:szCs w:val="28"/>
          <w:rtl/>
        </w:rPr>
        <w:t xml:space="preserve"> ושיבוש מהלכי משפט לפי </w:t>
      </w:r>
      <w:hyperlink r:id="rId15" w:history="1">
        <w:r w:rsidR="00BA0B8F" w:rsidRPr="00BA0B8F">
          <w:rPr>
            <w:rFonts w:cs="David" w:hint="eastAsia"/>
            <w:color w:val="0000FF"/>
            <w:sz w:val="28"/>
            <w:szCs w:val="28"/>
            <w:u w:val="single"/>
            <w:rtl/>
          </w:rPr>
          <w:t>סעיף</w:t>
        </w:r>
        <w:r w:rsidR="00BA0B8F" w:rsidRPr="00BA0B8F">
          <w:rPr>
            <w:rFonts w:cs="David"/>
            <w:color w:val="0000FF"/>
            <w:sz w:val="28"/>
            <w:szCs w:val="28"/>
            <w:u w:val="single"/>
            <w:rtl/>
          </w:rPr>
          <w:t xml:space="preserve">  244</w:t>
        </w:r>
      </w:hyperlink>
      <w:r>
        <w:rPr>
          <w:rFonts w:cs="David" w:hint="cs"/>
          <w:sz w:val="28"/>
          <w:szCs w:val="28"/>
          <w:rtl/>
        </w:rPr>
        <w:t xml:space="preserve"> ל</w:t>
      </w:r>
      <w:hyperlink r:id="rId16" w:history="1">
        <w:r w:rsidRPr="00003007">
          <w:rPr>
            <w:rFonts w:cs="David" w:hint="eastAsia"/>
            <w:color w:val="0000FF"/>
            <w:sz w:val="28"/>
            <w:szCs w:val="28"/>
            <w:u w:val="single"/>
            <w:rtl/>
          </w:rPr>
          <w:t>חוק</w:t>
        </w:r>
        <w:r w:rsidRPr="00003007">
          <w:rPr>
            <w:rFonts w:cs="David"/>
            <w:color w:val="0000FF"/>
            <w:sz w:val="28"/>
            <w:szCs w:val="28"/>
            <w:u w:val="single"/>
            <w:rtl/>
          </w:rPr>
          <w:t xml:space="preserve"> </w:t>
        </w:r>
        <w:r w:rsidRPr="00003007">
          <w:rPr>
            <w:rFonts w:cs="David" w:hint="eastAsia"/>
            <w:color w:val="0000FF"/>
            <w:sz w:val="28"/>
            <w:szCs w:val="28"/>
            <w:u w:val="single"/>
            <w:rtl/>
          </w:rPr>
          <w:t>העונשין</w:t>
        </w:r>
      </w:hyperlink>
      <w:r>
        <w:rPr>
          <w:rFonts w:cs="David" w:hint="cs"/>
          <w:sz w:val="28"/>
          <w:szCs w:val="28"/>
          <w:rtl/>
        </w:rPr>
        <w:t xml:space="preserve">, אליו צירף הנאשם תיק שעניינו החזקת סם לצריכה עצמית, עבירה לפי </w:t>
      </w:r>
      <w:hyperlink r:id="rId17" w:history="1">
        <w:r w:rsidR="00BA0B8F" w:rsidRPr="00BA0B8F">
          <w:rPr>
            <w:rFonts w:cs="David" w:hint="eastAsia"/>
            <w:color w:val="0000FF"/>
            <w:sz w:val="28"/>
            <w:szCs w:val="28"/>
            <w:u w:val="single"/>
            <w:rtl/>
          </w:rPr>
          <w:t>סעיף</w:t>
        </w:r>
        <w:r w:rsidR="00BA0B8F" w:rsidRPr="00BA0B8F">
          <w:rPr>
            <w:rFonts w:cs="David"/>
            <w:color w:val="0000FF"/>
            <w:sz w:val="28"/>
            <w:szCs w:val="28"/>
            <w:u w:val="single"/>
            <w:rtl/>
          </w:rPr>
          <w:t xml:space="preserve"> 7 (</w:t>
        </w:r>
        <w:r w:rsidR="00BA0B8F" w:rsidRPr="00BA0B8F">
          <w:rPr>
            <w:rFonts w:cs="David" w:hint="eastAsia"/>
            <w:color w:val="0000FF"/>
            <w:sz w:val="28"/>
            <w:szCs w:val="28"/>
            <w:u w:val="single"/>
            <w:rtl/>
          </w:rPr>
          <w:t>א</w:t>
        </w:r>
        <w:r w:rsidR="00BA0B8F" w:rsidRPr="00BA0B8F">
          <w:rPr>
            <w:rFonts w:cs="David"/>
            <w:color w:val="0000FF"/>
            <w:sz w:val="28"/>
            <w:szCs w:val="28"/>
            <w:u w:val="single"/>
            <w:rtl/>
          </w:rPr>
          <w:t>)</w:t>
        </w:r>
      </w:hyperlink>
      <w:r>
        <w:rPr>
          <w:rFonts w:cs="David" w:hint="cs"/>
          <w:sz w:val="28"/>
          <w:szCs w:val="28"/>
          <w:rtl/>
        </w:rPr>
        <w:t xml:space="preserve"> + </w:t>
      </w:r>
      <w:hyperlink r:id="rId18" w:history="1">
        <w:r w:rsidR="00E56FC1" w:rsidRPr="00E56FC1">
          <w:rPr>
            <w:rFonts w:cs="David"/>
            <w:color w:val="0000FF"/>
            <w:sz w:val="28"/>
            <w:szCs w:val="28"/>
            <w:u w:val="single"/>
            <w:rtl/>
          </w:rPr>
          <w:t>7 (</w:t>
        </w:r>
        <w:r w:rsidR="00E56FC1" w:rsidRPr="00E56FC1">
          <w:rPr>
            <w:rFonts w:cs="David" w:hint="eastAsia"/>
            <w:color w:val="0000FF"/>
            <w:sz w:val="28"/>
            <w:szCs w:val="28"/>
            <w:u w:val="single"/>
            <w:rtl/>
          </w:rPr>
          <w:t>ג</w:t>
        </w:r>
        <w:r w:rsidR="00E56FC1" w:rsidRPr="00E56FC1">
          <w:rPr>
            <w:rFonts w:cs="David"/>
            <w:color w:val="0000FF"/>
            <w:sz w:val="28"/>
            <w:szCs w:val="28"/>
            <w:u w:val="single"/>
            <w:rtl/>
          </w:rPr>
          <w:t>)</w:t>
        </w:r>
      </w:hyperlink>
      <w:r>
        <w:rPr>
          <w:rFonts w:cs="David" w:hint="cs"/>
          <w:sz w:val="28"/>
          <w:szCs w:val="28"/>
          <w:rtl/>
        </w:rPr>
        <w:t xml:space="preserve"> סיפא </w:t>
      </w:r>
      <w:hyperlink r:id="rId19" w:history="1">
        <w:r w:rsidR="00E56FC1" w:rsidRPr="00E56FC1">
          <w:rPr>
            <w:rFonts w:cs="David" w:hint="eastAsia"/>
            <w:color w:val="0000FF"/>
            <w:sz w:val="28"/>
            <w:szCs w:val="28"/>
            <w:u w:val="single"/>
            <w:rtl/>
          </w:rPr>
          <w:t>לפקודת</w:t>
        </w:r>
        <w:r w:rsidR="00E56FC1" w:rsidRPr="00E56FC1">
          <w:rPr>
            <w:rFonts w:cs="David"/>
            <w:color w:val="0000FF"/>
            <w:sz w:val="28"/>
            <w:szCs w:val="28"/>
            <w:u w:val="single"/>
            <w:rtl/>
          </w:rPr>
          <w:t xml:space="preserve"> </w:t>
        </w:r>
        <w:r w:rsidR="00E56FC1" w:rsidRPr="00E56FC1">
          <w:rPr>
            <w:rFonts w:cs="David" w:hint="eastAsia"/>
            <w:color w:val="0000FF"/>
            <w:sz w:val="28"/>
            <w:szCs w:val="28"/>
            <w:u w:val="single"/>
            <w:rtl/>
          </w:rPr>
          <w:t>הסמים</w:t>
        </w:r>
        <w:r w:rsidR="00E56FC1" w:rsidRPr="00E56FC1">
          <w:rPr>
            <w:rFonts w:cs="David"/>
            <w:color w:val="0000FF"/>
            <w:sz w:val="28"/>
            <w:szCs w:val="28"/>
            <w:u w:val="single"/>
            <w:rtl/>
          </w:rPr>
          <w:t xml:space="preserve"> </w:t>
        </w:r>
        <w:r w:rsidR="00E56FC1" w:rsidRPr="00E56FC1">
          <w:rPr>
            <w:rFonts w:cs="David" w:hint="eastAsia"/>
            <w:color w:val="0000FF"/>
            <w:sz w:val="28"/>
            <w:szCs w:val="28"/>
            <w:u w:val="single"/>
            <w:rtl/>
          </w:rPr>
          <w:t>המסוכנים</w:t>
        </w:r>
        <w:r w:rsidR="00E56FC1" w:rsidRPr="00E56FC1">
          <w:rPr>
            <w:rFonts w:cs="David"/>
            <w:color w:val="0000FF"/>
            <w:sz w:val="28"/>
            <w:szCs w:val="28"/>
            <w:u w:val="single"/>
            <w:rtl/>
          </w:rPr>
          <w:t>.</w:t>
        </w:r>
        <w:r w:rsidR="00E56FC1" w:rsidRPr="00E56FC1">
          <w:rPr>
            <w:rFonts w:cs="David"/>
            <w:color w:val="0000FF"/>
            <w:sz w:val="28"/>
            <w:szCs w:val="28"/>
            <w:u w:val="single"/>
            <w:rtl/>
          </w:rPr>
          <w:cr/>
        </w:r>
      </w:hyperlink>
    </w:p>
    <w:p w14:paraId="25269394" w14:textId="77777777" w:rsidR="00C47200" w:rsidRDefault="00003007">
      <w:pPr>
        <w:pStyle w:val="ListParagraph"/>
        <w:numPr>
          <w:ilvl w:val="0"/>
          <w:numId w:val="1"/>
        </w:numPr>
        <w:spacing w:line="360" w:lineRule="auto"/>
        <w:jc w:val="both"/>
        <w:rPr>
          <w:rFonts w:cs="David"/>
          <w:sz w:val="28"/>
          <w:szCs w:val="28"/>
          <w:rtl/>
        </w:rPr>
      </w:pPr>
      <w:r>
        <w:rPr>
          <w:rFonts w:cs="David" w:hint="cs"/>
          <w:sz w:val="28"/>
          <w:szCs w:val="28"/>
          <w:rtl/>
        </w:rPr>
        <w:t xml:space="preserve">מעובדות כתב האישום נשוא הליך זה, עולה כי ביום 21.11.10 נפגש הנאשם עם אדם שביקש לרכוש באמצעותו סם מסוג הידרו במשקל </w:t>
      </w:r>
      <w:smartTag w:uri="urn:schemas-microsoft-com:office:smarttags" w:element="City">
        <w:smartTagPr>
          <w:attr w:name="ProductID" w:val="25 גרם"/>
        </w:smartTagPr>
        <w:r>
          <w:rPr>
            <w:rFonts w:cs="David" w:hint="cs"/>
            <w:sz w:val="28"/>
            <w:szCs w:val="28"/>
            <w:rtl/>
          </w:rPr>
          <w:t>25 גרם</w:t>
        </w:r>
      </w:smartTag>
      <w:r>
        <w:rPr>
          <w:rFonts w:cs="David" w:hint="cs"/>
          <w:sz w:val="28"/>
          <w:szCs w:val="28"/>
          <w:rtl/>
        </w:rPr>
        <w:t>, ולצורך כך נתן לנאשם סך של  1000 ₪ (להלן: "</w:t>
      </w:r>
      <w:r>
        <w:rPr>
          <w:rFonts w:cs="David" w:hint="cs"/>
          <w:b/>
          <w:bCs/>
          <w:sz w:val="28"/>
          <w:szCs w:val="28"/>
          <w:rtl/>
        </w:rPr>
        <w:t>הקונה</w:t>
      </w:r>
      <w:r>
        <w:rPr>
          <w:rFonts w:cs="David" w:hint="cs"/>
          <w:sz w:val="28"/>
          <w:szCs w:val="28"/>
          <w:rtl/>
        </w:rPr>
        <w:t xml:space="preserve">"). </w:t>
      </w:r>
    </w:p>
    <w:p w14:paraId="53F85C2C" w14:textId="77777777" w:rsidR="00C47200" w:rsidRDefault="00003007">
      <w:pPr>
        <w:pStyle w:val="ListParagraph"/>
        <w:spacing w:line="360" w:lineRule="auto"/>
        <w:jc w:val="both"/>
        <w:rPr>
          <w:rFonts w:cs="David"/>
          <w:sz w:val="28"/>
          <w:szCs w:val="28"/>
        </w:rPr>
      </w:pPr>
      <w:r>
        <w:rPr>
          <w:rFonts w:cs="David" w:hint="cs"/>
          <w:sz w:val="28"/>
          <w:szCs w:val="28"/>
          <w:rtl/>
        </w:rPr>
        <w:t xml:space="preserve">יומיים לאחר מכן (23.11.10), נסעו הנאשם והקונה לתחנת דלק באזור כפר יונה, ושם פגשו באדם שזהותו אינה ידועה למשטרה, והוא הכניס לרכבם שקית ובה סם מסוג קנאביס במשקל </w:t>
      </w:r>
      <w:smartTag w:uri="urn:schemas-microsoft-com:office:smarttags" w:element="City">
        <w:smartTagPr>
          <w:attr w:name="ProductID" w:val="300 גרם"/>
        </w:smartTagPr>
        <w:r>
          <w:rPr>
            <w:rFonts w:cs="David" w:hint="cs"/>
            <w:sz w:val="28"/>
            <w:szCs w:val="28"/>
            <w:rtl/>
          </w:rPr>
          <w:t>300 גרם</w:t>
        </w:r>
      </w:smartTag>
      <w:r>
        <w:rPr>
          <w:rFonts w:cs="David" w:hint="cs"/>
          <w:sz w:val="28"/>
          <w:szCs w:val="28"/>
          <w:rtl/>
        </w:rPr>
        <w:t xml:space="preserve"> (להלן: "</w:t>
      </w:r>
      <w:r>
        <w:rPr>
          <w:rFonts w:cs="David" w:hint="cs"/>
          <w:b/>
          <w:bCs/>
          <w:sz w:val="28"/>
          <w:szCs w:val="28"/>
          <w:rtl/>
        </w:rPr>
        <w:t>עבירת התיווך</w:t>
      </w:r>
      <w:r>
        <w:rPr>
          <w:rFonts w:cs="David" w:hint="cs"/>
          <w:sz w:val="28"/>
          <w:szCs w:val="28"/>
          <w:rtl/>
        </w:rPr>
        <w:t>"). בגין מעשים אלה נעצרו הנאשם והקונה, ובעת ששהו יחד בתא המעצר, אמר הנאשם לקונה "</w:t>
      </w:r>
      <w:r>
        <w:rPr>
          <w:rFonts w:cs="David" w:hint="cs"/>
          <w:b/>
          <w:bCs/>
          <w:sz w:val="28"/>
          <w:szCs w:val="28"/>
          <w:rtl/>
        </w:rPr>
        <w:t>תגיד שבאנו לקנות סמים יחד</w:t>
      </w:r>
      <w:r>
        <w:rPr>
          <w:rFonts w:cs="David" w:hint="cs"/>
          <w:sz w:val="28"/>
          <w:szCs w:val="28"/>
          <w:rtl/>
        </w:rPr>
        <w:t>", ופעל כדי לשבש את החקירה (להלן: "</w:t>
      </w:r>
      <w:r>
        <w:rPr>
          <w:rFonts w:cs="David" w:hint="cs"/>
          <w:b/>
          <w:bCs/>
          <w:sz w:val="28"/>
          <w:szCs w:val="28"/>
          <w:rtl/>
        </w:rPr>
        <w:t>עבירת השיבוש</w:t>
      </w:r>
      <w:r>
        <w:rPr>
          <w:rFonts w:cs="David" w:hint="cs"/>
          <w:sz w:val="28"/>
          <w:szCs w:val="28"/>
          <w:rtl/>
        </w:rPr>
        <w:t>").</w:t>
      </w:r>
    </w:p>
    <w:p w14:paraId="79F4E1CB" w14:textId="77777777" w:rsidR="00C47200" w:rsidRDefault="00C47200">
      <w:pPr>
        <w:pStyle w:val="ListParagraph"/>
        <w:spacing w:line="360" w:lineRule="auto"/>
        <w:jc w:val="both"/>
        <w:rPr>
          <w:rFonts w:cs="David"/>
          <w:sz w:val="28"/>
          <w:szCs w:val="28"/>
          <w:rtl/>
        </w:rPr>
      </w:pPr>
    </w:p>
    <w:p w14:paraId="42871278" w14:textId="77777777" w:rsidR="00C47200" w:rsidRDefault="00003007">
      <w:pPr>
        <w:pStyle w:val="ListParagraph"/>
        <w:spacing w:line="360" w:lineRule="auto"/>
        <w:jc w:val="both"/>
        <w:rPr>
          <w:rFonts w:cs="David"/>
          <w:sz w:val="28"/>
          <w:szCs w:val="28"/>
          <w:rtl/>
        </w:rPr>
      </w:pPr>
      <w:r>
        <w:rPr>
          <w:rFonts w:cs="David" w:hint="cs"/>
          <w:sz w:val="28"/>
          <w:szCs w:val="28"/>
          <w:rtl/>
        </w:rPr>
        <w:lastRenderedPageBreak/>
        <w:t>מהעובדות המתוארות בתיק המצורף, עולה כי ביום 7.8.10 נהג הנאשם ברכב כשבבגדיו התחתונים שתי טבליות סם מסוג ל.ס.ד (להלן: "</w:t>
      </w:r>
      <w:r>
        <w:rPr>
          <w:rFonts w:cs="David" w:hint="cs"/>
          <w:b/>
          <w:bCs/>
          <w:sz w:val="28"/>
          <w:szCs w:val="28"/>
          <w:rtl/>
        </w:rPr>
        <w:t>עבירת</w:t>
      </w:r>
      <w:r>
        <w:rPr>
          <w:rFonts w:cs="David" w:hint="cs"/>
          <w:sz w:val="28"/>
          <w:szCs w:val="28"/>
          <w:rtl/>
        </w:rPr>
        <w:t xml:space="preserve"> </w:t>
      </w:r>
      <w:r>
        <w:rPr>
          <w:rFonts w:cs="David" w:hint="cs"/>
          <w:b/>
          <w:bCs/>
          <w:sz w:val="28"/>
          <w:szCs w:val="28"/>
          <w:rtl/>
        </w:rPr>
        <w:t>השימוש העצמי</w:t>
      </w:r>
      <w:r>
        <w:rPr>
          <w:rFonts w:cs="David" w:hint="cs"/>
          <w:sz w:val="28"/>
          <w:szCs w:val="28"/>
          <w:rtl/>
        </w:rPr>
        <w:t xml:space="preserve">"). </w:t>
      </w:r>
    </w:p>
    <w:p w14:paraId="52DC6AD2" w14:textId="77777777" w:rsidR="00C47200" w:rsidRDefault="00003007">
      <w:pPr>
        <w:pStyle w:val="ListParagraph"/>
        <w:spacing w:line="360" w:lineRule="auto"/>
        <w:ind w:left="360"/>
        <w:jc w:val="both"/>
        <w:rPr>
          <w:rFonts w:cs="David"/>
          <w:sz w:val="28"/>
          <w:szCs w:val="28"/>
          <w:rtl/>
        </w:rPr>
      </w:pPr>
      <w:r>
        <w:rPr>
          <w:rFonts w:cs="David" w:hint="cs"/>
          <w:sz w:val="28"/>
          <w:szCs w:val="28"/>
          <w:rtl/>
        </w:rPr>
        <w:tab/>
      </w:r>
    </w:p>
    <w:p w14:paraId="6CFAE356" w14:textId="77777777" w:rsidR="00C47200" w:rsidRDefault="00003007">
      <w:pPr>
        <w:pStyle w:val="ListParagraph"/>
        <w:numPr>
          <w:ilvl w:val="0"/>
          <w:numId w:val="1"/>
        </w:numPr>
        <w:spacing w:line="360" w:lineRule="auto"/>
        <w:jc w:val="both"/>
        <w:rPr>
          <w:rFonts w:cs="David"/>
          <w:sz w:val="28"/>
          <w:szCs w:val="28"/>
          <w:rtl/>
        </w:rPr>
      </w:pPr>
      <w:r>
        <w:rPr>
          <w:rFonts w:cs="David" w:hint="cs"/>
          <w:sz w:val="28"/>
          <w:szCs w:val="28"/>
          <w:rtl/>
        </w:rPr>
        <w:t xml:space="preserve"> לבקשת הנאשם ובטרם הטיעונים לעונש, הוא הופנה לשירות המבחן, והסנגור ביקש לבחון</w:t>
      </w:r>
      <w:r>
        <w:rPr>
          <w:rFonts w:cs="David" w:hint="cs"/>
          <w:sz w:val="28"/>
          <w:szCs w:val="28"/>
        </w:rPr>
        <w:t xml:space="preserve"> </w:t>
      </w:r>
      <w:r>
        <w:rPr>
          <w:rFonts w:cs="David" w:hint="cs"/>
          <w:sz w:val="28"/>
          <w:szCs w:val="28"/>
          <w:rtl/>
        </w:rPr>
        <w:t xml:space="preserve">בין היתר את שאלת ההרשעה. </w:t>
      </w:r>
    </w:p>
    <w:p w14:paraId="6FF04D68" w14:textId="77777777" w:rsidR="00C47200" w:rsidRDefault="00003007">
      <w:pPr>
        <w:spacing w:line="360" w:lineRule="auto"/>
        <w:ind w:left="720"/>
        <w:jc w:val="both"/>
        <w:rPr>
          <w:sz w:val="28"/>
          <w:szCs w:val="28"/>
          <w:rtl/>
        </w:rPr>
      </w:pPr>
      <w:r>
        <w:rPr>
          <w:rFonts w:hint="cs"/>
          <w:sz w:val="28"/>
          <w:szCs w:val="28"/>
          <w:rtl/>
        </w:rPr>
        <w:t>מהתסקיר שהתקבל עולה שהנאשם כבן 23, רווק המתגורר עם משפחתו בגבעת שמואל, עובד כמדריך בהוסטל ואין לו הרשעות קודמות.</w:t>
      </w:r>
    </w:p>
    <w:p w14:paraId="70D66FA9" w14:textId="77777777" w:rsidR="00C47200" w:rsidRDefault="00003007">
      <w:pPr>
        <w:spacing w:line="360" w:lineRule="auto"/>
        <w:ind w:left="720"/>
        <w:jc w:val="both"/>
        <w:rPr>
          <w:sz w:val="28"/>
          <w:szCs w:val="28"/>
          <w:rtl/>
        </w:rPr>
      </w:pPr>
      <w:r>
        <w:rPr>
          <w:rFonts w:hint="cs"/>
          <w:sz w:val="28"/>
          <w:szCs w:val="28"/>
          <w:rtl/>
        </w:rPr>
        <w:t xml:space="preserve">התסקיר מתאר את קורות חייו של הנאשם, מצבו המשפחתי והסיבות שהובילו אותו לבצע את העבירות, וביניהן קשיים חברתיים ומערכת יחסים מורכבת עם הוריו. עוד עולה מהתסקיר, </w:t>
      </w:r>
      <w:r>
        <w:rPr>
          <w:rFonts w:hint="cs"/>
          <w:sz w:val="28"/>
          <w:szCs w:val="28"/>
        </w:rPr>
        <w:t xml:space="preserve"> </w:t>
      </w:r>
      <w:r>
        <w:rPr>
          <w:rFonts w:hint="cs"/>
          <w:sz w:val="28"/>
          <w:szCs w:val="28"/>
          <w:rtl/>
        </w:rPr>
        <w:t>כי הנאשם החל להשתמש בסמים בגיל צעיר, ועוד בהיותו נער נתפס כשברשותו סמים לשימוש עצמי, והוא הועמד</w:t>
      </w:r>
      <w:r>
        <w:rPr>
          <w:rFonts w:hint="cs"/>
          <w:sz w:val="28"/>
          <w:szCs w:val="28"/>
        </w:rPr>
        <w:t xml:space="preserve"> </w:t>
      </w:r>
      <w:r>
        <w:rPr>
          <w:rFonts w:hint="cs"/>
          <w:sz w:val="28"/>
          <w:szCs w:val="28"/>
          <w:rtl/>
        </w:rPr>
        <w:t>בפיקוח שירות המבחן.</w:t>
      </w:r>
    </w:p>
    <w:p w14:paraId="6D86A159" w14:textId="77777777" w:rsidR="00C47200" w:rsidRDefault="00003007">
      <w:pPr>
        <w:spacing w:line="360" w:lineRule="auto"/>
        <w:ind w:left="720"/>
        <w:jc w:val="both"/>
        <w:rPr>
          <w:sz w:val="28"/>
          <w:szCs w:val="28"/>
          <w:rtl/>
        </w:rPr>
      </w:pPr>
      <w:r>
        <w:rPr>
          <w:rFonts w:hint="cs"/>
          <w:sz w:val="28"/>
          <w:szCs w:val="28"/>
          <w:rtl/>
        </w:rPr>
        <w:t>קצינת המבחן תיארה את דפוסי התנהגותו של הנאשם כנורמטיביים, לצד ההכרה שלו</w:t>
      </w:r>
      <w:r>
        <w:rPr>
          <w:rFonts w:hint="cs"/>
          <w:sz w:val="28"/>
          <w:szCs w:val="28"/>
        </w:rPr>
        <w:t xml:space="preserve"> </w:t>
      </w:r>
      <w:r>
        <w:rPr>
          <w:rFonts w:hint="cs"/>
          <w:sz w:val="28"/>
          <w:szCs w:val="28"/>
          <w:rtl/>
        </w:rPr>
        <w:t>בחומרת מעשיו ובתוצאות השליליות שבשימוש בסמים. קצינת המבחן הדגישה את שיתוף הפעולה של הנאשם עם שירות המבחן, את  התמסרותו להליך הטיפולי בו החל לפני כשנה וחצי, ואת המאמצים שהוא משקיע בעבודתו בהוסטל עם אנשים בעלי צרכים מיוחדים, וההערכה שהוא זוכה לה שם על ביצוע תפקידו.</w:t>
      </w:r>
    </w:p>
    <w:p w14:paraId="60E8D661" w14:textId="77777777" w:rsidR="00C47200" w:rsidRDefault="00003007">
      <w:pPr>
        <w:spacing w:line="360" w:lineRule="auto"/>
        <w:ind w:left="720"/>
        <w:jc w:val="both"/>
        <w:rPr>
          <w:sz w:val="28"/>
          <w:szCs w:val="28"/>
          <w:rtl/>
        </w:rPr>
      </w:pPr>
      <w:r>
        <w:rPr>
          <w:rFonts w:hint="cs"/>
          <w:sz w:val="28"/>
          <w:szCs w:val="28"/>
          <w:rtl/>
        </w:rPr>
        <w:t xml:space="preserve">קצינת המבחן ציינה את חששו של הנאשם מפני הרשעתו בדין שעלולה לפגוע </w:t>
      </w:r>
      <w:r>
        <w:rPr>
          <w:rFonts w:hint="cs"/>
          <w:sz w:val="28"/>
          <w:szCs w:val="28"/>
        </w:rPr>
        <w:t xml:space="preserve"> </w:t>
      </w:r>
      <w:r>
        <w:rPr>
          <w:rFonts w:hint="cs"/>
          <w:sz w:val="28"/>
          <w:szCs w:val="28"/>
          <w:rtl/>
        </w:rPr>
        <w:t xml:space="preserve">בעבודתו הנוכחית, בעתידו המקצועי ובאפשרות להשתלב בלימודים אקדמאיים, ובנסיבות אלה המליצה להימנע מהרשעה ולהסתפק בצו פיקוח ושל"צ בהיקף נרחב. </w:t>
      </w:r>
    </w:p>
    <w:p w14:paraId="5F753B9A" w14:textId="77777777" w:rsidR="00C47200" w:rsidRDefault="00C47200">
      <w:pPr>
        <w:spacing w:line="360" w:lineRule="auto"/>
        <w:ind w:left="720"/>
        <w:jc w:val="both"/>
        <w:rPr>
          <w:sz w:val="28"/>
          <w:szCs w:val="28"/>
          <w:rtl/>
        </w:rPr>
      </w:pPr>
    </w:p>
    <w:p w14:paraId="2F7C6028" w14:textId="77777777" w:rsidR="00C47200" w:rsidRDefault="00003007">
      <w:pPr>
        <w:numPr>
          <w:ilvl w:val="0"/>
          <w:numId w:val="1"/>
        </w:numPr>
        <w:spacing w:after="160" w:line="360" w:lineRule="auto"/>
        <w:jc w:val="both"/>
        <w:rPr>
          <w:sz w:val="28"/>
          <w:szCs w:val="28"/>
          <w:rtl/>
        </w:rPr>
      </w:pPr>
      <w:r>
        <w:rPr>
          <w:rFonts w:hint="cs"/>
          <w:sz w:val="28"/>
          <w:szCs w:val="28"/>
          <w:rtl/>
        </w:rPr>
        <w:t xml:space="preserve">ב"כ המאשימה טענה, שלמרות שקיים פער בין סוג הסם והכמות שביקש הקונה לקנות באמצעות הנאשם לבין מה שסופק לו בפועל, ועל אף התמונה החיובית שעולה מהתסקיר, אין הצדקה לבטל את הרשעת הנאשם, וזאת לנוכח  טיבן וחומרתן של העבירות ונסיבות ביצוען. </w:t>
      </w:r>
    </w:p>
    <w:p w14:paraId="5181B6DF" w14:textId="77777777" w:rsidR="00C47200" w:rsidRDefault="00003007">
      <w:pPr>
        <w:pStyle w:val="ListParagraph"/>
        <w:spacing w:line="360" w:lineRule="auto"/>
        <w:jc w:val="both"/>
        <w:rPr>
          <w:rFonts w:cs="David"/>
          <w:sz w:val="28"/>
          <w:szCs w:val="28"/>
        </w:rPr>
      </w:pPr>
      <w:r>
        <w:rPr>
          <w:rFonts w:cs="David" w:hint="cs"/>
          <w:sz w:val="28"/>
          <w:szCs w:val="28"/>
          <w:rtl/>
        </w:rPr>
        <w:t>מנגד טען ב"כ הנאשם, כי זהו מקרה ייחודי בנסיבותיו המצדיק לבטל את ההרשעה, ובין היתר לאור גילו של הנאשם (כבן 20 במועד העבירות)  והעדר עבר פלילי. עוד הוסיף ב"כ הנאשם, כי הותרת ההרשעה על כנה תפגע בהליך שיקומי בו החל הנאשם, בעתידו התעסוקתי ובעבודתו כמדריך לנוער בסיכון, כמו גם בשאיפתו להמשיך בלימודי תואר בחינוך מיוחד.</w:t>
      </w:r>
    </w:p>
    <w:p w14:paraId="785168C4" w14:textId="77777777" w:rsidR="00C47200" w:rsidRDefault="00003007">
      <w:pPr>
        <w:pStyle w:val="ListParagraph"/>
        <w:spacing w:line="360" w:lineRule="auto"/>
        <w:jc w:val="both"/>
        <w:rPr>
          <w:rFonts w:cs="David"/>
          <w:sz w:val="28"/>
          <w:szCs w:val="28"/>
          <w:rtl/>
        </w:rPr>
      </w:pPr>
      <w:r>
        <w:rPr>
          <w:rFonts w:cs="David" w:hint="cs"/>
          <w:sz w:val="28"/>
          <w:szCs w:val="28"/>
          <w:rtl/>
        </w:rPr>
        <w:t xml:space="preserve"> </w:t>
      </w:r>
    </w:p>
    <w:p w14:paraId="662D2CA6" w14:textId="77777777" w:rsidR="00C47200" w:rsidRDefault="00003007">
      <w:pPr>
        <w:pStyle w:val="ListParagraph"/>
        <w:spacing w:line="360" w:lineRule="auto"/>
        <w:jc w:val="both"/>
        <w:rPr>
          <w:rFonts w:cs="David"/>
          <w:sz w:val="28"/>
          <w:szCs w:val="28"/>
          <w:rtl/>
        </w:rPr>
      </w:pPr>
      <w:r>
        <w:rPr>
          <w:rFonts w:cs="David" w:hint="cs"/>
          <w:sz w:val="28"/>
          <w:szCs w:val="28"/>
          <w:rtl/>
        </w:rPr>
        <w:t xml:space="preserve">ב"כ הנאשם הפנה למסמכים שונים המעידים על השינוי החיובי שעבר הנאשם, ובהם חוות הדעת של שירותי הרווחה על ההליך הטיפולי שעבר   הנאשם, מכתב הערכה של עובדת סוציאלית במקום עבודתו בהוסטל, וכן שלוש תעודות סיום קורסים בהם השתתף הנאשם במהלך השנתיים האחרונות (נ/1).   </w:t>
      </w:r>
    </w:p>
    <w:p w14:paraId="6E16C979" w14:textId="77777777" w:rsidR="00C47200" w:rsidRDefault="00C47200">
      <w:pPr>
        <w:pStyle w:val="ListParagraph"/>
        <w:spacing w:line="360" w:lineRule="auto"/>
        <w:ind w:left="360"/>
        <w:jc w:val="both"/>
        <w:rPr>
          <w:rFonts w:cs="David"/>
          <w:sz w:val="28"/>
          <w:szCs w:val="28"/>
          <w:rtl/>
        </w:rPr>
      </w:pPr>
    </w:p>
    <w:p w14:paraId="7B3C19BE" w14:textId="77777777" w:rsidR="00C47200" w:rsidRDefault="00003007">
      <w:pPr>
        <w:spacing w:line="360" w:lineRule="auto"/>
        <w:jc w:val="both"/>
        <w:rPr>
          <w:sz w:val="28"/>
          <w:szCs w:val="28"/>
          <w:rtl/>
        </w:rPr>
      </w:pPr>
      <w:r>
        <w:rPr>
          <w:rFonts w:hint="cs"/>
          <w:sz w:val="28"/>
          <w:szCs w:val="28"/>
          <w:rtl/>
        </w:rPr>
        <w:t>5.</w:t>
      </w:r>
      <w:r>
        <w:rPr>
          <w:rFonts w:hint="cs"/>
          <w:sz w:val="28"/>
          <w:szCs w:val="28"/>
          <w:rtl/>
        </w:rPr>
        <w:tab/>
        <w:t>תחילה יש לבחון האם זהו המקרה בו יבטל בית המשפט את ההרשעה.</w:t>
      </w:r>
    </w:p>
    <w:p w14:paraId="4BB498B7" w14:textId="77777777" w:rsidR="00C47200" w:rsidRDefault="00003007">
      <w:pPr>
        <w:spacing w:line="360" w:lineRule="auto"/>
        <w:ind w:left="720"/>
        <w:jc w:val="both"/>
        <w:rPr>
          <w:sz w:val="28"/>
          <w:szCs w:val="28"/>
        </w:rPr>
      </w:pPr>
      <w:r>
        <w:rPr>
          <w:rFonts w:hint="cs"/>
          <w:sz w:val="28"/>
          <w:szCs w:val="28"/>
          <w:rtl/>
        </w:rPr>
        <w:t>נקודת המוצא בענישה היא שמי שמבצע עבירה יש להרשיעו בדין, שכן הרשעה משקפת מסר לציבור ותורמת לתחושת עשיית הצדק ושוויוניות בין נאשמים.</w:t>
      </w:r>
    </w:p>
    <w:p w14:paraId="6A5386B6" w14:textId="77777777" w:rsidR="00C47200" w:rsidRDefault="00C47200">
      <w:pPr>
        <w:pStyle w:val="ListParagraph"/>
        <w:spacing w:line="360" w:lineRule="auto"/>
        <w:ind w:left="360"/>
        <w:jc w:val="both"/>
        <w:rPr>
          <w:rFonts w:cs="David"/>
          <w:sz w:val="28"/>
          <w:szCs w:val="28"/>
          <w:rtl/>
        </w:rPr>
      </w:pPr>
    </w:p>
    <w:p w14:paraId="2163D2FB" w14:textId="77777777" w:rsidR="00C47200" w:rsidRDefault="00003007">
      <w:pPr>
        <w:pStyle w:val="ListParagraph"/>
        <w:spacing w:line="360" w:lineRule="auto"/>
        <w:ind w:left="360" w:firstLine="360"/>
        <w:jc w:val="both"/>
        <w:rPr>
          <w:rFonts w:cs="David"/>
          <w:sz w:val="28"/>
          <w:szCs w:val="28"/>
          <w:rtl/>
        </w:rPr>
      </w:pPr>
      <w:r>
        <w:rPr>
          <w:rFonts w:cs="David" w:hint="cs"/>
          <w:sz w:val="28"/>
          <w:szCs w:val="28"/>
          <w:rtl/>
        </w:rPr>
        <w:t>ב</w:t>
      </w:r>
      <w:hyperlink r:id="rId20" w:history="1">
        <w:r w:rsidRPr="00003007">
          <w:rPr>
            <w:rFonts w:cs="David" w:hint="eastAsia"/>
            <w:color w:val="0000FF"/>
            <w:sz w:val="28"/>
            <w:szCs w:val="28"/>
            <w:u w:val="single"/>
            <w:rtl/>
          </w:rPr>
          <w:t>ע</w:t>
        </w:r>
        <w:r w:rsidRPr="00003007">
          <w:rPr>
            <w:rFonts w:cs="David"/>
            <w:color w:val="0000FF"/>
            <w:sz w:val="28"/>
            <w:szCs w:val="28"/>
            <w:u w:val="single"/>
            <w:rtl/>
          </w:rPr>
          <w:t>"</w:t>
        </w:r>
        <w:r w:rsidRPr="00003007">
          <w:rPr>
            <w:rFonts w:cs="David" w:hint="eastAsia"/>
            <w:color w:val="0000FF"/>
            <w:sz w:val="28"/>
            <w:szCs w:val="28"/>
            <w:u w:val="single"/>
            <w:rtl/>
          </w:rPr>
          <w:t>פ</w:t>
        </w:r>
        <w:r w:rsidRPr="00003007">
          <w:rPr>
            <w:rFonts w:cs="David"/>
            <w:color w:val="0000FF"/>
            <w:sz w:val="28"/>
            <w:szCs w:val="28"/>
            <w:u w:val="single"/>
            <w:rtl/>
          </w:rPr>
          <w:t xml:space="preserve"> 2669/00</w:t>
        </w:r>
      </w:hyperlink>
      <w:r>
        <w:rPr>
          <w:rFonts w:cs="David" w:hint="cs"/>
          <w:sz w:val="28"/>
          <w:szCs w:val="28"/>
          <w:rtl/>
        </w:rPr>
        <w:t xml:space="preserve"> מדינת ישראל נ' פלוני ואח',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 xml:space="preserve">] </w:t>
      </w:r>
      <w:r>
        <w:rPr>
          <w:rFonts w:cs="David" w:hint="cs"/>
          <w:sz w:val="28"/>
          <w:szCs w:val="28"/>
          <w:rtl/>
        </w:rPr>
        <w:t>דן בית המשפט בשאלה זו וקבע:</w:t>
      </w:r>
    </w:p>
    <w:p w14:paraId="0DA19904" w14:textId="77777777" w:rsidR="00C47200" w:rsidRDefault="00003007">
      <w:pPr>
        <w:pStyle w:val="ListParagraph"/>
        <w:spacing w:line="360" w:lineRule="auto"/>
        <w:jc w:val="both"/>
        <w:rPr>
          <w:rFonts w:cs="David"/>
          <w:b/>
          <w:bCs/>
          <w:sz w:val="28"/>
          <w:szCs w:val="28"/>
          <w:rtl/>
        </w:rPr>
      </w:pPr>
      <w:r>
        <w:rPr>
          <w:rFonts w:cs="David" w:hint="cs"/>
          <w:sz w:val="28"/>
          <w:szCs w:val="28"/>
          <w:rtl/>
        </w:rPr>
        <w:t>"</w:t>
      </w:r>
      <w:r>
        <w:rPr>
          <w:rFonts w:cs="David" w:hint="cs"/>
          <w:b/>
          <w:bCs/>
          <w:sz w:val="28"/>
          <w:szCs w:val="28"/>
          <w:rtl/>
        </w:rPr>
        <w:t>משמתבקש בית-המשפט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האינדווידואליות של הנאשם. בראייה כוללת, נשקל מן הצד האחד הצורך במיצויו של ההליך הפלילי בדרך של הרשעת העבריין כדי להשיג בכך, בין היתר, את גורם ההרתעה והאכיפה השוויונית של החוק. שיקול ציבורי זה פועל במשנה תוקף ככל שחומרת העבירה גדולה יותר, והנזקים לפרט ולציבור מביצועה גוברים.</w:t>
      </w:r>
    </w:p>
    <w:p w14:paraId="0B77D9EA" w14:textId="77777777" w:rsidR="00C47200" w:rsidRDefault="00C47200">
      <w:pPr>
        <w:pStyle w:val="ListParagraph"/>
        <w:spacing w:line="360" w:lineRule="auto"/>
        <w:ind w:left="360"/>
        <w:jc w:val="both"/>
        <w:rPr>
          <w:rFonts w:cs="David"/>
          <w:b/>
          <w:bCs/>
          <w:sz w:val="28"/>
          <w:szCs w:val="28"/>
          <w:rtl/>
        </w:rPr>
      </w:pPr>
    </w:p>
    <w:p w14:paraId="0FEFA6F9" w14:textId="77777777" w:rsidR="00C47200" w:rsidRDefault="00003007">
      <w:pPr>
        <w:pStyle w:val="ListParagraph"/>
        <w:spacing w:line="360" w:lineRule="auto"/>
        <w:jc w:val="both"/>
        <w:rPr>
          <w:rFonts w:cs="David"/>
          <w:b/>
          <w:bCs/>
          <w:sz w:val="28"/>
          <w:szCs w:val="28"/>
          <w:rtl/>
        </w:rPr>
      </w:pPr>
      <w:r>
        <w:rPr>
          <w:rFonts w:cs="David" w:hint="cs"/>
          <w:b/>
          <w:bCs/>
          <w:sz w:val="28"/>
          <w:szCs w:val="28"/>
          <w:rtl/>
        </w:rPr>
        <w:t xml:space="preserve">כנגד השיקול הציבורי נשקל עניינו של הפרט הנאשם, ובמסגרת זו נבחנים נתונים שונים הנוגעים אליו, וביניהם טיב העבירה שעבר וחומרתה, עברו הפלילי, גילו, מצב בריאותו והנזק הצפוי לו מהרשעה. באשר לנאשמים בגירים, במאזן השיקולים האמור גובר בדרך-כלל השיקול הציבורי, </w:t>
      </w:r>
      <w:r>
        <w:rPr>
          <w:rFonts w:cs="David" w:hint="cs"/>
          <w:b/>
          <w:bCs/>
          <w:sz w:val="28"/>
          <w:szCs w:val="28"/>
          <w:u w:val="single"/>
          <w:rtl/>
        </w:rPr>
        <w:t>ורק נסיבות מיוחדות, חריגות ויוצאות-דופן ביותר תצדקנה סטייה מחובת מיצוי הדין בדרך הרשעת העבריין, וזאת, לרוב, כאשר עלול להיווצר יחס בלתי סביר בין הנזק הצפוי מהרשעה בדין לבין חומרתה של העבירה והנזק הצפוי לעבריין מההרשעה</w:t>
      </w:r>
      <w:r>
        <w:rPr>
          <w:rFonts w:cs="David" w:hint="cs"/>
          <w:b/>
          <w:bCs/>
          <w:sz w:val="28"/>
          <w:szCs w:val="28"/>
          <w:rtl/>
        </w:rPr>
        <w:t xml:space="preserve">" </w:t>
      </w:r>
      <w:r>
        <w:rPr>
          <w:rFonts w:cs="David" w:hint="cs"/>
          <w:sz w:val="28"/>
          <w:szCs w:val="28"/>
          <w:rtl/>
        </w:rPr>
        <w:t>(ההדגשה שלי – ג.צ.)</w:t>
      </w:r>
    </w:p>
    <w:p w14:paraId="77E56470" w14:textId="77777777" w:rsidR="00C47200" w:rsidRDefault="00C47200">
      <w:pPr>
        <w:pStyle w:val="ListParagraph"/>
        <w:spacing w:line="360" w:lineRule="auto"/>
        <w:ind w:left="360"/>
        <w:jc w:val="both"/>
        <w:rPr>
          <w:rFonts w:cs="David"/>
          <w:b/>
          <w:bCs/>
          <w:sz w:val="28"/>
          <w:szCs w:val="28"/>
          <w:rtl/>
        </w:rPr>
      </w:pPr>
    </w:p>
    <w:p w14:paraId="364B0F8E" w14:textId="77777777" w:rsidR="00C47200" w:rsidRDefault="00003007">
      <w:pPr>
        <w:pStyle w:val="Ruller4"/>
        <w:ind w:left="720"/>
        <w:rPr>
          <w:rFonts w:cs="David"/>
          <w:sz w:val="28"/>
          <w:rtl/>
        </w:rPr>
      </w:pPr>
      <w:r>
        <w:rPr>
          <w:rFonts w:cs="David" w:hint="cs"/>
          <w:sz w:val="28"/>
          <w:rtl/>
        </w:rPr>
        <w:t>עוד נקבע בפסיקה, כי כשמדובר בעבירות סמים יש להעדיף שיקולי הרתעה ואת טובת כלל הציבור על פני נסיבותיו האישיות של הנאשם:</w:t>
      </w:r>
    </w:p>
    <w:p w14:paraId="78A07F97" w14:textId="77777777" w:rsidR="00C47200" w:rsidRDefault="00003007">
      <w:pPr>
        <w:pStyle w:val="Ruller4"/>
        <w:ind w:left="720"/>
        <w:rPr>
          <w:rFonts w:ascii="Calibri" w:hAnsi="Calibri" w:cs="David"/>
          <w:b/>
          <w:bCs/>
          <w:spacing w:val="0"/>
          <w:sz w:val="28"/>
          <w:rtl/>
          <w:lang w:eastAsia="en-US"/>
        </w:rPr>
      </w:pPr>
      <w:r>
        <w:rPr>
          <w:rFonts w:ascii="Calibri" w:hAnsi="Calibri" w:cs="David" w:hint="cs"/>
          <w:spacing w:val="0"/>
          <w:sz w:val="28"/>
          <w:rtl/>
          <w:lang w:eastAsia="en-US"/>
        </w:rPr>
        <w:t>"</w:t>
      </w:r>
      <w:r>
        <w:rPr>
          <w:rFonts w:ascii="Calibri" w:hAnsi="Calibri" w:cs="David" w:hint="cs"/>
          <w:b/>
          <w:bCs/>
          <w:spacing w:val="0"/>
          <w:sz w:val="28"/>
          <w:rtl/>
          <w:lang w:eastAsia="en-US"/>
        </w:rPr>
        <w:t xml:space="preserve">ככלל ראוי ליתן לאדם צעיר, המבקש לשנות את אורח חייו, את ההזדמנות לזנוח את העיסוק בסמים ולשקם את חייו. </w:t>
      </w:r>
    </w:p>
    <w:p w14:paraId="404BCF39" w14:textId="77777777" w:rsidR="00C47200" w:rsidRDefault="00003007">
      <w:pPr>
        <w:pStyle w:val="Ruller4"/>
        <w:ind w:left="720"/>
        <w:rPr>
          <w:rFonts w:ascii="Calibri" w:hAnsi="Calibri" w:cs="David"/>
          <w:b/>
          <w:bCs/>
          <w:spacing w:val="0"/>
          <w:sz w:val="28"/>
          <w:rtl/>
          <w:lang w:eastAsia="en-US"/>
        </w:rPr>
      </w:pPr>
      <w:r>
        <w:rPr>
          <w:rFonts w:ascii="Calibri" w:hAnsi="Calibri" w:cs="David" w:hint="cs"/>
          <w:b/>
          <w:bCs/>
          <w:spacing w:val="0"/>
          <w:sz w:val="28"/>
          <w:rtl/>
          <w:lang w:eastAsia="en-US"/>
        </w:rPr>
        <w:t xml:space="preserve">ברם, כנגד השיקול האישי עומד במקרה דנן השיקול ההרתעתי כשלצידו הגורם החינוכי. נגע הסמים אוכל באוכלוסיה שלנו בכל פה; והחברה הכריזה עליו מלחמת חורמה ומצפה שהענשים שיגזרו על ידי בתי המשפט בשל עבירות סמים ישתלבו במאבק הכולל להדברת הנגע. </w:t>
      </w:r>
    </w:p>
    <w:p w14:paraId="375991DA" w14:textId="77777777" w:rsidR="00C47200" w:rsidRDefault="00003007" w:rsidP="00484F5C">
      <w:pPr>
        <w:pStyle w:val="Ruller4"/>
        <w:ind w:left="720"/>
        <w:rPr>
          <w:rFonts w:ascii="Calibri" w:hAnsi="Calibri" w:cs="David"/>
          <w:spacing w:val="0"/>
          <w:sz w:val="28"/>
          <w:rtl/>
          <w:lang w:eastAsia="en-US"/>
        </w:rPr>
      </w:pPr>
      <w:r>
        <w:rPr>
          <w:rFonts w:ascii="Calibri" w:hAnsi="Calibri" w:cs="David" w:hint="cs"/>
          <w:b/>
          <w:bCs/>
          <w:spacing w:val="0"/>
          <w:sz w:val="28"/>
          <w:u w:val="single"/>
          <w:rtl/>
          <w:lang w:eastAsia="en-US"/>
        </w:rPr>
        <w:t>עונש הולם למחזיקי סמים שלא-לשימש-עצמי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ascii="Calibri" w:hAnsi="Calibri" w:cs="David"/>
          <w:b/>
          <w:bCs/>
          <w:spacing w:val="0"/>
          <w:sz w:val="28"/>
          <w:u w:val="single"/>
          <w:lang w:eastAsia="en-US"/>
        </w:rPr>
        <w:t xml:space="preserve"> </w:t>
      </w:r>
      <w:r>
        <w:rPr>
          <w:rFonts w:ascii="Calibri" w:hAnsi="Calibri" w:cs="David" w:hint="cs"/>
          <w:b/>
          <w:bCs/>
          <w:spacing w:val="0"/>
          <w:sz w:val="28"/>
          <w:u w:val="single"/>
          <w:rtl/>
          <w:lang w:eastAsia="en-US"/>
        </w:rPr>
        <w:t>הטלת עונשים חמורים; ולעניות דעתי - השיקולים האישיים של שיקום העבריין חייבים לסגת מפני השיקולים של טובת הכלל</w:t>
      </w:r>
      <w:r>
        <w:rPr>
          <w:rFonts w:cs="David" w:hint="cs"/>
          <w:b/>
          <w:bCs/>
          <w:sz w:val="28"/>
          <w:rtl/>
        </w:rPr>
        <w:t xml:space="preserve">" </w:t>
      </w:r>
      <w:r>
        <w:rPr>
          <w:rFonts w:ascii="Calibri" w:hAnsi="Calibri" w:cs="David" w:hint="cs"/>
          <w:spacing w:val="0"/>
          <w:sz w:val="28"/>
          <w:rtl/>
          <w:lang w:eastAsia="en-US"/>
        </w:rPr>
        <w:t xml:space="preserve">(ההדגש הוסף – ג.צ., </w:t>
      </w:r>
      <w:hyperlink r:id="rId21" w:history="1">
        <w:r w:rsidRPr="00003007">
          <w:rPr>
            <w:rFonts w:ascii="Calibri" w:hAnsi="Calibri" w:cs="David" w:hint="eastAsia"/>
            <w:color w:val="0000FF"/>
            <w:spacing w:val="0"/>
            <w:sz w:val="28"/>
            <w:u w:val="single"/>
            <w:rtl/>
            <w:lang w:eastAsia="en-US"/>
          </w:rPr>
          <w:t>רע</w:t>
        </w:r>
        <w:r w:rsidRPr="00003007">
          <w:rPr>
            <w:rFonts w:ascii="Calibri" w:hAnsi="Calibri" w:cs="David"/>
            <w:color w:val="0000FF"/>
            <w:spacing w:val="0"/>
            <w:sz w:val="28"/>
            <w:u w:val="single"/>
            <w:rtl/>
            <w:lang w:eastAsia="en-US"/>
          </w:rPr>
          <w:t>"</w:t>
        </w:r>
        <w:r w:rsidRPr="00003007">
          <w:rPr>
            <w:rFonts w:ascii="Calibri" w:hAnsi="Calibri" w:cs="David" w:hint="eastAsia"/>
            <w:color w:val="0000FF"/>
            <w:spacing w:val="0"/>
            <w:sz w:val="28"/>
            <w:u w:val="single"/>
            <w:rtl/>
            <w:lang w:eastAsia="en-US"/>
          </w:rPr>
          <w:t>פ</w:t>
        </w:r>
        <w:r w:rsidRPr="00003007">
          <w:rPr>
            <w:rFonts w:ascii="Calibri" w:hAnsi="Calibri" w:cs="David"/>
            <w:color w:val="0000FF"/>
            <w:spacing w:val="0"/>
            <w:sz w:val="28"/>
            <w:u w:val="single"/>
            <w:rtl/>
            <w:lang w:eastAsia="en-US"/>
          </w:rPr>
          <w:t xml:space="preserve"> 3988/05</w:t>
        </w:r>
      </w:hyperlink>
      <w:r>
        <w:rPr>
          <w:rFonts w:ascii="Calibri" w:hAnsi="Calibri" w:cs="David" w:hint="cs"/>
          <w:spacing w:val="0"/>
          <w:sz w:val="28"/>
          <w:rtl/>
          <w:lang w:eastAsia="en-US"/>
        </w:rPr>
        <w:t xml:space="preserve"> צ'רמק נ' מדינת ישראל</w:t>
      </w:r>
      <w:r w:rsidR="00484F5C">
        <w:rPr>
          <w:rFonts w:ascii="Calibri" w:hAnsi="Calibri" w:cs="David" w:hint="cs"/>
          <w:spacing w:val="0"/>
          <w:sz w:val="28"/>
          <w:rtl/>
          <w:lang w:eastAsia="en-US"/>
        </w:rPr>
        <w:t xml:space="preserve"> </w:t>
      </w:r>
      <w:r w:rsidR="00484F5C" w:rsidRPr="00484F5C">
        <w:rPr>
          <w:rFonts w:ascii="Times New Roman" w:hAnsi="Times New Roman" w:cs="David"/>
          <w:spacing w:val="0"/>
          <w:szCs w:val="24"/>
          <w:rtl/>
          <w:lang w:eastAsia="en-US"/>
        </w:rPr>
        <w:t>[</w:t>
      </w:r>
      <w:r w:rsidR="00484F5C" w:rsidRPr="00484F5C">
        <w:rPr>
          <w:rFonts w:ascii="Times New Roman" w:hAnsi="Times New Roman" w:cs="David" w:hint="eastAsia"/>
          <w:spacing w:val="0"/>
          <w:szCs w:val="24"/>
          <w:rtl/>
          <w:lang w:eastAsia="en-US"/>
        </w:rPr>
        <w:t>פורסם</w:t>
      </w:r>
      <w:r w:rsidR="00484F5C" w:rsidRPr="00484F5C">
        <w:rPr>
          <w:rFonts w:ascii="Times New Roman" w:hAnsi="Times New Roman" w:cs="David"/>
          <w:spacing w:val="0"/>
          <w:szCs w:val="24"/>
          <w:rtl/>
          <w:lang w:eastAsia="en-US"/>
        </w:rPr>
        <w:t xml:space="preserve"> </w:t>
      </w:r>
      <w:r w:rsidR="00484F5C" w:rsidRPr="00484F5C">
        <w:rPr>
          <w:rFonts w:ascii="Times New Roman" w:hAnsi="Times New Roman" w:cs="David" w:hint="eastAsia"/>
          <w:spacing w:val="0"/>
          <w:szCs w:val="24"/>
          <w:rtl/>
          <w:lang w:eastAsia="en-US"/>
        </w:rPr>
        <w:t>בנבו</w:t>
      </w:r>
      <w:r w:rsidR="00484F5C" w:rsidRPr="00484F5C">
        <w:rPr>
          <w:rFonts w:ascii="Times New Roman" w:hAnsi="Times New Roman" w:cs="David"/>
          <w:spacing w:val="0"/>
          <w:szCs w:val="24"/>
          <w:rtl/>
          <w:lang w:eastAsia="en-US"/>
        </w:rPr>
        <w:t>]</w:t>
      </w:r>
      <w:r>
        <w:rPr>
          <w:rFonts w:ascii="Calibri" w:hAnsi="Calibri" w:cs="David" w:hint="cs"/>
          <w:spacing w:val="0"/>
          <w:sz w:val="28"/>
          <w:rtl/>
          <w:lang w:eastAsia="en-US"/>
        </w:rPr>
        <w:t xml:space="preserve">; </w:t>
      </w:r>
      <w:hyperlink r:id="rId22" w:history="1">
        <w:r w:rsidRPr="00003007">
          <w:rPr>
            <w:rFonts w:ascii="Calibri" w:hAnsi="Calibri" w:cs="David" w:hint="eastAsia"/>
            <w:color w:val="0000FF"/>
            <w:spacing w:val="0"/>
            <w:sz w:val="28"/>
            <w:u w:val="single"/>
            <w:rtl/>
            <w:lang w:eastAsia="en-US"/>
          </w:rPr>
          <w:t>ע</w:t>
        </w:r>
        <w:r w:rsidRPr="00003007">
          <w:rPr>
            <w:rFonts w:ascii="Calibri" w:hAnsi="Calibri" w:cs="David"/>
            <w:color w:val="0000FF"/>
            <w:spacing w:val="0"/>
            <w:sz w:val="28"/>
            <w:u w:val="single"/>
            <w:rtl/>
            <w:lang w:eastAsia="en-US"/>
          </w:rPr>
          <w:t>"</w:t>
        </w:r>
        <w:r w:rsidRPr="00003007">
          <w:rPr>
            <w:rFonts w:ascii="Calibri" w:hAnsi="Calibri" w:cs="David" w:hint="eastAsia"/>
            <w:color w:val="0000FF"/>
            <w:spacing w:val="0"/>
            <w:sz w:val="28"/>
            <w:u w:val="single"/>
            <w:rtl/>
            <w:lang w:eastAsia="en-US"/>
          </w:rPr>
          <w:t>פ</w:t>
        </w:r>
        <w:r w:rsidRPr="00003007">
          <w:rPr>
            <w:rFonts w:ascii="Calibri" w:hAnsi="Calibri" w:cs="David"/>
            <w:color w:val="0000FF"/>
            <w:spacing w:val="0"/>
            <w:sz w:val="28"/>
            <w:u w:val="single"/>
            <w:rtl/>
            <w:lang w:eastAsia="en-US"/>
          </w:rPr>
          <w:t xml:space="preserve"> 966/94</w:t>
        </w:r>
      </w:hyperlink>
      <w:r>
        <w:rPr>
          <w:rFonts w:ascii="Calibri" w:hAnsi="Calibri" w:cs="David" w:hint="cs"/>
          <w:spacing w:val="0"/>
          <w:sz w:val="28"/>
          <w:rtl/>
          <w:lang w:eastAsia="en-US"/>
        </w:rPr>
        <w:t xml:space="preserve"> אלי אמזלג נ' מדינת ישראל </w:t>
      </w:r>
      <w:r w:rsidR="00484F5C" w:rsidRPr="00484F5C">
        <w:rPr>
          <w:rFonts w:ascii="Times New Roman" w:hAnsi="Times New Roman" w:cs="David"/>
          <w:spacing w:val="0"/>
          <w:szCs w:val="24"/>
          <w:rtl/>
          <w:lang w:eastAsia="en-US"/>
        </w:rPr>
        <w:t>[</w:t>
      </w:r>
      <w:r w:rsidR="00484F5C" w:rsidRPr="00484F5C">
        <w:rPr>
          <w:rFonts w:ascii="Times New Roman" w:hAnsi="Times New Roman" w:cs="David" w:hint="eastAsia"/>
          <w:spacing w:val="0"/>
          <w:szCs w:val="24"/>
          <w:rtl/>
          <w:lang w:eastAsia="en-US"/>
        </w:rPr>
        <w:t>פורסם</w:t>
      </w:r>
      <w:r w:rsidR="00484F5C" w:rsidRPr="00484F5C">
        <w:rPr>
          <w:rFonts w:ascii="Times New Roman" w:hAnsi="Times New Roman" w:cs="David"/>
          <w:spacing w:val="0"/>
          <w:szCs w:val="24"/>
          <w:rtl/>
          <w:lang w:eastAsia="en-US"/>
        </w:rPr>
        <w:t xml:space="preserve"> </w:t>
      </w:r>
      <w:r w:rsidR="00484F5C" w:rsidRPr="00484F5C">
        <w:rPr>
          <w:rFonts w:ascii="Times New Roman" w:hAnsi="Times New Roman" w:cs="David" w:hint="eastAsia"/>
          <w:spacing w:val="0"/>
          <w:szCs w:val="24"/>
          <w:rtl/>
          <w:lang w:eastAsia="en-US"/>
        </w:rPr>
        <w:t>בנבו</w:t>
      </w:r>
      <w:r w:rsidR="00484F5C" w:rsidRPr="00484F5C">
        <w:rPr>
          <w:rFonts w:ascii="Times New Roman" w:hAnsi="Times New Roman" w:cs="David"/>
          <w:spacing w:val="0"/>
          <w:szCs w:val="24"/>
          <w:rtl/>
          <w:lang w:eastAsia="en-US"/>
        </w:rPr>
        <w:t xml:space="preserve">] </w:t>
      </w:r>
      <w:r>
        <w:rPr>
          <w:rFonts w:ascii="Calibri" w:hAnsi="Calibri" w:cs="David" w:hint="cs"/>
          <w:spacing w:val="0"/>
          <w:sz w:val="28"/>
          <w:rtl/>
          <w:lang w:eastAsia="en-US"/>
        </w:rPr>
        <w:t>תק-על 95(4), 176).</w:t>
      </w:r>
    </w:p>
    <w:p w14:paraId="023D315D" w14:textId="77777777" w:rsidR="00C47200" w:rsidRDefault="00C47200">
      <w:pPr>
        <w:pStyle w:val="ListParagraph"/>
        <w:spacing w:line="360" w:lineRule="auto"/>
        <w:ind w:left="360"/>
        <w:jc w:val="both"/>
        <w:rPr>
          <w:rFonts w:cs="David"/>
          <w:b/>
          <w:bCs/>
          <w:sz w:val="28"/>
          <w:szCs w:val="28"/>
          <w:rtl/>
        </w:rPr>
      </w:pPr>
    </w:p>
    <w:p w14:paraId="009B761C" w14:textId="77777777" w:rsidR="00C47200" w:rsidRDefault="00003007">
      <w:pPr>
        <w:spacing w:line="360" w:lineRule="auto"/>
        <w:ind w:left="720"/>
        <w:jc w:val="both"/>
        <w:rPr>
          <w:sz w:val="28"/>
          <w:szCs w:val="28"/>
          <w:rtl/>
        </w:rPr>
      </w:pPr>
      <w:r>
        <w:rPr>
          <w:rFonts w:hint="cs"/>
          <w:sz w:val="28"/>
          <w:szCs w:val="28"/>
          <w:rtl/>
        </w:rPr>
        <w:t>אם כן, שני פרמטרים עיקריים עומדים למבחן לצורך מתן החלטה בבקשה שלא להרשיע את הנאשם בעבירות בהן הודה:</w:t>
      </w:r>
    </w:p>
    <w:p w14:paraId="670EC1ED" w14:textId="77777777" w:rsidR="00C47200" w:rsidRDefault="00003007" w:rsidP="00484F5C">
      <w:pPr>
        <w:pStyle w:val="ListParagraph"/>
        <w:spacing w:line="360" w:lineRule="auto"/>
        <w:jc w:val="both"/>
        <w:rPr>
          <w:rFonts w:cs="David"/>
          <w:sz w:val="28"/>
          <w:szCs w:val="28"/>
          <w:rtl/>
        </w:rPr>
      </w:pPr>
      <w:r>
        <w:rPr>
          <w:rFonts w:cs="David" w:hint="cs"/>
          <w:sz w:val="28"/>
          <w:szCs w:val="28"/>
          <w:rtl/>
        </w:rPr>
        <w:t>האחד, סוג העבירה, חומרתה ונסיבותיה, והאם ניתן בנסיבות אלה לוותר על ההרשעה מבלי שהדבר יפגע באופן חמור באינטרס הציבורי שבהרשעה; השני, נסיבותיו האישיות של הנאשם, הפגיעה הצפויה לו והאם הנזק שעלול להיגרם עקב ההרשעה מהווה פגיעה בלתי מידתית בנסיבות העניין (</w:t>
      </w:r>
      <w:hyperlink r:id="rId23" w:history="1">
        <w:r w:rsidRPr="00003007">
          <w:rPr>
            <w:rFonts w:cs="David" w:hint="eastAsia"/>
            <w:color w:val="0000FF"/>
            <w:sz w:val="28"/>
            <w:szCs w:val="28"/>
            <w:u w:val="single"/>
            <w:rtl/>
          </w:rPr>
          <w:t>רע</w:t>
        </w:r>
        <w:r w:rsidRPr="00003007">
          <w:rPr>
            <w:rFonts w:cs="David"/>
            <w:color w:val="0000FF"/>
            <w:sz w:val="28"/>
            <w:szCs w:val="28"/>
            <w:u w:val="single"/>
            <w:rtl/>
          </w:rPr>
          <w:t>"</w:t>
        </w:r>
        <w:r w:rsidRPr="00003007">
          <w:rPr>
            <w:rFonts w:cs="David" w:hint="eastAsia"/>
            <w:color w:val="0000FF"/>
            <w:sz w:val="28"/>
            <w:szCs w:val="28"/>
            <w:u w:val="single"/>
            <w:rtl/>
          </w:rPr>
          <w:t>פ</w:t>
        </w:r>
        <w:r w:rsidRPr="00003007">
          <w:rPr>
            <w:rFonts w:cs="David"/>
            <w:color w:val="0000FF"/>
            <w:sz w:val="28"/>
            <w:szCs w:val="28"/>
            <w:u w:val="single"/>
            <w:rtl/>
          </w:rPr>
          <w:t xml:space="preserve"> 6904/09</w:t>
        </w:r>
      </w:hyperlink>
      <w:r>
        <w:rPr>
          <w:rFonts w:cs="David" w:hint="cs"/>
          <w:sz w:val="28"/>
          <w:szCs w:val="28"/>
          <w:rtl/>
        </w:rPr>
        <w:t xml:space="preserve"> בלוך נ' מדינת ישראל</w:t>
      </w:r>
      <w:r w:rsidR="00484F5C">
        <w:rPr>
          <w:rFonts w:cs="David" w:hint="cs"/>
          <w:sz w:val="28"/>
          <w:szCs w:val="28"/>
          <w:rtl/>
        </w:rPr>
        <w:t xml:space="preserve">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w:t>
      </w:r>
      <w:r>
        <w:rPr>
          <w:rFonts w:cs="David" w:hint="cs"/>
          <w:sz w:val="28"/>
          <w:szCs w:val="28"/>
          <w:rtl/>
        </w:rPr>
        <w:t xml:space="preserve">; </w:t>
      </w:r>
      <w:hyperlink r:id="rId24" w:history="1">
        <w:r w:rsidRPr="00003007">
          <w:rPr>
            <w:rFonts w:cs="David" w:hint="eastAsia"/>
            <w:color w:val="0000FF"/>
            <w:sz w:val="28"/>
            <w:szCs w:val="28"/>
            <w:u w:val="single"/>
            <w:rtl/>
          </w:rPr>
          <w:t>ע</w:t>
        </w:r>
        <w:r w:rsidRPr="00003007">
          <w:rPr>
            <w:rFonts w:cs="David"/>
            <w:color w:val="0000FF"/>
            <w:sz w:val="28"/>
            <w:szCs w:val="28"/>
            <w:u w:val="single"/>
            <w:rtl/>
          </w:rPr>
          <w:t>"</w:t>
        </w:r>
        <w:r w:rsidRPr="00003007">
          <w:rPr>
            <w:rFonts w:cs="David" w:hint="eastAsia"/>
            <w:color w:val="0000FF"/>
            <w:sz w:val="28"/>
            <w:szCs w:val="28"/>
            <w:u w:val="single"/>
            <w:rtl/>
          </w:rPr>
          <w:t>פ</w:t>
        </w:r>
        <w:r w:rsidRPr="00003007">
          <w:rPr>
            <w:rFonts w:cs="David"/>
            <w:color w:val="0000FF"/>
            <w:sz w:val="28"/>
            <w:szCs w:val="28"/>
            <w:u w:val="single"/>
            <w:rtl/>
          </w:rPr>
          <w:t xml:space="preserve"> 9150/08</w:t>
        </w:r>
      </w:hyperlink>
      <w:r>
        <w:rPr>
          <w:rFonts w:cs="David" w:hint="cs"/>
          <w:sz w:val="28"/>
          <w:szCs w:val="28"/>
          <w:rtl/>
        </w:rPr>
        <w:t xml:space="preserve"> מדינת ישראל נ' ביטון; </w:t>
      </w:r>
      <w:hyperlink r:id="rId25" w:history="1">
        <w:r w:rsidRPr="00003007">
          <w:rPr>
            <w:rFonts w:cs="David" w:hint="eastAsia"/>
            <w:color w:val="0000FF"/>
            <w:sz w:val="28"/>
            <w:szCs w:val="28"/>
            <w:u w:val="single"/>
            <w:rtl/>
          </w:rPr>
          <w:t>רע</w:t>
        </w:r>
        <w:r w:rsidRPr="00003007">
          <w:rPr>
            <w:rFonts w:cs="David"/>
            <w:color w:val="0000FF"/>
            <w:sz w:val="28"/>
            <w:szCs w:val="28"/>
            <w:u w:val="single"/>
            <w:rtl/>
          </w:rPr>
          <w:t>"</w:t>
        </w:r>
        <w:r w:rsidRPr="00003007">
          <w:rPr>
            <w:rFonts w:cs="David" w:hint="eastAsia"/>
            <w:color w:val="0000FF"/>
            <w:sz w:val="28"/>
            <w:szCs w:val="28"/>
            <w:u w:val="single"/>
            <w:rtl/>
          </w:rPr>
          <w:t>פ</w:t>
        </w:r>
        <w:r w:rsidRPr="00003007">
          <w:rPr>
            <w:rFonts w:cs="David"/>
            <w:color w:val="0000FF"/>
            <w:sz w:val="28"/>
            <w:szCs w:val="28"/>
            <w:u w:val="single"/>
            <w:rtl/>
          </w:rPr>
          <w:t xml:space="preserve"> 5579/10</w:t>
        </w:r>
      </w:hyperlink>
      <w:r>
        <w:rPr>
          <w:rFonts w:cs="David" w:hint="cs"/>
          <w:sz w:val="28"/>
          <w:szCs w:val="28"/>
          <w:rtl/>
        </w:rPr>
        <w:t xml:space="preserve"> קריה נ' מדינת ישראל (פורסמו במאגרים</w:t>
      </w:r>
      <w:r w:rsidR="00484F5C">
        <w:rPr>
          <w:rFonts w:cs="David" w:hint="cs"/>
          <w:sz w:val="28"/>
          <w:szCs w:val="28"/>
          <w:rtl/>
        </w:rPr>
        <w:t xml:space="preserve">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w:t>
      </w:r>
      <w:r>
        <w:rPr>
          <w:rFonts w:cs="David" w:hint="cs"/>
          <w:sz w:val="28"/>
          <w:szCs w:val="28"/>
          <w:rtl/>
        </w:rPr>
        <w:t>)).</w:t>
      </w:r>
    </w:p>
    <w:p w14:paraId="3C3282F3" w14:textId="77777777" w:rsidR="00C47200" w:rsidRDefault="00C47200">
      <w:pPr>
        <w:pStyle w:val="ListParagraph"/>
        <w:spacing w:line="360" w:lineRule="auto"/>
        <w:jc w:val="both"/>
        <w:rPr>
          <w:rFonts w:cs="David"/>
          <w:sz w:val="28"/>
          <w:szCs w:val="28"/>
          <w:rtl/>
        </w:rPr>
      </w:pPr>
    </w:p>
    <w:p w14:paraId="78D6738C" w14:textId="77777777" w:rsidR="00C47200" w:rsidRDefault="00003007">
      <w:pPr>
        <w:spacing w:line="360" w:lineRule="auto"/>
        <w:ind w:left="720" w:hanging="720"/>
        <w:jc w:val="both"/>
        <w:rPr>
          <w:sz w:val="28"/>
          <w:szCs w:val="28"/>
          <w:rtl/>
        </w:rPr>
      </w:pPr>
      <w:r>
        <w:rPr>
          <w:rFonts w:hint="cs"/>
          <w:sz w:val="28"/>
          <w:szCs w:val="28"/>
          <w:rtl/>
        </w:rPr>
        <w:t>6.</w:t>
      </w:r>
      <w:r>
        <w:rPr>
          <w:rFonts w:hint="cs"/>
          <w:sz w:val="28"/>
          <w:szCs w:val="28"/>
          <w:rtl/>
        </w:rPr>
        <w:tab/>
        <w:t>במקרה זה, ביצע הנאשם עבירות הקשורות בסמים בזו אחר זו, כשבכל פעם דובר על סם אחר, כאשר נסיבות עבירת התיווך מלמדות שהנאשם היה כתובת "להזמנת" סמים בכמויות לא מבוטלות, ובתוך זמן קצר.</w:t>
      </w:r>
    </w:p>
    <w:p w14:paraId="561BC8CE" w14:textId="77777777" w:rsidR="00C47200" w:rsidRDefault="00C47200">
      <w:pPr>
        <w:pStyle w:val="ListParagraph"/>
        <w:spacing w:line="360" w:lineRule="auto"/>
        <w:jc w:val="both"/>
        <w:rPr>
          <w:rFonts w:cs="David"/>
          <w:sz w:val="28"/>
          <w:szCs w:val="28"/>
          <w:rtl/>
        </w:rPr>
      </w:pPr>
    </w:p>
    <w:p w14:paraId="02F365ED" w14:textId="77777777" w:rsidR="00C47200" w:rsidRDefault="00003007">
      <w:pPr>
        <w:pStyle w:val="ListParagraph"/>
        <w:spacing w:line="360" w:lineRule="auto"/>
        <w:jc w:val="both"/>
        <w:rPr>
          <w:rFonts w:cs="David"/>
          <w:sz w:val="28"/>
          <w:szCs w:val="28"/>
          <w:rtl/>
        </w:rPr>
      </w:pPr>
      <w:r>
        <w:rPr>
          <w:rFonts w:cs="David" w:hint="cs"/>
          <w:sz w:val="28"/>
          <w:szCs w:val="28"/>
          <w:rtl/>
        </w:rPr>
        <w:t xml:space="preserve">אין זו הסתבכותו הראשונה של הנאשם בעבירות הסמים, וכעולה מתסקיר שירות המבחן, הוא כבר עמד לדין בעבר בגין אחזקת סמים לצריכה עצמית, כשבסופו של אותו הליך הוא הועמד בצו פיקוח של שירות המבחן. אלא למרות שניתנה לו אותה הזדמנות לחזור לדרך הישר, הוא לא השכיל לנצל אותה וחזר לבצע עבירות סמים.  </w:t>
      </w:r>
    </w:p>
    <w:p w14:paraId="4E99D577" w14:textId="77777777" w:rsidR="00C47200" w:rsidRDefault="00003007">
      <w:pPr>
        <w:pStyle w:val="ListParagraph"/>
        <w:spacing w:line="360" w:lineRule="auto"/>
        <w:jc w:val="both"/>
        <w:rPr>
          <w:rFonts w:cs="David"/>
          <w:sz w:val="28"/>
          <w:szCs w:val="28"/>
          <w:rtl/>
        </w:rPr>
      </w:pPr>
      <w:r>
        <w:rPr>
          <w:rFonts w:cs="David" w:hint="cs"/>
          <w:sz w:val="28"/>
          <w:szCs w:val="28"/>
          <w:rtl/>
        </w:rPr>
        <w:t>חומרה נוספת מצויה במעשיו של הנאשם, כאשר בעת שנעצר בגין עבירת התיווך הוא ניסה לשבש את מהלכי החקירה בכך שפנה לאותו קונה וביקש ממנו למסור בחקירתו גרסה עובדתית שלא תאמה את המציאות.</w:t>
      </w:r>
    </w:p>
    <w:p w14:paraId="7E9F220D" w14:textId="77777777" w:rsidR="00C47200" w:rsidRDefault="00C47200">
      <w:pPr>
        <w:pStyle w:val="ListParagraph"/>
        <w:spacing w:line="360" w:lineRule="auto"/>
        <w:jc w:val="both"/>
        <w:rPr>
          <w:rFonts w:cs="David"/>
          <w:sz w:val="28"/>
          <w:szCs w:val="28"/>
          <w:rtl/>
        </w:rPr>
      </w:pPr>
    </w:p>
    <w:p w14:paraId="39EA4C2D" w14:textId="77777777" w:rsidR="00C47200" w:rsidRDefault="00003007">
      <w:pPr>
        <w:pStyle w:val="ListParagraph"/>
        <w:spacing w:line="360" w:lineRule="auto"/>
        <w:jc w:val="both"/>
        <w:rPr>
          <w:rFonts w:cs="David"/>
          <w:sz w:val="28"/>
          <w:szCs w:val="28"/>
          <w:rtl/>
        </w:rPr>
      </w:pPr>
      <w:r>
        <w:rPr>
          <w:rFonts w:cs="David" w:hint="cs"/>
          <w:sz w:val="28"/>
          <w:szCs w:val="28"/>
          <w:rtl/>
        </w:rPr>
        <w:t>נסיבות אלה של החזקת סם, תווך בסם ושיבוש מהלכי משפט מבטאות  חומרה של ממש במעשיו של הנאשם, באופן שמטה את הכף לטובת האינטרס הציבורי שבהרשעתו.</w:t>
      </w:r>
    </w:p>
    <w:p w14:paraId="6C793323" w14:textId="77777777" w:rsidR="00C47200" w:rsidRDefault="00C47200">
      <w:pPr>
        <w:pStyle w:val="ListParagraph"/>
        <w:spacing w:line="360" w:lineRule="auto"/>
        <w:jc w:val="both"/>
        <w:rPr>
          <w:rFonts w:cs="David"/>
          <w:sz w:val="28"/>
          <w:szCs w:val="28"/>
          <w:rtl/>
        </w:rPr>
      </w:pPr>
    </w:p>
    <w:p w14:paraId="00ABA8ED" w14:textId="77777777" w:rsidR="00C47200" w:rsidRDefault="00003007">
      <w:pPr>
        <w:pStyle w:val="ListParagraph"/>
        <w:spacing w:line="360" w:lineRule="auto"/>
        <w:jc w:val="both"/>
        <w:rPr>
          <w:rFonts w:cs="David"/>
          <w:sz w:val="28"/>
          <w:szCs w:val="28"/>
          <w:rtl/>
        </w:rPr>
      </w:pPr>
      <w:r>
        <w:rPr>
          <w:rFonts w:cs="David" w:hint="cs"/>
          <w:sz w:val="28"/>
          <w:szCs w:val="28"/>
          <w:rtl/>
        </w:rPr>
        <w:t>בנוסף, וכפי שנקבע אינספור פעמים בפסיקה, עבירות הסמים הן רעה שיש להלחם בה בכל האמצעים, וכשמדובר בנאשם שמעורבותו בעבירות אינה זניחה וכמות הסם בה היה מעורב היא גדולה, הרי שיתר השיקולים ובהם העדר עבר פלילי והאמור בתסקיר שירות המבחן ובמסמכים שהוצגו מטעם הנאשם, נסוגים מפני האינטרס הציבורי, ולטעמי אין בהם כדי להחיל על הנאשם את החריג להרשעה.</w:t>
      </w:r>
    </w:p>
    <w:p w14:paraId="547C2C17" w14:textId="77777777" w:rsidR="00C47200" w:rsidRDefault="00003007">
      <w:pPr>
        <w:pStyle w:val="ListParagraph"/>
        <w:spacing w:line="360" w:lineRule="auto"/>
        <w:jc w:val="both"/>
        <w:rPr>
          <w:rFonts w:cs="David"/>
          <w:sz w:val="28"/>
          <w:szCs w:val="28"/>
          <w:rtl/>
        </w:rPr>
      </w:pPr>
      <w:r>
        <w:rPr>
          <w:rFonts w:cs="David" w:hint="cs"/>
          <w:sz w:val="28"/>
          <w:szCs w:val="28"/>
          <w:rtl/>
        </w:rPr>
        <w:t xml:space="preserve"> </w:t>
      </w:r>
    </w:p>
    <w:p w14:paraId="3AB45DB3" w14:textId="77777777" w:rsidR="00C47200" w:rsidRDefault="00003007">
      <w:pPr>
        <w:spacing w:line="360" w:lineRule="auto"/>
        <w:ind w:left="720" w:hanging="720"/>
        <w:jc w:val="both"/>
        <w:rPr>
          <w:sz w:val="28"/>
          <w:szCs w:val="28"/>
          <w:rtl/>
        </w:rPr>
      </w:pPr>
      <w:r>
        <w:rPr>
          <w:rFonts w:hint="cs"/>
          <w:sz w:val="28"/>
          <w:szCs w:val="28"/>
          <w:rtl/>
        </w:rPr>
        <w:t>7.</w:t>
      </w:r>
      <w:r>
        <w:rPr>
          <w:rFonts w:hint="cs"/>
          <w:sz w:val="28"/>
          <w:szCs w:val="28"/>
          <w:rtl/>
        </w:rPr>
        <w:tab/>
        <w:t>אוסיף, כי גם בהתייחס לנזק הצפוי לנאשם כתוצאה מהרשעתו – לא מצאתי כי ההרשעה תגרום נזק חמור ולא מידתי, או נזק שעלול לפגוע בהליך השיקום בו החל הנאשם.</w:t>
      </w:r>
    </w:p>
    <w:p w14:paraId="347B7E2F" w14:textId="77777777" w:rsidR="00C47200" w:rsidRDefault="00003007">
      <w:pPr>
        <w:pStyle w:val="ListParagraph"/>
        <w:spacing w:line="360" w:lineRule="auto"/>
        <w:jc w:val="both"/>
        <w:rPr>
          <w:rFonts w:cs="David"/>
          <w:sz w:val="28"/>
          <w:szCs w:val="28"/>
          <w:rtl/>
        </w:rPr>
      </w:pPr>
      <w:r>
        <w:rPr>
          <w:rFonts w:cs="David" w:hint="cs"/>
          <w:sz w:val="28"/>
          <w:szCs w:val="28"/>
          <w:rtl/>
        </w:rPr>
        <w:t xml:space="preserve"> </w:t>
      </w:r>
    </w:p>
    <w:p w14:paraId="00A4A8F8" w14:textId="77777777" w:rsidR="00C47200" w:rsidRDefault="00003007" w:rsidP="00484F5C">
      <w:pPr>
        <w:pStyle w:val="ListParagraph"/>
        <w:spacing w:line="360" w:lineRule="auto"/>
        <w:jc w:val="both"/>
        <w:rPr>
          <w:rFonts w:cs="David"/>
          <w:sz w:val="28"/>
          <w:szCs w:val="28"/>
          <w:rtl/>
        </w:rPr>
      </w:pPr>
      <w:r>
        <w:rPr>
          <w:rFonts w:cs="David" w:hint="cs"/>
          <w:sz w:val="28"/>
          <w:szCs w:val="28"/>
          <w:rtl/>
        </w:rPr>
        <w:t xml:space="preserve">דברי הנאשם והחשש שהביע לעתידו התעסוקתי והמקצועי אינם מספיקים לצורך כך, ולא ניתן לקבוע באופן ברור כי אם יורשע תופסק עבודתו או שהוא לא יתקבל למוסד אקדמאי,  ומדובר באפשרות תיאורטית בלבד שאיננה מספיקה לצורך אי הרשעה </w:t>
      </w:r>
      <w:r>
        <w:rPr>
          <w:rFonts w:cs="David" w:hint="cs"/>
          <w:sz w:val="24"/>
          <w:szCs w:val="24"/>
          <w:rtl/>
        </w:rPr>
        <w:t xml:space="preserve">(ראה </w:t>
      </w:r>
      <w:hyperlink r:id="rId26" w:history="1">
        <w:r w:rsidRPr="00003007">
          <w:rPr>
            <w:rFonts w:cs="David" w:hint="eastAsia"/>
            <w:color w:val="0000FF"/>
            <w:sz w:val="24"/>
            <w:szCs w:val="24"/>
            <w:u w:val="single"/>
            <w:rtl/>
          </w:rPr>
          <w:t>רע</w:t>
        </w:r>
        <w:r w:rsidRPr="00003007">
          <w:rPr>
            <w:rFonts w:cs="David"/>
            <w:color w:val="0000FF"/>
            <w:sz w:val="24"/>
            <w:szCs w:val="24"/>
            <w:u w:val="single"/>
            <w:rtl/>
          </w:rPr>
          <w:t>"</w:t>
        </w:r>
        <w:r w:rsidRPr="00003007">
          <w:rPr>
            <w:rFonts w:cs="David" w:hint="eastAsia"/>
            <w:color w:val="0000FF"/>
            <w:sz w:val="24"/>
            <w:szCs w:val="24"/>
            <w:u w:val="single"/>
            <w:rtl/>
          </w:rPr>
          <w:t>פ</w:t>
        </w:r>
        <w:r w:rsidRPr="00003007">
          <w:rPr>
            <w:rFonts w:cs="David"/>
            <w:color w:val="0000FF"/>
            <w:sz w:val="24"/>
            <w:szCs w:val="24"/>
            <w:u w:val="single"/>
            <w:rtl/>
          </w:rPr>
          <w:t xml:space="preserve"> 9118/12</w:t>
        </w:r>
      </w:hyperlink>
      <w:r>
        <w:rPr>
          <w:rFonts w:cs="David" w:hint="cs"/>
          <w:sz w:val="24"/>
          <w:szCs w:val="24"/>
          <w:rtl/>
        </w:rPr>
        <w:t xml:space="preserve"> פרג'ון נ' מ"י</w:t>
      </w:r>
      <w:r w:rsidR="00484F5C">
        <w:rPr>
          <w:rFonts w:cs="David" w:hint="cs"/>
          <w:sz w:val="24"/>
          <w:szCs w:val="24"/>
          <w:rtl/>
        </w:rPr>
        <w:t xml:space="preserve">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w:t>
      </w:r>
      <w:r>
        <w:rPr>
          <w:rFonts w:cs="David" w:hint="cs"/>
          <w:sz w:val="24"/>
          <w:szCs w:val="24"/>
          <w:rtl/>
        </w:rPr>
        <w:t>).</w:t>
      </w:r>
      <w:r>
        <w:rPr>
          <w:rFonts w:cs="David" w:hint="cs"/>
          <w:sz w:val="28"/>
          <w:szCs w:val="28"/>
          <w:rtl/>
        </w:rPr>
        <w:t xml:space="preserve">  </w:t>
      </w:r>
    </w:p>
    <w:p w14:paraId="47F2E80B" w14:textId="77777777" w:rsidR="00C47200" w:rsidRDefault="00003007">
      <w:pPr>
        <w:pStyle w:val="ListParagraph"/>
        <w:spacing w:line="360" w:lineRule="auto"/>
        <w:jc w:val="both"/>
        <w:rPr>
          <w:rFonts w:cs="David"/>
          <w:sz w:val="28"/>
          <w:szCs w:val="28"/>
          <w:rtl/>
        </w:rPr>
      </w:pPr>
      <w:r>
        <w:rPr>
          <w:rFonts w:cs="David" w:hint="cs"/>
          <w:sz w:val="28"/>
          <w:szCs w:val="28"/>
          <w:rtl/>
        </w:rPr>
        <w:t>מכאן, ובאיזון הראוי שעל בית המשפט לערוך, גובר  לטעמי השיקול של האינטרס הציבורי על פני שיקולים הקשורים בנאשם, ואני מותירה את ההרשעה על כנה</w:t>
      </w:r>
      <w:r>
        <w:rPr>
          <w:rFonts w:cs="David" w:hint="cs"/>
          <w:sz w:val="24"/>
          <w:szCs w:val="24"/>
          <w:rtl/>
        </w:rPr>
        <w:t xml:space="preserve">. </w:t>
      </w:r>
    </w:p>
    <w:p w14:paraId="4CBCBF72" w14:textId="77777777" w:rsidR="00C47200" w:rsidRDefault="00C47200">
      <w:pPr>
        <w:pStyle w:val="ListParagraph"/>
        <w:spacing w:line="360" w:lineRule="auto"/>
        <w:ind w:left="360"/>
        <w:jc w:val="both"/>
        <w:rPr>
          <w:rFonts w:cs="David"/>
          <w:sz w:val="28"/>
          <w:szCs w:val="28"/>
          <w:rtl/>
        </w:rPr>
      </w:pPr>
    </w:p>
    <w:p w14:paraId="0009485E" w14:textId="77777777" w:rsidR="00C47200" w:rsidRDefault="00003007">
      <w:pPr>
        <w:pStyle w:val="ListParagraph"/>
        <w:spacing w:line="360" w:lineRule="auto"/>
        <w:jc w:val="both"/>
        <w:rPr>
          <w:rFonts w:cs="David"/>
          <w:sz w:val="28"/>
          <w:szCs w:val="28"/>
          <w:rtl/>
        </w:rPr>
      </w:pPr>
      <w:r>
        <w:rPr>
          <w:rFonts w:cs="David" w:hint="cs"/>
          <w:sz w:val="28"/>
          <w:szCs w:val="28"/>
          <w:rtl/>
        </w:rPr>
        <w:t>אוסיף, כי עיינתי גם בפסקי  הדין שהציג ב"כ הנאשם, ובהם מקרים שונים בהם העדיפו בתי המשפט שלא למצות את הדין ולא להרשיע נאשמים, אלא שכל מקרה נבחן לגופו על פי נסיבות המעשה והעושה, ולטעמי נסיבות ביצוע עבירות הסמים להן נלווית גם עבירת השיבוש הינן חמורות, והגם שישנן נסיבות  מקלות לא מעטות לזכותו של הנאשם, כפי שיבוררו בהמשך, אין בהן כדי להביא לתוצאה של אי הרשעה.</w:t>
      </w:r>
    </w:p>
    <w:p w14:paraId="7F29EA5A" w14:textId="77777777" w:rsidR="00C47200" w:rsidRDefault="00C47200">
      <w:pPr>
        <w:pStyle w:val="ListParagraph"/>
        <w:spacing w:line="360" w:lineRule="auto"/>
        <w:ind w:left="360"/>
        <w:jc w:val="both"/>
        <w:rPr>
          <w:rFonts w:cs="David"/>
          <w:sz w:val="28"/>
          <w:szCs w:val="28"/>
        </w:rPr>
      </w:pPr>
    </w:p>
    <w:p w14:paraId="06108559" w14:textId="77777777" w:rsidR="00C47200" w:rsidRDefault="00003007">
      <w:pPr>
        <w:pStyle w:val="ListParagraph"/>
        <w:spacing w:line="360" w:lineRule="auto"/>
        <w:ind w:left="360" w:firstLine="360"/>
        <w:jc w:val="both"/>
        <w:rPr>
          <w:rFonts w:cs="David"/>
          <w:b/>
          <w:bCs/>
          <w:sz w:val="28"/>
          <w:szCs w:val="28"/>
          <w:u w:val="single"/>
          <w:rtl/>
        </w:rPr>
      </w:pPr>
      <w:r>
        <w:rPr>
          <w:rFonts w:cs="David" w:hint="cs"/>
          <w:b/>
          <w:bCs/>
          <w:sz w:val="28"/>
          <w:szCs w:val="28"/>
          <w:u w:val="single"/>
          <w:rtl/>
        </w:rPr>
        <w:t>קביעת מתחם העונש ההולם בגין כל אחת מהעבירות</w:t>
      </w:r>
    </w:p>
    <w:p w14:paraId="42D851D1" w14:textId="77777777" w:rsidR="00C47200" w:rsidRDefault="00003007">
      <w:pPr>
        <w:spacing w:after="160" w:line="360" w:lineRule="auto"/>
        <w:ind w:left="720" w:hanging="720"/>
        <w:jc w:val="both"/>
        <w:rPr>
          <w:sz w:val="28"/>
          <w:szCs w:val="28"/>
          <w:rtl/>
        </w:rPr>
      </w:pPr>
      <w:r>
        <w:rPr>
          <w:rFonts w:hint="cs"/>
          <w:sz w:val="28"/>
          <w:szCs w:val="28"/>
          <w:rtl/>
        </w:rPr>
        <w:t>8.</w:t>
      </w:r>
      <w:r>
        <w:rPr>
          <w:rFonts w:hint="cs"/>
          <w:sz w:val="28"/>
          <w:szCs w:val="28"/>
          <w:rtl/>
        </w:rPr>
        <w:tab/>
      </w:r>
      <w:r>
        <w:rPr>
          <w:rFonts w:hint="cs"/>
          <w:b/>
          <w:bCs/>
          <w:sz w:val="28"/>
          <w:szCs w:val="28"/>
          <w:rtl/>
        </w:rPr>
        <w:t>עבירת התיווך בסם מסוכן</w:t>
      </w:r>
      <w:r>
        <w:rPr>
          <w:rFonts w:hint="cs"/>
          <w:sz w:val="28"/>
          <w:szCs w:val="28"/>
          <w:rtl/>
        </w:rPr>
        <w:t xml:space="preserve"> (ובאופן דומה גם עבירת השימוש בסם לצריכה עצמית) היא עבירה שפגיעתה קשה, הן באלו המשתמשים בסמים והן בנזקים  העקיפים הנגרמים כתוצאה מהם, ולכך נלווית גם העבריינות הקשורה בעיסוק בסמים. </w:t>
      </w:r>
    </w:p>
    <w:p w14:paraId="7FC79863" w14:textId="77777777" w:rsidR="00C47200" w:rsidRDefault="00003007">
      <w:pPr>
        <w:spacing w:after="160" w:line="360" w:lineRule="auto"/>
        <w:ind w:left="720"/>
        <w:jc w:val="both"/>
        <w:rPr>
          <w:sz w:val="28"/>
          <w:szCs w:val="28"/>
          <w:rtl/>
        </w:rPr>
      </w:pPr>
      <w:r>
        <w:rPr>
          <w:rFonts w:hint="cs"/>
          <w:sz w:val="28"/>
          <w:szCs w:val="28"/>
          <w:rtl/>
        </w:rPr>
        <w:t xml:space="preserve">על בית המשפט להגן על שלום הציבור ועל הסדר החברתי מפני פגיעתם הקשה של הסמים,  ולקבוע ענישה הולמת לכל מי שעוסק בהם. </w:t>
      </w:r>
    </w:p>
    <w:p w14:paraId="272E0986" w14:textId="77777777" w:rsidR="00C47200" w:rsidRDefault="00003007">
      <w:pPr>
        <w:spacing w:line="360" w:lineRule="auto"/>
        <w:ind w:left="720"/>
        <w:jc w:val="both"/>
        <w:rPr>
          <w:sz w:val="28"/>
          <w:szCs w:val="28"/>
          <w:rtl/>
        </w:rPr>
      </w:pPr>
      <w:r>
        <w:rPr>
          <w:rFonts w:hint="cs"/>
          <w:sz w:val="28"/>
          <w:szCs w:val="28"/>
          <w:rtl/>
        </w:rPr>
        <w:t>בית המשפט העליון קבע בשורה ארוכה של פסקי דין, כי נגע הסמים פשה בארצנו כמגיפה, ומשכך מצווים בתי המשפט לתרום את חלקם במלחמה נגד נגע זה על ידי הטלת עונשים חמורים ומרתיעים, אשר יכולים להביא לבלימת התפשטותם בחברה.</w:t>
      </w:r>
    </w:p>
    <w:p w14:paraId="2C302163" w14:textId="77777777" w:rsidR="00C47200" w:rsidRDefault="00003007">
      <w:pPr>
        <w:spacing w:line="360" w:lineRule="auto"/>
        <w:ind w:left="720"/>
        <w:jc w:val="both"/>
        <w:rPr>
          <w:rtl/>
        </w:rPr>
      </w:pPr>
      <w:r>
        <w:rPr>
          <w:rFonts w:hint="cs"/>
          <w:rtl/>
        </w:rPr>
        <w:t>(</w:t>
      </w:r>
      <w:hyperlink r:id="rId27" w:history="1">
        <w:r>
          <w:rPr>
            <w:rStyle w:val="Hyperlink"/>
            <w:rFonts w:hint="cs"/>
            <w:rtl/>
          </w:rPr>
          <w:t>ע"פ 575/88 עאטף בן-אחמד עודה נ' מדינת ישראל, פ"ד מב</w:t>
        </w:r>
      </w:hyperlink>
      <w:r>
        <w:rPr>
          <w:rFonts w:hint="cs"/>
          <w:rtl/>
        </w:rPr>
        <w:t xml:space="preserve">(4) 242; </w:t>
      </w:r>
      <w:hyperlink r:id="rId28" w:history="1">
        <w:r>
          <w:rPr>
            <w:rStyle w:val="Hyperlink"/>
            <w:rFonts w:hint="cs"/>
            <w:rtl/>
          </w:rPr>
          <w:t>ע"פ 3117/12</w:t>
        </w:r>
      </w:hyperlink>
      <w:r>
        <w:rPr>
          <w:rFonts w:hint="cs"/>
          <w:rtl/>
        </w:rPr>
        <w:t xml:space="preserve"> ארביב נ' מדינת ישראל </w:t>
      </w:r>
      <w:r w:rsidR="00484F5C" w:rsidRPr="00484F5C">
        <w:rPr>
          <w:rFonts w:ascii="Times New Roman" w:hAnsi="Times New Roman"/>
          <w:sz w:val="22"/>
          <w:rtl/>
        </w:rPr>
        <w:t xml:space="preserve">[פורסם בנבו] </w:t>
      </w:r>
      <w:r>
        <w:rPr>
          <w:rFonts w:hint="cs"/>
          <w:rtl/>
        </w:rPr>
        <w:t xml:space="preserve">(ניתן ביום 6.9.2012); </w:t>
      </w:r>
      <w:hyperlink r:id="rId29" w:history="1">
        <w:r>
          <w:rPr>
            <w:rStyle w:val="Hyperlink"/>
            <w:rFonts w:hint="cs"/>
            <w:rtl/>
          </w:rPr>
          <w:t>ע"פ 6029/03 מדינת ישראל נ' גולן שמאי, פ"ד נח</w:t>
        </w:r>
      </w:hyperlink>
      <w:r>
        <w:rPr>
          <w:rFonts w:hint="cs"/>
          <w:rtl/>
        </w:rPr>
        <w:t xml:space="preserve">(2) 734; </w:t>
      </w:r>
      <w:hyperlink r:id="rId30" w:history="1">
        <w:r w:rsidRPr="00003007">
          <w:rPr>
            <w:color w:val="0000FF"/>
            <w:u w:val="single"/>
            <w:rtl/>
          </w:rPr>
          <w:t>ע"פ 376/89 לובטון נ' מדינת ישראל פד"י מה</w:t>
        </w:r>
      </w:hyperlink>
      <w:r>
        <w:rPr>
          <w:rFonts w:hint="cs"/>
          <w:rtl/>
        </w:rPr>
        <w:t xml:space="preserve"> (4) 309). </w:t>
      </w:r>
    </w:p>
    <w:p w14:paraId="4D7DA649" w14:textId="77777777" w:rsidR="00C47200" w:rsidRDefault="00C47200">
      <w:pPr>
        <w:spacing w:line="360" w:lineRule="auto"/>
        <w:ind w:left="720"/>
        <w:jc w:val="both"/>
        <w:rPr>
          <w:sz w:val="28"/>
          <w:szCs w:val="28"/>
          <w:rtl/>
        </w:rPr>
      </w:pPr>
    </w:p>
    <w:p w14:paraId="686117C2" w14:textId="77777777" w:rsidR="00C47200" w:rsidRDefault="00003007">
      <w:pPr>
        <w:spacing w:line="360" w:lineRule="auto"/>
        <w:ind w:left="720" w:hanging="720"/>
        <w:jc w:val="both"/>
        <w:rPr>
          <w:sz w:val="28"/>
          <w:szCs w:val="28"/>
          <w:rtl/>
        </w:rPr>
      </w:pPr>
      <w:r>
        <w:rPr>
          <w:rFonts w:hint="cs"/>
          <w:sz w:val="28"/>
          <w:szCs w:val="28"/>
          <w:rtl/>
        </w:rPr>
        <w:t>9.</w:t>
      </w:r>
      <w:r>
        <w:rPr>
          <w:rFonts w:hint="cs"/>
          <w:sz w:val="28"/>
          <w:szCs w:val="28"/>
          <w:rtl/>
        </w:rPr>
        <w:tab/>
        <w:t xml:space="preserve">מבחינת העובדות שבכתבי האישום עולה כי הנאשם היה חלק משרשרת הפצת הסם, הוא הסכים לתווך בסם מסוג הידרו, סיפק בפועל סם אחר בכמות גדולה מאוד, ואף קיבל תשלום שאינו מבוטל, והדבר מלמד על קשריו ועל עיסוקו בתחום זה. על כך יש להוסיף את </w:t>
      </w:r>
      <w:r>
        <w:rPr>
          <w:rFonts w:hint="cs"/>
          <w:b/>
          <w:bCs/>
          <w:sz w:val="28"/>
          <w:szCs w:val="28"/>
          <w:rtl/>
        </w:rPr>
        <w:t>עבירת השיבוש</w:t>
      </w:r>
      <w:r>
        <w:rPr>
          <w:rFonts w:hint="cs"/>
          <w:sz w:val="28"/>
          <w:szCs w:val="28"/>
          <w:rtl/>
        </w:rPr>
        <w:t xml:space="preserve"> שביצע הנאשם, כשבזמן מעצרו ניסה לגרום לקונה – שהינו העד העיקרי לאירוע - למסור גרסה אחרת, אשר תמנע את הפללתו בעבירת התיווך, ואין חולק כי מעשה זה מוסיף נדבך של חומרה, ופוגע בערכים של טוהר ההליך המשפטי, בחקר האמת ובמלאכתן של רשויות אכיפת החוק. </w:t>
      </w:r>
    </w:p>
    <w:p w14:paraId="6FD95420" w14:textId="77777777" w:rsidR="00C47200" w:rsidRDefault="00C47200">
      <w:pPr>
        <w:pStyle w:val="ListParagraph"/>
        <w:spacing w:line="360" w:lineRule="auto"/>
        <w:jc w:val="both"/>
        <w:rPr>
          <w:rFonts w:cs="David"/>
          <w:sz w:val="28"/>
          <w:szCs w:val="28"/>
          <w:rtl/>
        </w:rPr>
      </w:pPr>
    </w:p>
    <w:p w14:paraId="7F7D49FB" w14:textId="77777777" w:rsidR="00C47200" w:rsidRDefault="00003007">
      <w:pPr>
        <w:pStyle w:val="ListParagraph"/>
        <w:spacing w:line="360" w:lineRule="auto"/>
        <w:jc w:val="both"/>
        <w:rPr>
          <w:rFonts w:cs="David"/>
          <w:sz w:val="28"/>
          <w:szCs w:val="28"/>
          <w:rtl/>
        </w:rPr>
      </w:pPr>
      <w:r>
        <w:rPr>
          <w:rFonts w:cs="David" w:hint="cs"/>
          <w:sz w:val="28"/>
          <w:szCs w:val="28"/>
          <w:rtl/>
        </w:rPr>
        <w:t xml:space="preserve">בהקשר זה נתתי דעתי לטענותיו של ב"כ הנאשם, כי העבירה לא בוצעה עבור מעגל רחב של אנשים, וכי הסם סופק לחברו של הנאשם כמעין "טובה" ולא מתוך בצע כסף, וכן שהנאשם לא הכיר את הסוחר שסיפק לו את הסמים, שאף לא הועמד לדין בגין מעשיו. </w:t>
      </w:r>
    </w:p>
    <w:p w14:paraId="048C13DB" w14:textId="77777777" w:rsidR="00C47200" w:rsidRDefault="00003007">
      <w:pPr>
        <w:pStyle w:val="ListParagraph"/>
        <w:spacing w:line="360" w:lineRule="auto"/>
        <w:jc w:val="both"/>
        <w:rPr>
          <w:rFonts w:cs="David"/>
          <w:sz w:val="28"/>
          <w:szCs w:val="28"/>
          <w:rtl/>
        </w:rPr>
      </w:pPr>
      <w:r>
        <w:rPr>
          <w:rFonts w:cs="David" w:hint="cs"/>
          <w:sz w:val="28"/>
          <w:szCs w:val="28"/>
          <w:rtl/>
        </w:rPr>
        <w:t>ואולם, טענות אלה אינן מפחיתות מחומרת עבירת התיווך ומעוצמת הנזק החברתי אשר נגרם עקב ביצועה (כמבואר לעיל), מה גם שהנאשם קיבל מהקונה תשלום עבור מעשיו.</w:t>
      </w:r>
    </w:p>
    <w:p w14:paraId="0CE25ACE" w14:textId="77777777" w:rsidR="00C47200" w:rsidRDefault="00003007">
      <w:pPr>
        <w:pStyle w:val="ListParagraph"/>
        <w:spacing w:line="360" w:lineRule="auto"/>
        <w:ind w:left="360"/>
        <w:jc w:val="both"/>
        <w:rPr>
          <w:rFonts w:cs="David"/>
          <w:sz w:val="28"/>
          <w:szCs w:val="28"/>
          <w:rtl/>
        </w:rPr>
      </w:pPr>
      <w:r>
        <w:rPr>
          <w:rFonts w:cs="David" w:hint="cs"/>
          <w:sz w:val="28"/>
          <w:szCs w:val="28"/>
          <w:rtl/>
        </w:rPr>
        <w:t xml:space="preserve"> </w:t>
      </w:r>
    </w:p>
    <w:p w14:paraId="62C244AF" w14:textId="77777777" w:rsidR="00C47200" w:rsidRDefault="00003007">
      <w:pPr>
        <w:spacing w:line="360" w:lineRule="auto"/>
        <w:ind w:left="720"/>
        <w:jc w:val="both"/>
        <w:rPr>
          <w:sz w:val="28"/>
          <w:szCs w:val="28"/>
          <w:rtl/>
        </w:rPr>
      </w:pPr>
      <w:r>
        <w:rPr>
          <w:rFonts w:hint="cs"/>
          <w:sz w:val="28"/>
          <w:szCs w:val="28"/>
          <w:rtl/>
          <w:lang w:eastAsia="he-IL"/>
        </w:rPr>
        <w:t>בחינת הפסיקה מעלה כי מדיניות הענישה הנהוגה בעבירת הסמים נעה בין עונשי מאסר של חודשים בודדים במקרים של תיווך בכמויות קטנות וכלה ב- 24 חודשים כאשר מדובר בתיווך בכמויות גדולות ובמספר עסקאות,</w:t>
      </w:r>
      <w:r>
        <w:rPr>
          <w:rFonts w:hint="cs"/>
          <w:sz w:val="28"/>
          <w:szCs w:val="28"/>
          <w:rtl/>
        </w:rPr>
        <w:t xml:space="preserve"> ולאחר שבחנתי את  מכלול הנסיבות בביצוע עבירת התיווך, וכן השלב הקריטי בו בוצעה עבירת השיבוש והעד אליו מתייחסת העבירה, והקשר בין שתי העבירות, דומני כי מתחם העונש ההולם נע בין מספר חודשים בודדים ועד 15 חודשי מאסר בפועל.</w:t>
      </w:r>
    </w:p>
    <w:p w14:paraId="51D1E216" w14:textId="77777777" w:rsidR="00C47200" w:rsidRDefault="00003007">
      <w:pPr>
        <w:spacing w:line="360" w:lineRule="auto"/>
        <w:ind w:left="720"/>
        <w:jc w:val="both"/>
        <w:rPr>
          <w:sz w:val="28"/>
          <w:szCs w:val="28"/>
          <w:rtl/>
        </w:rPr>
      </w:pPr>
      <w:r>
        <w:rPr>
          <w:rFonts w:ascii="Arial" w:hAnsi="Arial" w:hint="cs"/>
          <w:rtl/>
        </w:rPr>
        <w:t>(</w:t>
      </w:r>
      <w:hyperlink r:id="rId31" w:history="1">
        <w:r>
          <w:rPr>
            <w:rStyle w:val="Hyperlink"/>
            <w:rFonts w:ascii="Arial" w:hAnsi="Arial" w:hint="cs"/>
            <w:rtl/>
          </w:rPr>
          <w:t>רע"פ 2614/12</w:t>
        </w:r>
      </w:hyperlink>
      <w:r>
        <w:rPr>
          <w:rFonts w:ascii="Arial" w:hAnsi="Arial" w:hint="cs"/>
          <w:rtl/>
        </w:rPr>
        <w:t xml:space="preserve"> ניסים ליזמי נ' מדינת ישראל </w:t>
      </w:r>
      <w:r w:rsidR="00484F5C" w:rsidRPr="00484F5C">
        <w:rPr>
          <w:rFonts w:ascii="Times New Roman" w:hAnsi="Times New Roman"/>
          <w:sz w:val="22"/>
          <w:rtl/>
        </w:rPr>
        <w:t xml:space="preserve">[פורסם בנבו] </w:t>
      </w:r>
      <w:r>
        <w:rPr>
          <w:rFonts w:ascii="Arial" w:hAnsi="Arial" w:hint="cs"/>
          <w:rtl/>
        </w:rPr>
        <w:t xml:space="preserve">(3.4.12); </w:t>
      </w:r>
      <w:hyperlink r:id="rId32" w:history="1">
        <w:r>
          <w:rPr>
            <w:rStyle w:val="Hyperlink"/>
            <w:rFonts w:ascii="Arial" w:hAnsi="Arial" w:hint="cs"/>
            <w:rtl/>
          </w:rPr>
          <w:t>עפ"ג (ב"ש) 263-02-11</w:t>
        </w:r>
      </w:hyperlink>
      <w:r>
        <w:rPr>
          <w:rFonts w:ascii="Arial" w:hAnsi="Arial" w:hint="cs"/>
          <w:rtl/>
        </w:rPr>
        <w:t xml:space="preserve"> וידל בראנס נ' מדינת ישראל </w:t>
      </w:r>
      <w:r w:rsidR="00484F5C" w:rsidRPr="00484F5C">
        <w:rPr>
          <w:rFonts w:ascii="Times New Roman" w:hAnsi="Times New Roman"/>
          <w:sz w:val="22"/>
          <w:rtl/>
        </w:rPr>
        <w:t xml:space="preserve">[פורסם בנבו] </w:t>
      </w:r>
      <w:r>
        <w:rPr>
          <w:rFonts w:ascii="Arial" w:hAnsi="Arial" w:hint="cs"/>
          <w:rtl/>
        </w:rPr>
        <w:t xml:space="preserve">(23.3.11); </w:t>
      </w:r>
      <w:hyperlink r:id="rId33" w:history="1">
        <w:r>
          <w:rPr>
            <w:rStyle w:val="Hyperlink"/>
            <w:rFonts w:ascii="Arial" w:hAnsi="Arial" w:hint="cs"/>
            <w:rtl/>
          </w:rPr>
          <w:t>ת"פ 12021-01-12</w:t>
        </w:r>
      </w:hyperlink>
      <w:r>
        <w:rPr>
          <w:rFonts w:ascii="Arial" w:hAnsi="Arial" w:hint="cs"/>
          <w:rtl/>
        </w:rPr>
        <w:t xml:space="preserve"> מדינת ישראל נ' מרק רבייב </w:t>
      </w:r>
      <w:r w:rsidR="00484F5C" w:rsidRPr="00484F5C">
        <w:rPr>
          <w:rFonts w:ascii="Times New Roman" w:hAnsi="Times New Roman"/>
          <w:sz w:val="22"/>
          <w:rtl/>
        </w:rPr>
        <w:t xml:space="preserve">[פורסם בנבו] </w:t>
      </w:r>
      <w:r>
        <w:rPr>
          <w:rFonts w:ascii="Arial" w:hAnsi="Arial" w:hint="cs"/>
          <w:rtl/>
        </w:rPr>
        <w:t xml:space="preserve">(30.1.13); </w:t>
      </w:r>
      <w:hyperlink r:id="rId34" w:history="1">
        <w:r>
          <w:rPr>
            <w:rStyle w:val="Hyperlink"/>
            <w:rFonts w:ascii="Arial" w:hAnsi="Arial" w:hint="cs"/>
            <w:rtl/>
          </w:rPr>
          <w:t>ת"פ 10970-03-11</w:t>
        </w:r>
      </w:hyperlink>
      <w:r>
        <w:rPr>
          <w:rFonts w:ascii="Arial" w:hAnsi="Arial" w:hint="cs"/>
          <w:rtl/>
        </w:rPr>
        <w:t xml:space="preserve"> מדינת ישראל נ' חיים אביטבול </w:t>
      </w:r>
      <w:r w:rsidR="00484F5C" w:rsidRPr="00484F5C">
        <w:rPr>
          <w:rFonts w:ascii="Times New Roman" w:hAnsi="Times New Roman"/>
          <w:sz w:val="22"/>
          <w:rtl/>
        </w:rPr>
        <w:t xml:space="preserve">[פורסם בנבו] </w:t>
      </w:r>
      <w:r>
        <w:rPr>
          <w:rFonts w:ascii="Arial" w:hAnsi="Arial" w:hint="cs"/>
          <w:rtl/>
        </w:rPr>
        <w:t>(20.12.11);</w:t>
      </w:r>
      <w:r>
        <w:rPr>
          <w:rFonts w:ascii="Arial" w:hAnsi="Arial"/>
        </w:rPr>
        <w:t xml:space="preserve"> </w:t>
      </w:r>
      <w:r>
        <w:rPr>
          <w:rFonts w:ascii="Arial" w:hAnsi="Arial" w:hint="cs"/>
          <w:rtl/>
        </w:rPr>
        <w:t xml:space="preserve"> </w:t>
      </w:r>
      <w:hyperlink r:id="rId35" w:history="1">
        <w:r>
          <w:rPr>
            <w:rStyle w:val="Hyperlink"/>
            <w:rFonts w:ascii="Arial" w:hAnsi="Arial" w:hint="cs"/>
            <w:rtl/>
          </w:rPr>
          <w:t>ת"פ 6785-01-11</w:t>
        </w:r>
      </w:hyperlink>
      <w:r>
        <w:rPr>
          <w:rFonts w:ascii="Arial" w:hAnsi="Arial" w:hint="cs"/>
          <w:rtl/>
        </w:rPr>
        <w:t xml:space="preserve"> מדינת ישראל נ' כמוס אלמוג סברו </w:t>
      </w:r>
      <w:r w:rsidR="00484F5C" w:rsidRPr="00484F5C">
        <w:rPr>
          <w:rFonts w:ascii="Times New Roman" w:hAnsi="Times New Roman"/>
          <w:sz w:val="22"/>
          <w:rtl/>
        </w:rPr>
        <w:t xml:space="preserve">[פורסם בנבו] </w:t>
      </w:r>
      <w:r>
        <w:rPr>
          <w:rFonts w:ascii="Arial" w:hAnsi="Arial" w:hint="cs"/>
          <w:rtl/>
        </w:rPr>
        <w:t xml:space="preserve">(16.2.11ׂׂׂ); </w:t>
      </w:r>
      <w:hyperlink r:id="rId36" w:history="1">
        <w:r>
          <w:rPr>
            <w:rStyle w:val="Hyperlink"/>
            <w:rFonts w:ascii="Arial" w:hAnsi="Arial" w:hint="cs"/>
            <w:rtl/>
          </w:rPr>
          <w:t>ת"פ 14107-04-10</w:t>
        </w:r>
      </w:hyperlink>
      <w:r>
        <w:rPr>
          <w:rFonts w:ascii="Arial" w:hAnsi="Arial" w:hint="cs"/>
          <w:rtl/>
        </w:rPr>
        <w:t xml:space="preserve"> מדינת ישראל נ' איגור מניחמוב </w:t>
      </w:r>
      <w:r w:rsidR="00484F5C" w:rsidRPr="00484F5C">
        <w:rPr>
          <w:rFonts w:ascii="Times New Roman" w:hAnsi="Times New Roman"/>
          <w:sz w:val="22"/>
          <w:rtl/>
        </w:rPr>
        <w:t xml:space="preserve">[פורסם בנבו] </w:t>
      </w:r>
      <w:r>
        <w:rPr>
          <w:rFonts w:ascii="Arial" w:hAnsi="Arial" w:hint="cs"/>
          <w:rtl/>
        </w:rPr>
        <w:t xml:space="preserve">(12.10.10); </w:t>
      </w:r>
      <w:hyperlink r:id="rId37" w:history="1">
        <w:r>
          <w:rPr>
            <w:rStyle w:val="Hyperlink"/>
            <w:rFonts w:ascii="Arial" w:hAnsi="Arial" w:hint="cs"/>
            <w:rtl/>
          </w:rPr>
          <w:t>ת"פ 19126-11-09</w:t>
        </w:r>
      </w:hyperlink>
      <w:r>
        <w:rPr>
          <w:rFonts w:ascii="Arial" w:hAnsi="Arial" w:hint="cs"/>
          <w:rtl/>
        </w:rPr>
        <w:t xml:space="preserve"> מדינת ישראל נ' אליהו זוארץ </w:t>
      </w:r>
      <w:r w:rsidR="00484F5C" w:rsidRPr="00484F5C">
        <w:rPr>
          <w:rFonts w:ascii="Times New Roman" w:hAnsi="Times New Roman"/>
          <w:sz w:val="22"/>
          <w:rtl/>
        </w:rPr>
        <w:t xml:space="preserve">[פורסם בנבו] </w:t>
      </w:r>
      <w:r>
        <w:rPr>
          <w:rFonts w:ascii="Arial" w:hAnsi="Arial" w:hint="cs"/>
          <w:rtl/>
        </w:rPr>
        <w:t>(6.7.10)).</w:t>
      </w:r>
      <w:r>
        <w:rPr>
          <w:rFonts w:hint="cs"/>
          <w:sz w:val="28"/>
          <w:szCs w:val="28"/>
          <w:rtl/>
        </w:rPr>
        <w:t xml:space="preserve"> </w:t>
      </w:r>
    </w:p>
    <w:p w14:paraId="7BDB5123" w14:textId="77777777" w:rsidR="00C47200" w:rsidRDefault="00C47200">
      <w:pPr>
        <w:pStyle w:val="ListParagraph"/>
        <w:spacing w:line="360" w:lineRule="auto"/>
        <w:jc w:val="both"/>
        <w:rPr>
          <w:rFonts w:cs="David"/>
          <w:sz w:val="28"/>
          <w:szCs w:val="28"/>
          <w:rtl/>
        </w:rPr>
      </w:pPr>
    </w:p>
    <w:p w14:paraId="27C4A22E" w14:textId="77777777" w:rsidR="00C47200" w:rsidRDefault="00003007">
      <w:pPr>
        <w:pStyle w:val="ListParagraph"/>
        <w:spacing w:line="360" w:lineRule="auto"/>
        <w:jc w:val="both"/>
        <w:rPr>
          <w:rFonts w:cs="David"/>
          <w:b/>
          <w:bCs/>
          <w:sz w:val="24"/>
          <w:szCs w:val="24"/>
          <w:rtl/>
        </w:rPr>
      </w:pPr>
      <w:r>
        <w:rPr>
          <w:rFonts w:cs="David" w:hint="cs"/>
          <w:sz w:val="28"/>
          <w:szCs w:val="28"/>
          <w:rtl/>
        </w:rPr>
        <w:t xml:space="preserve">ואילו בכל הקשור בעבירה של </w:t>
      </w:r>
      <w:r>
        <w:rPr>
          <w:rFonts w:cs="David" w:hint="cs"/>
          <w:sz w:val="28"/>
          <w:szCs w:val="28"/>
        </w:rPr>
        <w:t xml:space="preserve"> </w:t>
      </w:r>
      <w:r>
        <w:rPr>
          <w:rFonts w:cs="David" w:hint="cs"/>
          <w:b/>
          <w:bCs/>
          <w:sz w:val="28"/>
          <w:szCs w:val="28"/>
          <w:rtl/>
        </w:rPr>
        <w:t>שימוש</w:t>
      </w:r>
      <w:r>
        <w:rPr>
          <w:rFonts w:cs="David" w:hint="cs"/>
          <w:sz w:val="28"/>
          <w:szCs w:val="28"/>
          <w:rtl/>
        </w:rPr>
        <w:t xml:space="preserve"> </w:t>
      </w:r>
      <w:r>
        <w:rPr>
          <w:rFonts w:cs="David" w:hint="cs"/>
          <w:b/>
          <w:bCs/>
          <w:sz w:val="28"/>
          <w:szCs w:val="28"/>
          <w:rtl/>
        </w:rPr>
        <w:t xml:space="preserve">בסם לצריכה עצמית </w:t>
      </w:r>
      <w:r>
        <w:rPr>
          <w:rFonts w:cs="David" w:hint="cs"/>
          <w:sz w:val="28"/>
          <w:szCs w:val="28"/>
          <w:rtl/>
        </w:rPr>
        <w:t xml:space="preserve">כאשר מדובר בסם מסוג  ל.ס.ד  ובכמות של שתי טבליות, הרי שמתחם העונש ההולם לטעמי נע בין מאסר מותנה – לבין 6 חודשי מאסר בפועל </w:t>
      </w:r>
      <w:r>
        <w:rPr>
          <w:rFonts w:cs="David" w:hint="cs"/>
          <w:sz w:val="24"/>
          <w:szCs w:val="24"/>
          <w:rtl/>
        </w:rPr>
        <w:t>(</w:t>
      </w:r>
      <w:hyperlink r:id="rId38" w:history="1">
        <w:r>
          <w:rPr>
            <w:rStyle w:val="Hyperlink"/>
            <w:rFonts w:cs="David" w:hint="cs"/>
            <w:sz w:val="24"/>
            <w:szCs w:val="24"/>
            <w:rtl/>
          </w:rPr>
          <w:t>ת"פ (י-ם) 13819-05-12</w:t>
        </w:r>
      </w:hyperlink>
      <w:r>
        <w:rPr>
          <w:rFonts w:cs="David" w:hint="cs"/>
          <w:sz w:val="24"/>
          <w:szCs w:val="24"/>
          <w:rtl/>
        </w:rPr>
        <w:t xml:space="preserve"> מדינת ישראל נגד מאיר בר טוב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 xml:space="preserve">] </w:t>
      </w:r>
      <w:r>
        <w:rPr>
          <w:rFonts w:cs="David" w:hint="cs"/>
          <w:sz w:val="24"/>
          <w:szCs w:val="24"/>
          <w:rtl/>
        </w:rPr>
        <w:t xml:space="preserve">(21.11.12); </w:t>
      </w:r>
      <w:hyperlink r:id="rId39" w:history="1">
        <w:r>
          <w:rPr>
            <w:rStyle w:val="Hyperlink"/>
            <w:rFonts w:cs="David" w:hint="cs"/>
            <w:sz w:val="24"/>
            <w:szCs w:val="24"/>
            <w:rtl/>
          </w:rPr>
          <w:t>ת"פ 41987-05-10</w:t>
        </w:r>
      </w:hyperlink>
      <w:r>
        <w:rPr>
          <w:rFonts w:cs="David" w:hint="cs"/>
          <w:sz w:val="24"/>
          <w:szCs w:val="24"/>
          <w:rtl/>
        </w:rPr>
        <w:t xml:space="preserve"> מדינת ישראל נגד ידין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 xml:space="preserve">] </w:t>
      </w:r>
      <w:r>
        <w:rPr>
          <w:rFonts w:cs="David" w:hint="cs"/>
          <w:sz w:val="24"/>
          <w:szCs w:val="24"/>
          <w:rtl/>
        </w:rPr>
        <w:t xml:space="preserve">(4.6.13) </w:t>
      </w:r>
      <w:hyperlink r:id="rId40" w:history="1">
        <w:r w:rsidRPr="00003007">
          <w:rPr>
            <w:rFonts w:cs="David" w:hint="eastAsia"/>
            <w:color w:val="0000FF"/>
            <w:sz w:val="24"/>
            <w:szCs w:val="24"/>
            <w:u w:val="single"/>
            <w:rtl/>
          </w:rPr>
          <w:t>ת</w:t>
        </w:r>
        <w:r w:rsidRPr="00003007">
          <w:rPr>
            <w:rFonts w:cs="David"/>
            <w:color w:val="0000FF"/>
            <w:sz w:val="24"/>
            <w:szCs w:val="24"/>
            <w:u w:val="single"/>
            <w:rtl/>
          </w:rPr>
          <w:t>"</w:t>
        </w:r>
        <w:r w:rsidRPr="00003007">
          <w:rPr>
            <w:rFonts w:cs="David" w:hint="eastAsia"/>
            <w:color w:val="0000FF"/>
            <w:sz w:val="24"/>
            <w:szCs w:val="24"/>
            <w:u w:val="single"/>
            <w:rtl/>
          </w:rPr>
          <w:t>פ</w:t>
        </w:r>
        <w:r w:rsidRPr="00003007">
          <w:rPr>
            <w:rFonts w:cs="David"/>
            <w:color w:val="0000FF"/>
            <w:sz w:val="24"/>
            <w:szCs w:val="24"/>
            <w:u w:val="single"/>
            <w:rtl/>
          </w:rPr>
          <w:t xml:space="preserve"> 42974-11-12</w:t>
        </w:r>
      </w:hyperlink>
      <w:r>
        <w:rPr>
          <w:rFonts w:cs="David" w:hint="cs"/>
          <w:sz w:val="24"/>
          <w:szCs w:val="24"/>
          <w:rtl/>
        </w:rPr>
        <w:t xml:space="preserve"> מדינת ישראל נ' זמירו </w:t>
      </w:r>
      <w:r w:rsidR="00484F5C" w:rsidRPr="00484F5C">
        <w:rPr>
          <w:rFonts w:ascii="Times New Roman" w:hAnsi="Times New Roman" w:cs="David"/>
          <w:szCs w:val="24"/>
          <w:rtl/>
        </w:rPr>
        <w:t>[</w:t>
      </w:r>
      <w:r w:rsidR="00484F5C" w:rsidRPr="00484F5C">
        <w:rPr>
          <w:rFonts w:ascii="Times New Roman" w:hAnsi="Times New Roman" w:cs="David" w:hint="eastAsia"/>
          <w:szCs w:val="24"/>
          <w:rtl/>
        </w:rPr>
        <w:t>פורסם</w:t>
      </w:r>
      <w:r w:rsidR="00484F5C" w:rsidRPr="00484F5C">
        <w:rPr>
          <w:rFonts w:ascii="Times New Roman" w:hAnsi="Times New Roman" w:cs="David"/>
          <w:szCs w:val="24"/>
          <w:rtl/>
        </w:rPr>
        <w:t xml:space="preserve"> </w:t>
      </w:r>
      <w:r w:rsidR="00484F5C" w:rsidRPr="00484F5C">
        <w:rPr>
          <w:rFonts w:ascii="Times New Roman" w:hAnsi="Times New Roman" w:cs="David" w:hint="eastAsia"/>
          <w:szCs w:val="24"/>
          <w:rtl/>
        </w:rPr>
        <w:t>בנבו</w:t>
      </w:r>
      <w:r w:rsidR="00484F5C" w:rsidRPr="00484F5C">
        <w:rPr>
          <w:rFonts w:ascii="Times New Roman" w:hAnsi="Times New Roman" w:cs="David"/>
          <w:szCs w:val="24"/>
          <w:rtl/>
        </w:rPr>
        <w:t xml:space="preserve">] </w:t>
      </w:r>
      <w:r>
        <w:rPr>
          <w:rFonts w:cs="David" w:hint="cs"/>
          <w:sz w:val="24"/>
          <w:szCs w:val="24"/>
          <w:rtl/>
        </w:rPr>
        <w:t>(12.11.13)).</w:t>
      </w:r>
    </w:p>
    <w:p w14:paraId="3D8E78EE" w14:textId="77777777" w:rsidR="00C47200" w:rsidRDefault="00C47200">
      <w:pPr>
        <w:pStyle w:val="ListParagraph"/>
        <w:spacing w:line="360" w:lineRule="auto"/>
        <w:ind w:left="360"/>
        <w:jc w:val="both"/>
        <w:rPr>
          <w:rFonts w:cs="David"/>
          <w:sz w:val="24"/>
          <w:szCs w:val="24"/>
          <w:rtl/>
        </w:rPr>
      </w:pPr>
    </w:p>
    <w:p w14:paraId="1DC22179" w14:textId="77777777" w:rsidR="00C47200" w:rsidRDefault="00003007">
      <w:pPr>
        <w:spacing w:line="360" w:lineRule="auto"/>
        <w:ind w:left="720" w:hanging="720"/>
        <w:jc w:val="both"/>
        <w:rPr>
          <w:sz w:val="28"/>
          <w:szCs w:val="28"/>
          <w:rtl/>
        </w:rPr>
      </w:pPr>
      <w:r>
        <w:rPr>
          <w:rFonts w:hint="cs"/>
          <w:sz w:val="28"/>
          <w:szCs w:val="28"/>
          <w:rtl/>
        </w:rPr>
        <w:t>10.</w:t>
      </w:r>
      <w:r>
        <w:rPr>
          <w:rFonts w:hint="cs"/>
          <w:sz w:val="28"/>
          <w:szCs w:val="28"/>
          <w:rtl/>
        </w:rPr>
        <w:tab/>
        <w:t>מעשיו של הנאשם ראויים לעונש הולם, אך לצד זאת אין להתעלם גם  מהשיקולים העומדים לזכותו.</w:t>
      </w:r>
    </w:p>
    <w:p w14:paraId="3B8ADEB9" w14:textId="77777777" w:rsidR="00C47200" w:rsidRDefault="00C47200">
      <w:pPr>
        <w:pStyle w:val="ListParagraph"/>
        <w:spacing w:line="360" w:lineRule="auto"/>
        <w:ind w:left="360" w:firstLine="360"/>
        <w:jc w:val="both"/>
        <w:rPr>
          <w:rFonts w:cs="David"/>
          <w:sz w:val="28"/>
          <w:szCs w:val="28"/>
          <w:rtl/>
        </w:rPr>
      </w:pPr>
    </w:p>
    <w:p w14:paraId="598F28C9" w14:textId="77777777" w:rsidR="00C47200" w:rsidRDefault="00003007">
      <w:pPr>
        <w:pStyle w:val="ListParagraph"/>
        <w:spacing w:line="360" w:lineRule="auto"/>
        <w:jc w:val="both"/>
        <w:rPr>
          <w:rFonts w:cs="David"/>
          <w:sz w:val="28"/>
          <w:szCs w:val="28"/>
          <w:rtl/>
        </w:rPr>
      </w:pPr>
      <w:r>
        <w:rPr>
          <w:rFonts w:cs="David" w:hint="cs"/>
          <w:sz w:val="28"/>
          <w:szCs w:val="28"/>
          <w:rtl/>
        </w:rPr>
        <w:t>הנאשם הודה בעבירות המיוחסות לו, ואף צירף תיק נוסף כאשר כתב האישום בתיק העיקרי תוקן לקולא באופן משמעותי ונמחקו ממנו עובדות רבות. הנאשם נטל אחריות מלאה על מעשיו, והביע חרטה כנה על מה שאירע, כשהודייתו חסכה זמן שיפוטי יקר וחסכה את זמנם של עדים.</w:t>
      </w:r>
      <w:r>
        <w:rPr>
          <w:rFonts w:cs="David" w:hint="cs"/>
          <w:sz w:val="28"/>
          <w:szCs w:val="28"/>
        </w:rPr>
        <w:t xml:space="preserve"> </w:t>
      </w:r>
    </w:p>
    <w:p w14:paraId="641C8F18" w14:textId="77777777" w:rsidR="00C47200" w:rsidRDefault="00003007">
      <w:pPr>
        <w:pStyle w:val="ListParagraph"/>
        <w:spacing w:line="360" w:lineRule="auto"/>
        <w:jc w:val="both"/>
        <w:rPr>
          <w:rFonts w:cs="David"/>
          <w:sz w:val="28"/>
          <w:szCs w:val="28"/>
          <w:rtl/>
        </w:rPr>
      </w:pPr>
      <w:r>
        <w:rPr>
          <w:rFonts w:cs="David" w:hint="cs"/>
          <w:sz w:val="28"/>
          <w:szCs w:val="28"/>
          <w:rtl/>
        </w:rPr>
        <w:t>מאז בוצעו העבירות חלפו כשלוש וחצי שנים, והנאשם לא הסתבך עם החוק פעם נוספת, וההליך הטיפולי בו השתתף</w:t>
      </w:r>
      <w:r>
        <w:rPr>
          <w:rFonts w:cs="David" w:hint="cs"/>
          <w:sz w:val="28"/>
          <w:szCs w:val="28"/>
        </w:rPr>
        <w:t xml:space="preserve"> </w:t>
      </w:r>
      <w:r>
        <w:rPr>
          <w:rFonts w:cs="David" w:hint="cs"/>
          <w:sz w:val="28"/>
          <w:szCs w:val="28"/>
          <w:rtl/>
        </w:rPr>
        <w:t>הניב תוצאות חיוביות, הנאשם מתמיד בדרך זו, מוסר בדיקות תכופות מהן עולה כי הפסיק לחלוטין את השימוש בסם.</w:t>
      </w:r>
    </w:p>
    <w:p w14:paraId="36AA7106" w14:textId="77777777" w:rsidR="00C47200" w:rsidRDefault="00003007">
      <w:pPr>
        <w:pStyle w:val="ListParagraph"/>
        <w:spacing w:line="360" w:lineRule="auto"/>
        <w:jc w:val="both"/>
        <w:rPr>
          <w:rFonts w:cs="David"/>
          <w:sz w:val="28"/>
          <w:szCs w:val="28"/>
          <w:rtl/>
        </w:rPr>
      </w:pPr>
      <w:r>
        <w:rPr>
          <w:rFonts w:cs="David" w:hint="cs"/>
          <w:sz w:val="28"/>
          <w:szCs w:val="28"/>
          <w:rtl/>
        </w:rPr>
        <w:t xml:space="preserve">הנאשם השתלב  במעגל העבודה, הוא תורם מעצמו לקהילת נוער בסיכון, ומוערך מאוד ע"י הגורמים הממונים, כפי שעולה מהמסמכים שהוצגו (נ/1). </w:t>
      </w:r>
    </w:p>
    <w:p w14:paraId="43BEBCD6" w14:textId="77777777" w:rsidR="00C47200" w:rsidRDefault="00003007">
      <w:pPr>
        <w:pStyle w:val="ListParagraph"/>
        <w:spacing w:line="360" w:lineRule="auto"/>
        <w:jc w:val="both"/>
        <w:rPr>
          <w:rFonts w:cs="David"/>
          <w:sz w:val="28"/>
          <w:szCs w:val="28"/>
          <w:rtl/>
        </w:rPr>
      </w:pPr>
      <w:r>
        <w:rPr>
          <w:rFonts w:cs="David" w:hint="cs"/>
          <w:sz w:val="28"/>
          <w:szCs w:val="28"/>
          <w:rtl/>
        </w:rPr>
        <w:t xml:space="preserve">הנאשם היה נתון במעצר, כמו גם במעצר בית בתנאים מגבילים, וזאת במשך תקופה לא קצרה, ואין ספק כי הדבר הותיר עליו את חותמו. </w:t>
      </w:r>
    </w:p>
    <w:p w14:paraId="075F266D" w14:textId="77777777" w:rsidR="00C47200" w:rsidRDefault="00C47200">
      <w:pPr>
        <w:pStyle w:val="ListParagraph"/>
        <w:spacing w:line="360" w:lineRule="auto"/>
        <w:ind w:left="360"/>
        <w:jc w:val="both"/>
        <w:rPr>
          <w:rFonts w:cs="David"/>
          <w:sz w:val="28"/>
          <w:szCs w:val="28"/>
          <w:rtl/>
        </w:rPr>
      </w:pPr>
    </w:p>
    <w:p w14:paraId="6851DE6A" w14:textId="77777777" w:rsidR="00C47200" w:rsidRDefault="00003007">
      <w:pPr>
        <w:pStyle w:val="ListParagraph"/>
        <w:spacing w:line="360" w:lineRule="auto"/>
        <w:jc w:val="both"/>
        <w:rPr>
          <w:rFonts w:cs="David"/>
          <w:sz w:val="28"/>
          <w:szCs w:val="28"/>
          <w:rtl/>
        </w:rPr>
      </w:pPr>
      <w:r>
        <w:rPr>
          <w:rFonts w:cs="David" w:hint="cs"/>
          <w:sz w:val="28"/>
          <w:szCs w:val="28"/>
          <w:rtl/>
        </w:rPr>
        <w:t>הנאשם  הביע חרטה על המעשים, והתייחס לשינוי החיובי שעבר מאז ביצע את העבירות, תיאר את עבודתו הנוכחית, את הסיפוק שהוא שואב ממנה ואת רצונו להמשיך ולעסוק בחינוך מיוחד, ויש לקוות כי זו תהיה דרכו בעתיד.</w:t>
      </w:r>
    </w:p>
    <w:p w14:paraId="27CE78E7" w14:textId="77777777" w:rsidR="00C47200" w:rsidRDefault="00003007">
      <w:pPr>
        <w:spacing w:line="360" w:lineRule="auto"/>
        <w:ind w:left="720" w:hanging="720"/>
        <w:jc w:val="both"/>
        <w:rPr>
          <w:sz w:val="28"/>
          <w:szCs w:val="28"/>
          <w:rtl/>
        </w:rPr>
      </w:pPr>
      <w:r>
        <w:rPr>
          <w:rFonts w:ascii="Calibri" w:eastAsia="Times New Roman" w:hAnsi="Calibri" w:hint="cs"/>
          <w:sz w:val="28"/>
          <w:szCs w:val="28"/>
          <w:rtl/>
        </w:rPr>
        <w:t>11.</w:t>
      </w:r>
      <w:r>
        <w:rPr>
          <w:rFonts w:ascii="Calibri" w:eastAsia="Times New Roman" w:hAnsi="Calibri" w:hint="cs"/>
          <w:sz w:val="28"/>
          <w:szCs w:val="28"/>
          <w:rtl/>
        </w:rPr>
        <w:tab/>
      </w:r>
      <w:r>
        <w:rPr>
          <w:rFonts w:hint="cs"/>
          <w:sz w:val="28"/>
          <w:szCs w:val="28"/>
          <w:rtl/>
        </w:rPr>
        <w:t>כשאני שוקלת את כלל הנסיבות שציינתי לעיל, כשמצד אחד את הענישה הנדרשת בגין העבירות שאין להקל ראש בחומרתן, ומנגד כל הנימוקים הנזקפים לזכותו של הנאשם, אני גוזרת עליו את העונשים הבאים:</w:t>
      </w:r>
    </w:p>
    <w:p w14:paraId="3700FB14" w14:textId="77777777" w:rsidR="00C47200" w:rsidRDefault="00C47200">
      <w:pPr>
        <w:spacing w:line="360" w:lineRule="auto"/>
        <w:ind w:left="720" w:hanging="720"/>
        <w:jc w:val="both"/>
        <w:rPr>
          <w:sz w:val="28"/>
          <w:szCs w:val="28"/>
          <w:rtl/>
        </w:rPr>
      </w:pPr>
    </w:p>
    <w:p w14:paraId="3BACFAD8" w14:textId="77777777" w:rsidR="00C47200" w:rsidRDefault="00003007">
      <w:pPr>
        <w:spacing w:line="360" w:lineRule="auto"/>
        <w:ind w:left="1440" w:hanging="720"/>
        <w:jc w:val="both"/>
        <w:rPr>
          <w:sz w:val="28"/>
          <w:szCs w:val="28"/>
        </w:rPr>
      </w:pPr>
      <w:r>
        <w:rPr>
          <w:rFonts w:hint="cs"/>
          <w:sz w:val="28"/>
          <w:szCs w:val="28"/>
          <w:rtl/>
        </w:rPr>
        <w:t>א.</w:t>
      </w:r>
      <w:r>
        <w:rPr>
          <w:rFonts w:hint="cs"/>
          <w:sz w:val="28"/>
          <w:szCs w:val="28"/>
          <w:rtl/>
        </w:rPr>
        <w:tab/>
        <w:t>6 חודשי מאסר אשר ירוצו בעבודות שירות, בהתאם לחוות הדעת שהתקבלה מאת הממונה.</w:t>
      </w:r>
    </w:p>
    <w:p w14:paraId="761FFC5E" w14:textId="77777777" w:rsidR="00C47200" w:rsidRDefault="00C47200">
      <w:pPr>
        <w:spacing w:line="360" w:lineRule="auto"/>
        <w:ind w:left="1440" w:hanging="720"/>
        <w:jc w:val="both"/>
        <w:rPr>
          <w:sz w:val="28"/>
          <w:szCs w:val="28"/>
          <w:u w:val="single"/>
          <w:rtl/>
        </w:rPr>
      </w:pPr>
    </w:p>
    <w:p w14:paraId="4421A26D" w14:textId="77777777" w:rsidR="00C47200" w:rsidRDefault="00003007">
      <w:pPr>
        <w:spacing w:line="360" w:lineRule="auto"/>
        <w:ind w:left="1440" w:hanging="720"/>
        <w:jc w:val="both"/>
        <w:rPr>
          <w:sz w:val="28"/>
          <w:szCs w:val="28"/>
          <w:rtl/>
        </w:rPr>
      </w:pPr>
      <w:r>
        <w:rPr>
          <w:rFonts w:hint="cs"/>
          <w:sz w:val="28"/>
          <w:szCs w:val="28"/>
          <w:rtl/>
        </w:rPr>
        <w:t>ב.</w:t>
      </w:r>
      <w:r>
        <w:rPr>
          <w:rFonts w:hint="cs"/>
          <w:sz w:val="28"/>
          <w:szCs w:val="28"/>
          <w:rtl/>
        </w:rPr>
        <w:tab/>
        <w:t xml:space="preserve">8 חודשי מאסר על תנאי לתקופה של 3 שנים, והתנאי הוא שהנאשם לא יעבור כל עבירה מסוג פשע על </w:t>
      </w:r>
      <w:hyperlink r:id="rId41" w:history="1">
        <w:r w:rsidRPr="00003007">
          <w:rPr>
            <w:color w:val="0000FF"/>
            <w:sz w:val="28"/>
            <w:szCs w:val="28"/>
            <w:u w:val="single"/>
            <w:rtl/>
          </w:rPr>
          <w:t>פקודת הסמים המסוכנים</w:t>
        </w:r>
      </w:hyperlink>
      <w:r>
        <w:rPr>
          <w:rFonts w:hint="cs"/>
          <w:sz w:val="28"/>
          <w:szCs w:val="28"/>
          <w:rtl/>
        </w:rPr>
        <w:t>.</w:t>
      </w:r>
      <w:r>
        <w:rPr>
          <w:rFonts w:hint="cs"/>
          <w:sz w:val="28"/>
          <w:szCs w:val="28"/>
        </w:rPr>
        <w:t xml:space="preserve"> </w:t>
      </w:r>
    </w:p>
    <w:p w14:paraId="5961083D" w14:textId="77777777" w:rsidR="00C47200" w:rsidRDefault="00C47200">
      <w:pPr>
        <w:spacing w:line="360" w:lineRule="auto"/>
        <w:ind w:left="1440" w:hanging="720"/>
        <w:jc w:val="both"/>
        <w:rPr>
          <w:sz w:val="28"/>
          <w:szCs w:val="28"/>
          <w:rtl/>
        </w:rPr>
      </w:pPr>
    </w:p>
    <w:p w14:paraId="7A85E16D" w14:textId="77777777" w:rsidR="00C47200" w:rsidRDefault="00003007">
      <w:pPr>
        <w:spacing w:line="360" w:lineRule="auto"/>
        <w:ind w:left="1440" w:hanging="720"/>
        <w:jc w:val="both"/>
        <w:rPr>
          <w:sz w:val="28"/>
          <w:szCs w:val="28"/>
          <w:rtl/>
        </w:rPr>
      </w:pPr>
      <w:r>
        <w:rPr>
          <w:rFonts w:hint="cs"/>
          <w:sz w:val="28"/>
          <w:szCs w:val="28"/>
          <w:rtl/>
        </w:rPr>
        <w:t>ג.</w:t>
      </w:r>
      <w:r>
        <w:rPr>
          <w:rFonts w:hint="cs"/>
          <w:sz w:val="28"/>
          <w:szCs w:val="28"/>
          <w:rtl/>
        </w:rPr>
        <w:tab/>
        <w:t xml:space="preserve">4 חודשי מאסר על תנאי לתקופה של 3 שנים, והתנאי הוא שהנאשם לא יעבור כל עבירה מסוג עוון על </w:t>
      </w:r>
      <w:hyperlink r:id="rId42" w:history="1">
        <w:r w:rsidRPr="00003007">
          <w:rPr>
            <w:color w:val="0000FF"/>
            <w:sz w:val="28"/>
            <w:szCs w:val="28"/>
            <w:u w:val="single"/>
            <w:rtl/>
          </w:rPr>
          <w:t>פקודת הסמים המסוכנים</w:t>
        </w:r>
      </w:hyperlink>
      <w:r>
        <w:rPr>
          <w:rFonts w:hint="cs"/>
          <w:sz w:val="28"/>
          <w:szCs w:val="28"/>
          <w:rtl/>
        </w:rPr>
        <w:t>.</w:t>
      </w:r>
    </w:p>
    <w:p w14:paraId="7D26078F" w14:textId="77777777" w:rsidR="00C47200" w:rsidRDefault="00C47200">
      <w:pPr>
        <w:spacing w:line="360" w:lineRule="auto"/>
        <w:ind w:left="1440" w:hanging="720"/>
        <w:jc w:val="both"/>
        <w:rPr>
          <w:sz w:val="28"/>
          <w:szCs w:val="28"/>
          <w:rtl/>
        </w:rPr>
      </w:pPr>
    </w:p>
    <w:p w14:paraId="36FCE79F" w14:textId="77777777" w:rsidR="00C47200" w:rsidRDefault="00003007">
      <w:pPr>
        <w:spacing w:line="360" w:lineRule="auto"/>
        <w:ind w:left="1440" w:hanging="720"/>
        <w:jc w:val="both"/>
        <w:rPr>
          <w:sz w:val="28"/>
          <w:szCs w:val="28"/>
          <w:rtl/>
        </w:rPr>
      </w:pPr>
      <w:r>
        <w:rPr>
          <w:rFonts w:hint="cs"/>
          <w:sz w:val="28"/>
          <w:szCs w:val="28"/>
          <w:rtl/>
        </w:rPr>
        <w:t>ד.</w:t>
      </w:r>
      <w:r>
        <w:rPr>
          <w:rFonts w:hint="cs"/>
          <w:sz w:val="28"/>
          <w:szCs w:val="28"/>
          <w:rtl/>
        </w:rPr>
        <w:tab/>
        <w:t>אני פוסלת את הנאשם מלקבל או להחזיק רשיון נהיגה לתקופה של 8 חודשים.</w:t>
      </w:r>
    </w:p>
    <w:p w14:paraId="1F4E7D2E" w14:textId="77777777" w:rsidR="00C47200" w:rsidRDefault="00C47200">
      <w:pPr>
        <w:spacing w:line="360" w:lineRule="auto"/>
        <w:ind w:left="1440" w:hanging="720"/>
        <w:jc w:val="both"/>
        <w:rPr>
          <w:sz w:val="28"/>
          <w:szCs w:val="28"/>
          <w:rtl/>
        </w:rPr>
      </w:pPr>
    </w:p>
    <w:p w14:paraId="21250CF4" w14:textId="77777777" w:rsidR="00C47200" w:rsidRDefault="00003007" w:rsidP="00484F5C">
      <w:pPr>
        <w:spacing w:line="360" w:lineRule="auto"/>
        <w:ind w:left="1440" w:hanging="720"/>
        <w:jc w:val="both"/>
        <w:rPr>
          <w:sz w:val="28"/>
          <w:szCs w:val="28"/>
          <w:rtl/>
        </w:rPr>
      </w:pPr>
      <w:r>
        <w:rPr>
          <w:rFonts w:hint="cs"/>
          <w:sz w:val="28"/>
          <w:szCs w:val="28"/>
          <w:rtl/>
        </w:rPr>
        <w:t>ה.</w:t>
      </w:r>
      <w:r>
        <w:rPr>
          <w:rFonts w:hint="cs"/>
          <w:sz w:val="28"/>
          <w:szCs w:val="28"/>
          <w:rtl/>
        </w:rPr>
        <w:tab/>
        <w:t xml:space="preserve">קנס בסך 2500 ₪ אשר ישולמו מתוך הכספים שהופקדו בתיק </w:t>
      </w:r>
      <w:hyperlink r:id="rId43" w:history="1">
        <w:r w:rsidRPr="00003007">
          <w:rPr>
            <w:color w:val="0000FF"/>
            <w:sz w:val="28"/>
            <w:szCs w:val="28"/>
            <w:u w:val="single"/>
            <w:rtl/>
          </w:rPr>
          <w:t>מ"ת 5818-11-10</w:t>
        </w:r>
      </w:hyperlink>
      <w:r w:rsidR="00484F5C">
        <w:rPr>
          <w:rFonts w:hint="cs"/>
          <w:sz w:val="28"/>
          <w:szCs w:val="28"/>
          <w:rtl/>
        </w:rPr>
        <w:t xml:space="preserve"> </w:t>
      </w:r>
      <w:r w:rsidR="00484F5C" w:rsidRPr="00484F5C">
        <w:rPr>
          <w:rFonts w:ascii="Times New Roman" w:hAnsi="Times New Roman"/>
          <w:sz w:val="22"/>
          <w:rtl/>
        </w:rPr>
        <w:t>[פורסם בנבו]</w:t>
      </w:r>
      <w:r>
        <w:rPr>
          <w:rFonts w:hint="cs"/>
          <w:sz w:val="28"/>
          <w:szCs w:val="28"/>
          <w:rtl/>
        </w:rPr>
        <w:t>.</w:t>
      </w:r>
    </w:p>
    <w:p w14:paraId="256EABCF" w14:textId="77777777" w:rsidR="00C47200" w:rsidRDefault="00C47200">
      <w:pPr>
        <w:spacing w:line="360" w:lineRule="auto"/>
        <w:ind w:left="1440" w:hanging="720"/>
        <w:jc w:val="both"/>
        <w:rPr>
          <w:sz w:val="28"/>
          <w:szCs w:val="28"/>
          <w:rtl/>
        </w:rPr>
      </w:pPr>
    </w:p>
    <w:p w14:paraId="21C1DC66" w14:textId="77777777" w:rsidR="00C47200" w:rsidRDefault="00003007">
      <w:pPr>
        <w:spacing w:line="360" w:lineRule="auto"/>
        <w:ind w:left="1440" w:hanging="720"/>
        <w:jc w:val="both"/>
        <w:rPr>
          <w:sz w:val="28"/>
          <w:szCs w:val="28"/>
          <w:rtl/>
        </w:rPr>
      </w:pPr>
      <w:r>
        <w:rPr>
          <w:rFonts w:hint="cs"/>
          <w:sz w:val="28"/>
          <w:szCs w:val="28"/>
          <w:rtl/>
        </w:rPr>
        <w:t>ו.</w:t>
      </w:r>
      <w:r>
        <w:rPr>
          <w:rFonts w:hint="cs"/>
          <w:sz w:val="28"/>
          <w:szCs w:val="28"/>
          <w:rtl/>
        </w:rPr>
        <w:tab/>
        <w:t xml:space="preserve">ניתן בזה צו להשמיד את המוצגים לאחר חלוף תקופת הערעור. </w:t>
      </w:r>
    </w:p>
    <w:p w14:paraId="2530F160" w14:textId="77777777" w:rsidR="00C47200" w:rsidRDefault="00C47200">
      <w:pPr>
        <w:pStyle w:val="a3"/>
        <w:jc w:val="center"/>
        <w:rPr>
          <w:sz w:val="28"/>
          <w:szCs w:val="28"/>
          <w:rtl/>
        </w:rPr>
      </w:pPr>
    </w:p>
    <w:p w14:paraId="61A8ABD1" w14:textId="77777777" w:rsidR="00C47200" w:rsidRDefault="00C47200">
      <w:pPr>
        <w:pStyle w:val="a3"/>
        <w:jc w:val="center"/>
        <w:rPr>
          <w:sz w:val="28"/>
          <w:szCs w:val="28"/>
          <w:rtl/>
        </w:rPr>
      </w:pPr>
    </w:p>
    <w:p w14:paraId="1ED456C1" w14:textId="77777777" w:rsidR="00C47200" w:rsidRDefault="00003007">
      <w:pPr>
        <w:pStyle w:val="a3"/>
        <w:jc w:val="center"/>
        <w:rPr>
          <w:sz w:val="6"/>
          <w:szCs w:val="6"/>
          <w:rtl/>
        </w:rPr>
      </w:pPr>
      <w:r>
        <w:rPr>
          <w:sz w:val="6"/>
          <w:szCs w:val="6"/>
          <w:rtl/>
        </w:rPr>
        <w:t>&lt;#4#&gt;</w:t>
      </w:r>
    </w:p>
    <w:p w14:paraId="5310FE2F" w14:textId="77777777" w:rsidR="00C47200" w:rsidRDefault="00C47200">
      <w:pPr>
        <w:jc w:val="right"/>
        <w:rPr>
          <w:rtl/>
        </w:rPr>
      </w:pPr>
    </w:p>
    <w:p w14:paraId="4DF42345" w14:textId="77777777" w:rsidR="00C47200" w:rsidRDefault="00003007">
      <w:pPr>
        <w:spacing w:line="360" w:lineRule="auto"/>
        <w:rPr>
          <w:rtl/>
        </w:rPr>
      </w:pPr>
      <w:r>
        <w:rPr>
          <w:rFonts w:hint="cs"/>
          <w:b/>
          <w:bCs/>
          <w:rtl/>
        </w:rPr>
        <w:t xml:space="preserve">ניתנה והודעה היום </w:t>
      </w:r>
      <w:r>
        <w:rPr>
          <w:rFonts w:hint="cs"/>
          <w:rtl/>
        </w:rPr>
        <w:t>י"ח אדר תשע"ד</w:t>
      </w:r>
      <w:r>
        <w:rPr>
          <w:rFonts w:hint="cs"/>
          <w:b/>
          <w:bCs/>
          <w:rtl/>
        </w:rPr>
        <w:t xml:space="preserve">, </w:t>
      </w:r>
      <w:r>
        <w:rPr>
          <w:rFonts w:hint="cs"/>
          <w:rtl/>
        </w:rPr>
        <w:t>18/02/2014</w:t>
      </w:r>
      <w:r>
        <w:rPr>
          <w:rFonts w:hint="cs"/>
          <w:b/>
          <w:bCs/>
          <w:rtl/>
        </w:rPr>
        <w:t xml:space="preserve"> במעמד הנוכחים.</w:t>
      </w:r>
    </w:p>
    <w:p w14:paraId="29F9F1DF" w14:textId="77777777" w:rsidR="00C47200" w:rsidRDefault="00C47200">
      <w:pPr>
        <w:jc w:val="center"/>
        <w:rPr>
          <w:rtl/>
        </w:rPr>
      </w:pPr>
    </w:p>
    <w:p w14:paraId="74C0CFC0" w14:textId="77777777" w:rsidR="00C47200" w:rsidRDefault="00C47200">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47200" w14:paraId="143E9EED" w14:textId="77777777">
        <w:trPr>
          <w:trHeight w:val="364"/>
          <w:jc w:val="right"/>
        </w:trPr>
        <w:tc>
          <w:tcPr>
            <w:tcW w:w="3708" w:type="dxa"/>
          </w:tcPr>
          <w:p w14:paraId="23EEED7E" w14:textId="77777777" w:rsidR="00C47200" w:rsidRDefault="00C47200">
            <w:pPr>
              <w:jc w:val="center"/>
              <w:rPr>
                <w:rFonts w:ascii="Times New Roman" w:eastAsia="Times New Roman" w:hAnsi="Times New Roman" w:cs="Times New Roman"/>
              </w:rPr>
            </w:pPr>
          </w:p>
          <w:p w14:paraId="2019AE40" w14:textId="77777777" w:rsidR="00C47200" w:rsidRDefault="00C47200">
            <w:pPr>
              <w:jc w:val="center"/>
              <w:rPr>
                <w:rFonts w:ascii="Times New Roman" w:eastAsia="Times New Roman" w:hAnsi="Times New Roman" w:cs="Times New Roman"/>
                <w:rtl/>
              </w:rPr>
            </w:pPr>
          </w:p>
        </w:tc>
      </w:tr>
      <w:tr w:rsidR="00C47200" w14:paraId="258FA2DA" w14:textId="77777777">
        <w:trPr>
          <w:trHeight w:val="415"/>
          <w:jc w:val="right"/>
        </w:trPr>
        <w:tc>
          <w:tcPr>
            <w:tcW w:w="3708" w:type="dxa"/>
          </w:tcPr>
          <w:p w14:paraId="41639D20" w14:textId="77777777" w:rsidR="00C47200" w:rsidRDefault="00003007">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126750F3" w14:textId="77777777" w:rsidR="00C47200" w:rsidRDefault="00C47200">
      <w:pPr>
        <w:jc w:val="right"/>
        <w:rPr>
          <w:rtl/>
        </w:rPr>
      </w:pPr>
    </w:p>
    <w:p w14:paraId="20994642" w14:textId="77777777" w:rsidR="00C47200" w:rsidRDefault="00C47200">
      <w:pPr>
        <w:pStyle w:val="a3"/>
        <w:jc w:val="center"/>
        <w:rPr>
          <w:rtl/>
        </w:rPr>
      </w:pPr>
    </w:p>
    <w:p w14:paraId="33290C7F" w14:textId="77777777" w:rsidR="00C47200" w:rsidRDefault="00003007">
      <w:pPr>
        <w:pStyle w:val="a3"/>
        <w:jc w:val="center"/>
        <w:rPr>
          <w:sz w:val="6"/>
          <w:szCs w:val="6"/>
          <w:rtl/>
        </w:rPr>
      </w:pPr>
      <w:r>
        <w:rPr>
          <w:sz w:val="6"/>
          <w:szCs w:val="6"/>
          <w:rtl/>
        </w:rPr>
        <w:t>&lt;#5#&gt;</w:t>
      </w:r>
    </w:p>
    <w:p w14:paraId="48D138A8" w14:textId="77777777" w:rsidR="00C47200" w:rsidRDefault="0000300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D775AAD" w14:textId="77777777" w:rsidR="00C47200" w:rsidRDefault="00C47200">
      <w:pPr>
        <w:spacing w:line="360" w:lineRule="auto"/>
        <w:jc w:val="both"/>
        <w:rPr>
          <w:rtl/>
        </w:rPr>
      </w:pPr>
    </w:p>
    <w:p w14:paraId="06DE69EE" w14:textId="77777777" w:rsidR="00C47200" w:rsidRDefault="00C47200">
      <w:pPr>
        <w:pStyle w:val="a3"/>
        <w:jc w:val="center"/>
        <w:rPr>
          <w:rtl/>
        </w:rPr>
      </w:pPr>
    </w:p>
    <w:p w14:paraId="1D928317" w14:textId="77777777" w:rsidR="00C47200" w:rsidRDefault="00003007">
      <w:pPr>
        <w:spacing w:line="360" w:lineRule="auto"/>
        <w:rPr>
          <w:sz w:val="28"/>
          <w:szCs w:val="28"/>
          <w:rtl/>
        </w:rPr>
      </w:pPr>
      <w:r>
        <w:rPr>
          <w:rFonts w:hint="cs"/>
          <w:sz w:val="28"/>
          <w:szCs w:val="28"/>
          <w:rtl/>
        </w:rPr>
        <w:t xml:space="preserve">בהמשך לגזר הדין לעיל,  אני מורה כי הנאשם ירצה את עבודות השירות בבית אבות "משען" גבעתיים, רחוב מצולות ים 9 גבעתיים.   </w:t>
      </w:r>
    </w:p>
    <w:p w14:paraId="18BBC29A" w14:textId="77777777" w:rsidR="00C47200" w:rsidRDefault="00003007">
      <w:pPr>
        <w:spacing w:line="360" w:lineRule="auto"/>
        <w:rPr>
          <w:sz w:val="28"/>
          <w:szCs w:val="28"/>
          <w:rtl/>
        </w:rPr>
      </w:pPr>
      <w:r>
        <w:rPr>
          <w:rFonts w:hint="cs"/>
          <w:sz w:val="28"/>
          <w:szCs w:val="28"/>
          <w:rtl/>
        </w:rPr>
        <w:t>על הנאשם לעבוד 5 ימים בשבוע, 8.5 שעות בכל יום.</w:t>
      </w:r>
    </w:p>
    <w:p w14:paraId="76255F17" w14:textId="77777777" w:rsidR="00C47200" w:rsidRDefault="00C47200">
      <w:pPr>
        <w:spacing w:line="360" w:lineRule="auto"/>
        <w:rPr>
          <w:sz w:val="28"/>
          <w:szCs w:val="28"/>
          <w:rtl/>
        </w:rPr>
      </w:pPr>
    </w:p>
    <w:p w14:paraId="12BDEAB2" w14:textId="77777777" w:rsidR="00C47200" w:rsidRDefault="00003007">
      <w:pPr>
        <w:spacing w:line="360" w:lineRule="auto"/>
        <w:rPr>
          <w:sz w:val="28"/>
          <w:szCs w:val="28"/>
          <w:rtl/>
        </w:rPr>
      </w:pPr>
      <w:r>
        <w:rPr>
          <w:rFonts w:hint="cs"/>
          <w:sz w:val="28"/>
          <w:szCs w:val="28"/>
          <w:rtl/>
        </w:rPr>
        <w:t>תשומת לב הנאשם כי עליו לעדכן את הממונה בכל שינוי בכתובתו, אם יהיה כזה, ועליו לדעת כי יתכנו ביקורי פתע וכל הפרה מצידו עלולה להביא להפסקה מינהלית ולריצוי עונש מאסר בפועל.</w:t>
      </w:r>
    </w:p>
    <w:p w14:paraId="1AE17387" w14:textId="77777777" w:rsidR="00C47200" w:rsidRDefault="00C47200">
      <w:pPr>
        <w:spacing w:line="360" w:lineRule="auto"/>
        <w:rPr>
          <w:sz w:val="28"/>
          <w:szCs w:val="28"/>
          <w:rtl/>
        </w:rPr>
      </w:pPr>
    </w:p>
    <w:p w14:paraId="5619B2BF" w14:textId="77777777" w:rsidR="00C47200" w:rsidRDefault="00003007">
      <w:pPr>
        <w:spacing w:line="360" w:lineRule="auto"/>
        <w:rPr>
          <w:sz w:val="28"/>
          <w:szCs w:val="28"/>
          <w:rtl/>
        </w:rPr>
      </w:pPr>
      <w:r>
        <w:rPr>
          <w:rFonts w:hint="cs"/>
          <w:sz w:val="28"/>
          <w:szCs w:val="28"/>
          <w:rtl/>
        </w:rPr>
        <w:t xml:space="preserve">תחילת עבודות השירות ביום 1.4.14  ויש להתייצב בתחילת העבודות במפקדת מחוז מרכז יחידת עבודות שירות ברמלה, בשעה 08:00 בבוקר. </w:t>
      </w:r>
    </w:p>
    <w:p w14:paraId="32EB25C6" w14:textId="77777777" w:rsidR="00C47200" w:rsidRDefault="00C47200">
      <w:pPr>
        <w:spacing w:line="360" w:lineRule="auto"/>
        <w:rPr>
          <w:sz w:val="28"/>
          <w:szCs w:val="28"/>
          <w:rtl/>
        </w:rPr>
      </w:pPr>
    </w:p>
    <w:p w14:paraId="0214F559" w14:textId="77777777" w:rsidR="00C47200" w:rsidRDefault="00003007">
      <w:pPr>
        <w:spacing w:line="360" w:lineRule="auto"/>
        <w:rPr>
          <w:b/>
          <w:bCs/>
          <w:sz w:val="28"/>
          <w:szCs w:val="28"/>
          <w:u w:val="single"/>
          <w:rtl/>
        </w:rPr>
      </w:pPr>
      <w:r>
        <w:rPr>
          <w:rFonts w:hint="cs"/>
          <w:b/>
          <w:bCs/>
          <w:sz w:val="28"/>
          <w:szCs w:val="28"/>
          <w:u w:val="single"/>
          <w:rtl/>
        </w:rPr>
        <w:t>דרכון שהופקד על ידי הנאשם יוחזר לידיו.</w:t>
      </w:r>
    </w:p>
    <w:p w14:paraId="791517B1" w14:textId="77777777" w:rsidR="00C47200" w:rsidRDefault="00C47200">
      <w:pPr>
        <w:spacing w:line="360" w:lineRule="auto"/>
        <w:rPr>
          <w:sz w:val="28"/>
          <w:szCs w:val="28"/>
          <w:rtl/>
        </w:rPr>
      </w:pPr>
    </w:p>
    <w:p w14:paraId="393AE2A1" w14:textId="77777777" w:rsidR="00C47200" w:rsidRDefault="00003007">
      <w:pPr>
        <w:spacing w:line="360" w:lineRule="auto"/>
        <w:rPr>
          <w:b/>
          <w:bCs/>
          <w:sz w:val="28"/>
          <w:szCs w:val="28"/>
          <w:u w:val="single"/>
          <w:rtl/>
        </w:rPr>
      </w:pPr>
      <w:r>
        <w:rPr>
          <w:rFonts w:hint="cs"/>
          <w:b/>
          <w:bCs/>
          <w:sz w:val="28"/>
          <w:szCs w:val="28"/>
          <w:u w:val="single"/>
          <w:rtl/>
        </w:rPr>
        <w:t>זכות ערעור תוך 45 יום.</w:t>
      </w:r>
    </w:p>
    <w:p w14:paraId="231518AD" w14:textId="77777777" w:rsidR="00C47200" w:rsidRDefault="00003007">
      <w:pPr>
        <w:pStyle w:val="a3"/>
        <w:jc w:val="both"/>
        <w:rPr>
          <w:rtl/>
        </w:rPr>
      </w:pPr>
      <w:r>
        <w:rPr>
          <w:rtl/>
        </w:rPr>
        <w:t xml:space="preserve"> </w:t>
      </w:r>
    </w:p>
    <w:p w14:paraId="7B6064AF" w14:textId="77777777" w:rsidR="00C47200" w:rsidRDefault="00003007">
      <w:pPr>
        <w:pStyle w:val="a3"/>
        <w:jc w:val="both"/>
        <w:rPr>
          <w:sz w:val="6"/>
          <w:szCs w:val="6"/>
          <w:rtl/>
        </w:rPr>
      </w:pPr>
      <w:r>
        <w:rPr>
          <w:sz w:val="6"/>
          <w:szCs w:val="6"/>
          <w:rtl/>
        </w:rPr>
        <w:t>&lt;#6#&gt;</w:t>
      </w:r>
    </w:p>
    <w:p w14:paraId="3C03847C" w14:textId="77777777" w:rsidR="00C47200" w:rsidRDefault="00C47200">
      <w:pPr>
        <w:jc w:val="right"/>
        <w:rPr>
          <w:rtl/>
        </w:rPr>
      </w:pPr>
    </w:p>
    <w:p w14:paraId="6DFE6D13" w14:textId="77777777" w:rsidR="00C47200" w:rsidRDefault="00003007">
      <w:pPr>
        <w:spacing w:line="360" w:lineRule="auto"/>
        <w:rPr>
          <w:rtl/>
        </w:rPr>
      </w:pPr>
      <w:r>
        <w:rPr>
          <w:rFonts w:hint="cs"/>
          <w:b/>
          <w:bCs/>
          <w:rtl/>
        </w:rPr>
        <w:t xml:space="preserve">ניתנה והודעה היום </w:t>
      </w:r>
      <w:r>
        <w:rPr>
          <w:rFonts w:hint="cs"/>
          <w:rtl/>
        </w:rPr>
        <w:t>י"ח אדר תשע"ד</w:t>
      </w:r>
      <w:r>
        <w:rPr>
          <w:rFonts w:hint="cs"/>
          <w:b/>
          <w:bCs/>
          <w:rtl/>
        </w:rPr>
        <w:t xml:space="preserve">, </w:t>
      </w:r>
      <w:r>
        <w:rPr>
          <w:rFonts w:hint="cs"/>
          <w:rtl/>
        </w:rPr>
        <w:t>18/02/2014</w:t>
      </w:r>
      <w:r>
        <w:rPr>
          <w:rFonts w:hint="cs"/>
          <w:b/>
          <w:bCs/>
          <w:rtl/>
        </w:rPr>
        <w:t xml:space="preserve"> במעמד הנוכחים.</w:t>
      </w:r>
    </w:p>
    <w:p w14:paraId="54AB5E8C" w14:textId="77777777" w:rsidR="00C47200" w:rsidRDefault="00C4720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47200" w14:paraId="3EAB9CFD" w14:textId="77777777">
        <w:trPr>
          <w:trHeight w:val="364"/>
          <w:jc w:val="right"/>
        </w:trPr>
        <w:tc>
          <w:tcPr>
            <w:tcW w:w="3708" w:type="dxa"/>
          </w:tcPr>
          <w:p w14:paraId="4D570962" w14:textId="77777777" w:rsidR="00C47200" w:rsidRDefault="00C47200">
            <w:pPr>
              <w:jc w:val="center"/>
              <w:rPr>
                <w:rFonts w:ascii="Times New Roman" w:eastAsia="Times New Roman" w:hAnsi="Times New Roman" w:cs="Times New Roman"/>
              </w:rPr>
            </w:pPr>
          </w:p>
          <w:p w14:paraId="1F0FDD5B" w14:textId="77777777" w:rsidR="00C47200" w:rsidRDefault="00C47200">
            <w:pPr>
              <w:jc w:val="center"/>
              <w:rPr>
                <w:rFonts w:ascii="Times New Roman" w:eastAsia="Times New Roman" w:hAnsi="Times New Roman" w:cs="Times New Roman"/>
                <w:rtl/>
              </w:rPr>
            </w:pPr>
          </w:p>
        </w:tc>
      </w:tr>
      <w:tr w:rsidR="00C47200" w14:paraId="4E39E428" w14:textId="77777777">
        <w:trPr>
          <w:trHeight w:val="415"/>
          <w:jc w:val="right"/>
        </w:trPr>
        <w:tc>
          <w:tcPr>
            <w:tcW w:w="3708" w:type="dxa"/>
          </w:tcPr>
          <w:p w14:paraId="58B260D6" w14:textId="77777777" w:rsidR="00C47200" w:rsidRDefault="00003007">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1DF2BA62" w14:textId="77777777" w:rsidR="00C47200" w:rsidRDefault="00C47200">
      <w:pPr>
        <w:jc w:val="right"/>
        <w:rPr>
          <w:rtl/>
        </w:rPr>
      </w:pPr>
    </w:p>
    <w:p w14:paraId="03E51201" w14:textId="77777777" w:rsidR="00C47200" w:rsidRDefault="00003007">
      <w:pPr>
        <w:pStyle w:val="a3"/>
        <w:jc w:val="both"/>
        <w:rPr>
          <w:sz w:val="6"/>
          <w:szCs w:val="6"/>
          <w:rtl/>
        </w:rPr>
      </w:pPr>
      <w:r>
        <w:rPr>
          <w:sz w:val="6"/>
          <w:szCs w:val="6"/>
          <w:rtl/>
        </w:rPr>
        <w:t>&lt;#7#&gt;</w:t>
      </w:r>
    </w:p>
    <w:p w14:paraId="05F06006" w14:textId="77777777" w:rsidR="00C47200" w:rsidRDefault="0000300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1A0675F" w14:textId="77777777" w:rsidR="00C47200" w:rsidRDefault="00C47200">
      <w:pPr>
        <w:spacing w:line="360" w:lineRule="auto"/>
        <w:jc w:val="both"/>
        <w:rPr>
          <w:rtl/>
        </w:rPr>
      </w:pPr>
    </w:p>
    <w:p w14:paraId="31AA9343" w14:textId="77777777" w:rsidR="00C47200" w:rsidRDefault="00003007">
      <w:pPr>
        <w:spacing w:line="360" w:lineRule="auto"/>
        <w:jc w:val="both"/>
        <w:rPr>
          <w:sz w:val="28"/>
          <w:szCs w:val="28"/>
          <w:rtl/>
        </w:rPr>
      </w:pPr>
      <w:r>
        <w:rPr>
          <w:rFonts w:hint="cs"/>
          <w:sz w:val="28"/>
          <w:szCs w:val="28"/>
          <w:rtl/>
        </w:rPr>
        <w:t>לבקשת הסנגור ניתן בזה עיכוב ביצוע של גזר הדין עד ליום 20.3.14.</w:t>
      </w:r>
    </w:p>
    <w:p w14:paraId="77E02C9B" w14:textId="77777777" w:rsidR="00C47200" w:rsidRDefault="00003007">
      <w:pPr>
        <w:spacing w:line="360" w:lineRule="auto"/>
        <w:jc w:val="both"/>
        <w:rPr>
          <w:sz w:val="28"/>
          <w:szCs w:val="28"/>
          <w:rtl/>
        </w:rPr>
      </w:pPr>
      <w:r>
        <w:rPr>
          <w:rFonts w:hint="cs"/>
          <w:sz w:val="28"/>
          <w:szCs w:val="28"/>
          <w:rtl/>
        </w:rPr>
        <w:t>עיכוב הביצוע יעכב גם את השבת הדרכון לידי הנאשם.</w:t>
      </w:r>
    </w:p>
    <w:p w14:paraId="6E1C2A25" w14:textId="77777777" w:rsidR="00C47200" w:rsidRDefault="00003007">
      <w:pPr>
        <w:spacing w:line="360" w:lineRule="auto"/>
        <w:jc w:val="both"/>
        <w:rPr>
          <w:sz w:val="28"/>
          <w:szCs w:val="28"/>
          <w:rtl/>
        </w:rPr>
      </w:pPr>
      <w:r>
        <w:rPr>
          <w:rFonts w:hint="cs"/>
          <w:sz w:val="28"/>
          <w:szCs w:val="28"/>
          <w:rtl/>
        </w:rPr>
        <w:t>ככל שלא יוגש ערעור ולא יעוכב הביצוע, יש להפקיד את רישיון הנהיגה במזכירות ביהמ"ש בהתאם למקובל ולקבל את הדרכון לידי הנאשם.</w:t>
      </w:r>
    </w:p>
    <w:p w14:paraId="4989C6C0" w14:textId="77777777" w:rsidR="00C47200" w:rsidRDefault="00003007">
      <w:pPr>
        <w:spacing w:line="360" w:lineRule="auto"/>
        <w:jc w:val="both"/>
        <w:rPr>
          <w:rtl/>
        </w:rPr>
      </w:pPr>
      <w:r>
        <w:rPr>
          <w:rtl/>
        </w:rPr>
        <w:t xml:space="preserve"> </w:t>
      </w:r>
    </w:p>
    <w:p w14:paraId="459A9096" w14:textId="77777777" w:rsidR="00C47200" w:rsidRDefault="00003007">
      <w:pPr>
        <w:spacing w:line="360" w:lineRule="auto"/>
        <w:jc w:val="both"/>
        <w:rPr>
          <w:sz w:val="6"/>
          <w:szCs w:val="6"/>
          <w:rtl/>
        </w:rPr>
      </w:pPr>
      <w:r>
        <w:rPr>
          <w:sz w:val="6"/>
          <w:szCs w:val="6"/>
          <w:rtl/>
        </w:rPr>
        <w:t>&lt;#8#&gt;</w:t>
      </w:r>
    </w:p>
    <w:p w14:paraId="55A9A65A" w14:textId="77777777" w:rsidR="00C47200" w:rsidRDefault="00C47200">
      <w:pPr>
        <w:jc w:val="right"/>
        <w:rPr>
          <w:rtl/>
        </w:rPr>
      </w:pPr>
    </w:p>
    <w:p w14:paraId="685FBF0F" w14:textId="77777777" w:rsidR="00C47200" w:rsidRDefault="00003007">
      <w:pPr>
        <w:jc w:val="center"/>
        <w:rPr>
          <w:rtl/>
        </w:rPr>
      </w:pPr>
      <w:r w:rsidRPr="00003007">
        <w:rPr>
          <w:b/>
          <w:bCs/>
          <w:color w:val="FFFFFF"/>
          <w:sz w:val="2"/>
          <w:szCs w:val="2"/>
          <w:rtl/>
        </w:rPr>
        <w:t>5129371</w:t>
      </w:r>
      <w:r>
        <w:rPr>
          <w:b/>
          <w:bCs/>
          <w:rtl/>
        </w:rPr>
        <w:t xml:space="preserve">ניתנה והודעה היום י"ח אדר תשע"ד, 18/02/2014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47200" w14:paraId="3108620E" w14:textId="77777777">
        <w:trPr>
          <w:trHeight w:val="364"/>
          <w:jc w:val="right"/>
        </w:trPr>
        <w:tc>
          <w:tcPr>
            <w:tcW w:w="3708" w:type="dxa"/>
          </w:tcPr>
          <w:p w14:paraId="3C317FA9" w14:textId="77777777" w:rsidR="00C47200" w:rsidRPr="00003007" w:rsidRDefault="00003007">
            <w:pPr>
              <w:jc w:val="center"/>
              <w:rPr>
                <w:rFonts w:ascii="Times New Roman" w:eastAsia="Times New Roman" w:hAnsi="Times New Roman" w:cs="Times New Roman"/>
                <w:color w:val="FFFFFF"/>
                <w:sz w:val="2"/>
                <w:szCs w:val="2"/>
              </w:rPr>
            </w:pPr>
            <w:r w:rsidRPr="00003007">
              <w:rPr>
                <w:rFonts w:ascii="Times New Roman" w:eastAsia="Times New Roman" w:hAnsi="Times New Roman" w:cs="Times New Roman"/>
                <w:color w:val="FFFFFF"/>
                <w:sz w:val="2"/>
                <w:szCs w:val="2"/>
                <w:rtl/>
              </w:rPr>
              <w:t>54678313</w:t>
            </w:r>
          </w:p>
          <w:p w14:paraId="51FB4EBC" w14:textId="77777777" w:rsidR="00C47200" w:rsidRDefault="00C47200">
            <w:pPr>
              <w:jc w:val="center"/>
              <w:rPr>
                <w:rFonts w:ascii="Times New Roman" w:eastAsia="Times New Roman" w:hAnsi="Times New Roman" w:cs="Times New Roman"/>
                <w:rtl/>
              </w:rPr>
            </w:pPr>
          </w:p>
        </w:tc>
      </w:tr>
      <w:tr w:rsidR="00C47200" w14:paraId="764268B7" w14:textId="77777777">
        <w:trPr>
          <w:trHeight w:val="415"/>
          <w:jc w:val="right"/>
        </w:trPr>
        <w:tc>
          <w:tcPr>
            <w:tcW w:w="3708" w:type="dxa"/>
          </w:tcPr>
          <w:p w14:paraId="29A6922C" w14:textId="77777777" w:rsidR="00C47200" w:rsidRDefault="00003007">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6CB8204D" w14:textId="77777777" w:rsidR="00C47200" w:rsidRDefault="00C47200">
      <w:pPr>
        <w:jc w:val="right"/>
        <w:rPr>
          <w:rtl/>
        </w:rPr>
      </w:pPr>
    </w:p>
    <w:p w14:paraId="6EBC127F" w14:textId="77777777" w:rsidR="00C47200" w:rsidRDefault="00003007">
      <w:pPr>
        <w:spacing w:line="360" w:lineRule="auto"/>
        <w:jc w:val="both"/>
        <w:rPr>
          <w:rtl/>
        </w:rPr>
      </w:pPr>
      <w:bookmarkStart w:id="8" w:name="_GoBack"/>
      <w:r>
        <w:rPr>
          <w:rtl/>
        </w:rPr>
        <w:t xml:space="preserve"> </w:t>
      </w:r>
      <w:bookmarkEnd w:id="8"/>
    </w:p>
    <w:p w14:paraId="401E7AF6" w14:textId="77777777" w:rsidR="00C47200" w:rsidRDefault="00003007">
      <w:r>
        <w:rPr>
          <w:rtl/>
        </w:rPr>
        <w:t>הוקלד</w:t>
      </w:r>
      <w:r>
        <w:t xml:space="preserve"> </w:t>
      </w:r>
      <w:r>
        <w:rPr>
          <w:rtl/>
        </w:rPr>
        <w:t>על</w:t>
      </w:r>
      <w:r>
        <w:t xml:space="preserve"> </w:t>
      </w:r>
      <w:r>
        <w:rPr>
          <w:rtl/>
        </w:rPr>
        <w:t>ידי</w:t>
      </w:r>
      <w:r>
        <w:t xml:space="preserve"> </w:t>
      </w:r>
      <w:r>
        <w:rPr>
          <w:rtl/>
        </w:rPr>
        <w:t>יפה</w:t>
      </w:r>
      <w:r>
        <w:t xml:space="preserve"> </w:t>
      </w:r>
      <w:r>
        <w:rPr>
          <w:rtl/>
        </w:rPr>
        <w:t>אטלן</w:t>
      </w:r>
    </w:p>
    <w:p w14:paraId="6C600DB3" w14:textId="77777777" w:rsidR="00003007" w:rsidRPr="00003007" w:rsidRDefault="00003007" w:rsidP="00003007">
      <w:pPr>
        <w:keepNext/>
        <w:rPr>
          <w:color w:val="000000"/>
          <w:sz w:val="22"/>
          <w:szCs w:val="22"/>
          <w:rtl/>
        </w:rPr>
      </w:pPr>
    </w:p>
    <w:p w14:paraId="3BFA802B" w14:textId="77777777" w:rsidR="00003007" w:rsidRPr="00003007" w:rsidRDefault="00003007" w:rsidP="00003007">
      <w:pPr>
        <w:keepNext/>
        <w:rPr>
          <w:color w:val="000000"/>
          <w:sz w:val="22"/>
          <w:szCs w:val="22"/>
          <w:rtl/>
        </w:rPr>
      </w:pPr>
      <w:r w:rsidRPr="00003007">
        <w:rPr>
          <w:color w:val="000000"/>
          <w:sz w:val="22"/>
          <w:szCs w:val="22"/>
          <w:rtl/>
        </w:rPr>
        <w:t>גלית ציגלר 54678313</w:t>
      </w:r>
    </w:p>
    <w:p w14:paraId="1413BA14" w14:textId="77777777" w:rsidR="00003007" w:rsidRDefault="00003007" w:rsidP="00003007">
      <w:r w:rsidRPr="00003007">
        <w:rPr>
          <w:color w:val="000000"/>
          <w:rtl/>
        </w:rPr>
        <w:t>נוסח מסמך זה כפוף לשינויי ניסוח ועריכה</w:t>
      </w:r>
    </w:p>
    <w:p w14:paraId="53D65D8B" w14:textId="77777777" w:rsidR="00003007" w:rsidRDefault="00003007" w:rsidP="00003007">
      <w:pPr>
        <w:rPr>
          <w:rtl/>
        </w:rPr>
      </w:pPr>
    </w:p>
    <w:p w14:paraId="61CF73E3" w14:textId="77777777" w:rsidR="00003007" w:rsidRDefault="00003007" w:rsidP="0000300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6E9DB5DC" w14:textId="77777777" w:rsidR="00C47200" w:rsidRPr="00003007" w:rsidRDefault="00C47200" w:rsidP="00003007">
      <w:pPr>
        <w:jc w:val="center"/>
        <w:rPr>
          <w:color w:val="0000FF"/>
          <w:u w:val="single"/>
        </w:rPr>
      </w:pPr>
    </w:p>
    <w:sectPr w:rsidR="00C47200" w:rsidRPr="00003007" w:rsidSect="00003007">
      <w:headerReference w:type="even" r:id="rId45"/>
      <w:headerReference w:type="default" r:id="rId46"/>
      <w:footerReference w:type="even" r:id="rId47"/>
      <w:footerReference w:type="default" r:id="rId4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8465D" w14:textId="77777777" w:rsidR="00DD3C03" w:rsidRPr="00DB302B" w:rsidRDefault="00DD3C03">
      <w:pPr>
        <w:rPr>
          <w:rFonts w:cs="Arial"/>
          <w:szCs w:val="20"/>
        </w:rPr>
      </w:pPr>
      <w:r>
        <w:separator/>
      </w:r>
    </w:p>
  </w:endnote>
  <w:endnote w:type="continuationSeparator" w:id="0">
    <w:p w14:paraId="700EABF3" w14:textId="77777777" w:rsidR="00DD3C03" w:rsidRPr="00DB302B" w:rsidRDefault="00DD3C0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7C5D2" w14:textId="77777777" w:rsidR="00003007" w:rsidRDefault="00003007" w:rsidP="000030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764CE55F" w14:textId="77777777" w:rsidR="00C47200" w:rsidRPr="00003007" w:rsidRDefault="00003007" w:rsidP="00003007">
    <w:pPr>
      <w:pStyle w:val="a5"/>
      <w:pBdr>
        <w:top w:val="single" w:sz="4" w:space="1" w:color="auto"/>
        <w:between w:val="single" w:sz="4" w:space="0" w:color="auto"/>
      </w:pBdr>
      <w:spacing w:after="60"/>
      <w:jc w:val="center"/>
      <w:rPr>
        <w:rFonts w:ascii="FrankRuehl" w:hAnsi="FrankRuehl" w:cs="FrankRuehl"/>
        <w:color w:val="000000"/>
      </w:rPr>
    </w:pPr>
    <w:r w:rsidRPr="000030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1A782" w14:textId="77777777" w:rsidR="00003007" w:rsidRDefault="00003007" w:rsidP="0000300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4F5C">
      <w:rPr>
        <w:rFonts w:ascii="FrankRuehl" w:hAnsi="FrankRuehl" w:cs="FrankRuehl"/>
        <w:noProof/>
        <w:rtl/>
      </w:rPr>
      <w:t>10</w:t>
    </w:r>
    <w:r>
      <w:rPr>
        <w:rFonts w:ascii="FrankRuehl" w:hAnsi="FrankRuehl" w:cs="FrankRuehl"/>
        <w:rtl/>
      </w:rPr>
      <w:fldChar w:fldCharType="end"/>
    </w:r>
  </w:p>
  <w:p w14:paraId="5A43D967" w14:textId="77777777" w:rsidR="00C47200" w:rsidRPr="00003007" w:rsidRDefault="00003007" w:rsidP="00003007">
    <w:pPr>
      <w:pStyle w:val="a5"/>
      <w:pBdr>
        <w:top w:val="single" w:sz="4" w:space="1" w:color="auto"/>
        <w:between w:val="single" w:sz="4" w:space="0" w:color="auto"/>
      </w:pBdr>
      <w:spacing w:after="60"/>
      <w:jc w:val="center"/>
      <w:rPr>
        <w:rFonts w:ascii="FrankRuehl" w:hAnsi="FrankRuehl" w:cs="FrankRuehl"/>
        <w:color w:val="000000"/>
      </w:rPr>
    </w:pPr>
    <w:r w:rsidRPr="00003007">
      <w:rPr>
        <w:rFonts w:ascii="FrankRuehl" w:hAnsi="FrankRuehl" w:cs="FrankRuehl"/>
        <w:color w:val="000000"/>
      </w:rPr>
      <w:pict w14:anchorId="7132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15708" w14:textId="77777777" w:rsidR="00DD3C03" w:rsidRPr="00DB302B" w:rsidRDefault="00DD3C03">
      <w:pPr>
        <w:rPr>
          <w:rFonts w:cs="Arial"/>
          <w:szCs w:val="20"/>
        </w:rPr>
      </w:pPr>
      <w:r>
        <w:separator/>
      </w:r>
    </w:p>
  </w:footnote>
  <w:footnote w:type="continuationSeparator" w:id="0">
    <w:p w14:paraId="246AFBD1" w14:textId="77777777" w:rsidR="00DD3C03" w:rsidRPr="00DB302B" w:rsidRDefault="00DD3C0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5DDFC" w14:textId="77777777" w:rsidR="00003007" w:rsidRPr="00003007" w:rsidRDefault="00003007" w:rsidP="0000300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58167-11-10</w:t>
    </w:r>
    <w:r>
      <w:rPr>
        <w:color w:val="000000"/>
        <w:sz w:val="22"/>
        <w:szCs w:val="22"/>
        <w:rtl/>
      </w:rPr>
      <w:tab/>
      <w:t xml:space="preserve"> מדינת ישראל נ' אמיר וייס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CBE6D" w14:textId="77777777" w:rsidR="00003007" w:rsidRPr="00003007" w:rsidRDefault="00003007" w:rsidP="0000300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58167-11-10</w:t>
    </w:r>
    <w:r>
      <w:rPr>
        <w:color w:val="000000"/>
        <w:sz w:val="22"/>
        <w:szCs w:val="22"/>
        <w:rtl/>
      </w:rPr>
      <w:tab/>
      <w:t xml:space="preserve"> מדינת ישראל נ' אמיר וייס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13A03"/>
    <w:multiLevelType w:val="hybridMultilevel"/>
    <w:tmpl w:val="786C5C2C"/>
    <w:lvl w:ilvl="0" w:tplc="D77C69A0">
      <w:start w:val="1"/>
      <w:numFmt w:val="decimal"/>
      <w:lvlText w:val="%1."/>
      <w:lvlJc w:val="left"/>
      <w:pPr>
        <w:tabs>
          <w:tab w:val="num" w:pos="720"/>
        </w:tabs>
        <w:ind w:left="720" w:hanging="360"/>
      </w:pPr>
      <w:rPr>
        <w:rFonts w:cs="David"/>
      </w:rPr>
    </w:lvl>
    <w:lvl w:ilvl="1" w:tplc="9176FF88">
      <w:start w:val="11"/>
      <w:numFmt w:val="decimal"/>
      <w:lvlText w:val="%2."/>
      <w:lvlJc w:val="left"/>
      <w:pPr>
        <w:tabs>
          <w:tab w:val="num" w:pos="1800"/>
        </w:tabs>
        <w:ind w:left="1800" w:hanging="720"/>
      </w:pPr>
      <w:rPr>
        <w:rFonts w:ascii="David" w:hAnsi="David" w:cs="Times New Roman" w:hint="cs"/>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13418040">
    <w:abstractNumId w:val="0"/>
    <w:lvlOverride w:ilvl="0">
      <w:startOverride w:val="1"/>
    </w:lvlOverride>
    <w:lvlOverride w:ilvl="1">
      <w:startOverride w:val="1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7200"/>
    <w:rsid w:val="00003007"/>
    <w:rsid w:val="00114191"/>
    <w:rsid w:val="00484F5C"/>
    <w:rsid w:val="00684B04"/>
    <w:rsid w:val="00757013"/>
    <w:rsid w:val="00816590"/>
    <w:rsid w:val="00BA0B8F"/>
    <w:rsid w:val="00C47200"/>
    <w:rsid w:val="00DD3C03"/>
    <w:rsid w:val="00E56F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1"/>
    </o:shapelayout>
  </w:shapeDefaults>
  <w:decimalSymbol w:val="."/>
  <w:listSeparator w:val=","/>
  <w14:docId w14:val="414FD36B"/>
  <w15:chartTrackingRefBased/>
  <w15:docId w15:val="{038F570E-8F3A-46CA-BCE3-0C927B94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720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47200"/>
    <w:pPr>
      <w:tabs>
        <w:tab w:val="center" w:pos="4153"/>
        <w:tab w:val="right" w:pos="8306"/>
      </w:tabs>
    </w:pPr>
  </w:style>
  <w:style w:type="paragraph" w:styleId="a5">
    <w:name w:val="footer"/>
    <w:basedOn w:val="a"/>
    <w:rsid w:val="00C47200"/>
    <w:pPr>
      <w:tabs>
        <w:tab w:val="center" w:pos="4153"/>
        <w:tab w:val="right" w:pos="8306"/>
      </w:tabs>
    </w:pPr>
  </w:style>
  <w:style w:type="character" w:styleId="a6">
    <w:name w:val="page number"/>
    <w:basedOn w:val="a0"/>
    <w:rsid w:val="00C47200"/>
  </w:style>
  <w:style w:type="character" w:customStyle="1" w:styleId="TimesNewRomanTimesNewRoman">
    <w:name w:val="סגנון (לטיני) Times New Roman (עברית ושפות אחרות) Times New Roman..."/>
    <w:basedOn w:val="a0"/>
    <w:rsid w:val="00C4720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C47200"/>
    <w:rPr>
      <w:rFonts w:ascii="Times New Roman" w:eastAsia="Times New Roman" w:hAnsi="Times New Roman"/>
      <w:b/>
      <w:bCs/>
      <w:u w:val="single"/>
    </w:rPr>
  </w:style>
  <w:style w:type="character" w:customStyle="1" w:styleId="a4">
    <w:name w:val="כותרת עליונה תו"/>
    <w:basedOn w:val="a0"/>
    <w:link w:val="a3"/>
    <w:rsid w:val="00C47200"/>
    <w:rPr>
      <w:rFonts w:ascii="David" w:eastAsia="David" w:hAnsi="David" w:cs="David"/>
      <w:sz w:val="24"/>
      <w:szCs w:val="24"/>
      <w:lang w:val="en-US" w:eastAsia="en-US" w:bidi="he-IL"/>
    </w:rPr>
  </w:style>
  <w:style w:type="paragraph" w:customStyle="1" w:styleId="ListParagraph">
    <w:name w:val="List Paragraph"/>
    <w:basedOn w:val="a"/>
    <w:rsid w:val="00C47200"/>
    <w:pPr>
      <w:spacing w:after="160" w:line="256" w:lineRule="auto"/>
      <w:ind w:left="720"/>
      <w:contextualSpacing/>
    </w:pPr>
    <w:rPr>
      <w:rFonts w:ascii="Calibri" w:eastAsia="Times New Roman" w:hAnsi="Calibri" w:cs="Arial"/>
      <w:sz w:val="22"/>
      <w:szCs w:val="22"/>
    </w:rPr>
  </w:style>
  <w:style w:type="paragraph" w:customStyle="1" w:styleId="Ruller4">
    <w:name w:val="Ruller4"/>
    <w:basedOn w:val="a"/>
    <w:rsid w:val="00C47200"/>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lang w:eastAsia="he-IL"/>
    </w:rPr>
  </w:style>
  <w:style w:type="character" w:styleId="Hyperlink">
    <w:name w:val="Hyperlink"/>
    <w:basedOn w:val="a0"/>
    <w:rsid w:val="00C47200"/>
    <w:rPr>
      <w:color w:val="0000FF"/>
      <w:u w:val="single"/>
    </w:rPr>
  </w:style>
  <w:style w:type="character" w:styleId="a7">
    <w:name w:val="line number"/>
    <w:basedOn w:val="a0"/>
    <w:rsid w:val="00C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4216/7.c" TargetMode="External"/><Relationship Id="rId26" Type="http://schemas.openxmlformats.org/officeDocument/2006/relationships/hyperlink" Target="http://www.nevo.co.il/links/psika/?link=&#1512;&#1506;&#1508;%209118/12" TargetMode="External"/><Relationship Id="rId39" Type="http://schemas.openxmlformats.org/officeDocument/2006/relationships/hyperlink" Target="http://www.nevo.co.il/links/psika/?NEWPROC=&#1514;&#1508;&amp;NEWPARTA=41987&amp;NEWPARTB=05&amp;NEWPARTC=10" TargetMode="External"/><Relationship Id="rId21" Type="http://schemas.openxmlformats.org/officeDocument/2006/relationships/hyperlink" Target="http://www.nevo.co.il/links/psika/?link=&#1512;&#1506;&#1508;%203988/05" TargetMode="External"/><Relationship Id="rId34" Type="http://schemas.openxmlformats.org/officeDocument/2006/relationships/hyperlink" Target="http://www.nevo.co.il/links/psika/?NEWPROC=&#1514;&#1508;&amp;NEWPARTA=10970&amp;NEWPARTB=03&amp;NEWPARTC=11"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inks/psika/?link=&#1506;&#1508;%206029/03&amp;Pvol=&#1504;&#1495;" TargetMode="External"/><Relationship Id="rId11" Type="http://schemas.openxmlformats.org/officeDocument/2006/relationships/hyperlink" Target="http://www.nevo.co.il/law/70301" TargetMode="External"/><Relationship Id="rId24" Type="http://schemas.openxmlformats.org/officeDocument/2006/relationships/hyperlink" Target="http://www.nevo.co.il/links/psika/?link=&#1506;&#1508;%209150/08" TargetMode="External"/><Relationship Id="rId32" Type="http://schemas.openxmlformats.org/officeDocument/2006/relationships/hyperlink" Target="http://www.nevo.co.il/links/psika/?NEWPROC=&#1506;&#1508;&#1490;&amp;NEWPARTA=263&amp;NEWPARTB=02&amp;NEWPARTC=11" TargetMode="External"/><Relationship Id="rId37" Type="http://schemas.openxmlformats.org/officeDocument/2006/relationships/hyperlink" Target="http://www.nevo.co.il/links/psika/?NEWPROC=&#1514;&#1508;&amp;NEWPARTA=19126&amp;NEWPARTB=11&amp;NEWPARTC=09" TargetMode="External"/><Relationship Id="rId40" Type="http://schemas.openxmlformats.org/officeDocument/2006/relationships/hyperlink" Target="http://www.nevo.co.il/links/psika/?NEWPROC=&#1514;&#1508;&amp;NEWPARTA=42974&amp;NEWPARTB=11&amp;NEWPARTC=1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244" TargetMode="External"/><Relationship Id="rId23" Type="http://schemas.openxmlformats.org/officeDocument/2006/relationships/hyperlink" Target="http://www.nevo.co.il/links/psika/?link=&#1512;&#1506;&#1508;%206904/09" TargetMode="External"/><Relationship Id="rId28" Type="http://schemas.openxmlformats.org/officeDocument/2006/relationships/hyperlink" Target="http://www.nevo.co.il/links/psika/?link=&#1506;&#1508;%203117/12" TargetMode="External"/><Relationship Id="rId36" Type="http://schemas.openxmlformats.org/officeDocument/2006/relationships/hyperlink" Target="http://www.nevo.co.il/links/psika/?NEWPROC=&#1514;&#1508;&amp;NEWPARTA=14107&amp;NEWPARTB=04&amp;NEWPARTC=10" TargetMode="External"/><Relationship Id="rId49" Type="http://schemas.openxmlformats.org/officeDocument/2006/relationships/fontTable" Target="fontTable.xml"/><Relationship Id="rId10" Type="http://schemas.openxmlformats.org/officeDocument/2006/relationships/hyperlink" Target="http://www.nevo.co.il/law/4216/14" TargetMode="External"/><Relationship Id="rId19" Type="http://schemas.openxmlformats.org/officeDocument/2006/relationships/hyperlink" Target="http://www.nevo.co.il/law/4216" TargetMode="External"/><Relationship Id="rId31" Type="http://schemas.openxmlformats.org/officeDocument/2006/relationships/hyperlink" Target="http://www.nevo.co.il/links/psika/?link=&#1512;&#1506;&#1508;%202614/1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inks/psika/?link=&#1506;&#1508;%20966/94" TargetMode="External"/><Relationship Id="rId27" Type="http://schemas.openxmlformats.org/officeDocument/2006/relationships/hyperlink" Target="http://www.nevo.co.il/links/psika/?link=&#1506;&#1508;%20575/88&amp;Pvol=&#1502;&#1489;" TargetMode="External"/><Relationship Id="rId30" Type="http://schemas.openxmlformats.org/officeDocument/2006/relationships/hyperlink" Target="http://www.nevo.co.il/links/psika/?link=&#1506;&#1508;%20376/89&amp;Pvol=&#1502;&#1492;" TargetMode="External"/><Relationship Id="rId35" Type="http://schemas.openxmlformats.org/officeDocument/2006/relationships/hyperlink" Target="http://www.nevo.co.il/links/psika/?NEWPROC=&#1514;&#1508;&amp;NEWPARTA=6785&amp;NEWPARTB=01&amp;NEWPARTC=11" TargetMode="External"/><Relationship Id="rId43" Type="http://schemas.openxmlformats.org/officeDocument/2006/relationships/hyperlink" Target="http://www.nevo.co.il/links/psika/?NEWPROC=&#1502;&#1514;&amp;NEWPARTA=5818&amp;NEWPARTB=11&amp;NEWPARTC=10"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4216/7.a" TargetMode="External"/><Relationship Id="rId25" Type="http://schemas.openxmlformats.org/officeDocument/2006/relationships/hyperlink" Target="http://www.nevo.co.il/links/psika/?link=&#1512;&#1506;&#1508;%205579/10" TargetMode="External"/><Relationship Id="rId33" Type="http://schemas.openxmlformats.org/officeDocument/2006/relationships/hyperlink" Target="http://www.nevo.co.il/links/psika/?NEWPROC=&#1514;&#1508;&amp;NEWPARTA=12021&amp;NEWPARTB=01&amp;NEWPARTC=12" TargetMode="External"/><Relationship Id="rId38" Type="http://schemas.openxmlformats.org/officeDocument/2006/relationships/hyperlink" Target="http://www.nevo.co.il/links/psika/?NEWPROC=&#1514;&#1508;&amp;NEWPARTA=13819&amp;NEWPARTB=05&amp;NEWPARTC=12" TargetMode="External"/><Relationship Id="rId46" Type="http://schemas.openxmlformats.org/officeDocument/2006/relationships/header" Target="header2.xml"/><Relationship Id="rId20" Type="http://schemas.openxmlformats.org/officeDocument/2006/relationships/hyperlink" Target="http://www.nevo.co.il/links/psika/?link=&#1506;&#1508;%202669/00"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3004</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17992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98371040</vt:i4>
      </vt:variant>
      <vt:variant>
        <vt:i4>108</vt:i4>
      </vt:variant>
      <vt:variant>
        <vt:i4>0</vt:i4>
      </vt:variant>
      <vt:variant>
        <vt:i4>5</vt:i4>
      </vt:variant>
      <vt:variant>
        <vt:lpwstr>http://www.nevo.co.il/links/psika/?NEWPROC=מת&amp;NEWPARTA=5818&amp;NEWPARTB=11&amp;NEWPARTC=10</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97912283</vt:i4>
      </vt:variant>
      <vt:variant>
        <vt:i4>99</vt:i4>
      </vt:variant>
      <vt:variant>
        <vt:i4>0</vt:i4>
      </vt:variant>
      <vt:variant>
        <vt:i4>5</vt:i4>
      </vt:variant>
      <vt:variant>
        <vt:lpwstr>http://www.nevo.co.il/links/psika/?NEWPROC=תפ&amp;NEWPARTA=42974&amp;NEWPARTB=11&amp;NEWPARTC=12</vt:lpwstr>
      </vt:variant>
      <vt:variant>
        <vt:lpwstr/>
      </vt:variant>
      <vt:variant>
        <vt:i4>97715670</vt:i4>
      </vt:variant>
      <vt:variant>
        <vt:i4>96</vt:i4>
      </vt:variant>
      <vt:variant>
        <vt:i4>0</vt:i4>
      </vt:variant>
      <vt:variant>
        <vt:i4>5</vt:i4>
      </vt:variant>
      <vt:variant>
        <vt:lpwstr>http://www.nevo.co.il/links/psika/?NEWPROC=תפ&amp;NEWPARTA=41987&amp;NEWPARTB=05&amp;NEWPARTC=10</vt:lpwstr>
      </vt:variant>
      <vt:variant>
        <vt:lpwstr/>
      </vt:variant>
      <vt:variant>
        <vt:i4>98239965</vt:i4>
      </vt:variant>
      <vt:variant>
        <vt:i4>93</vt:i4>
      </vt:variant>
      <vt:variant>
        <vt:i4>0</vt:i4>
      </vt:variant>
      <vt:variant>
        <vt:i4>5</vt:i4>
      </vt:variant>
      <vt:variant>
        <vt:lpwstr>http://www.nevo.co.il/links/psika/?NEWPROC=תפ&amp;NEWPARTA=13819&amp;NEWPARTB=05&amp;NEWPARTC=12</vt:lpwstr>
      </vt:variant>
      <vt:variant>
        <vt:lpwstr/>
      </vt:variant>
      <vt:variant>
        <vt:i4>97650132</vt:i4>
      </vt:variant>
      <vt:variant>
        <vt:i4>90</vt:i4>
      </vt:variant>
      <vt:variant>
        <vt:i4>0</vt:i4>
      </vt:variant>
      <vt:variant>
        <vt:i4>5</vt:i4>
      </vt:variant>
      <vt:variant>
        <vt:lpwstr>http://www.nevo.co.il/links/psika/?NEWPROC=תפ&amp;NEWPARTA=19126&amp;NEWPARTB=11&amp;NEWPARTC=09</vt:lpwstr>
      </vt:variant>
      <vt:variant>
        <vt:lpwstr/>
      </vt:variant>
      <vt:variant>
        <vt:i4>98502107</vt:i4>
      </vt:variant>
      <vt:variant>
        <vt:i4>87</vt:i4>
      </vt:variant>
      <vt:variant>
        <vt:i4>0</vt:i4>
      </vt:variant>
      <vt:variant>
        <vt:i4>5</vt:i4>
      </vt:variant>
      <vt:variant>
        <vt:lpwstr>http://www.nevo.co.il/links/psika/?NEWPROC=תפ&amp;NEWPARTA=14107&amp;NEWPARTB=04&amp;NEWPARTC=10</vt:lpwstr>
      </vt:variant>
      <vt:variant>
        <vt:lpwstr/>
      </vt:variant>
      <vt:variant>
        <vt:i4>98698732</vt:i4>
      </vt:variant>
      <vt:variant>
        <vt:i4>84</vt:i4>
      </vt:variant>
      <vt:variant>
        <vt:i4>0</vt:i4>
      </vt:variant>
      <vt:variant>
        <vt:i4>5</vt:i4>
      </vt:variant>
      <vt:variant>
        <vt:lpwstr>http://www.nevo.co.il/links/psika/?NEWPROC=תפ&amp;NEWPARTA=6785&amp;NEWPARTB=01&amp;NEWPARTC=11</vt:lpwstr>
      </vt:variant>
      <vt:variant>
        <vt:lpwstr/>
      </vt:variant>
      <vt:variant>
        <vt:i4>97912280</vt:i4>
      </vt:variant>
      <vt:variant>
        <vt:i4>81</vt:i4>
      </vt:variant>
      <vt:variant>
        <vt:i4>0</vt:i4>
      </vt:variant>
      <vt:variant>
        <vt:i4>5</vt:i4>
      </vt:variant>
      <vt:variant>
        <vt:lpwstr>http://www.nevo.co.il/links/psika/?NEWPROC=תפ&amp;NEWPARTA=10970&amp;NEWPARTB=03&amp;NEWPARTC=11</vt:lpwstr>
      </vt:variant>
      <vt:variant>
        <vt:lpwstr/>
      </vt:variant>
      <vt:variant>
        <vt:i4>98502111</vt:i4>
      </vt:variant>
      <vt:variant>
        <vt:i4>78</vt:i4>
      </vt:variant>
      <vt:variant>
        <vt:i4>0</vt:i4>
      </vt:variant>
      <vt:variant>
        <vt:i4>5</vt:i4>
      </vt:variant>
      <vt:variant>
        <vt:lpwstr>http://www.nevo.co.il/links/psika/?NEWPROC=תפ&amp;NEWPARTA=12021&amp;NEWPARTB=01&amp;NEWPARTC=12</vt:lpwstr>
      </vt:variant>
      <vt:variant>
        <vt:lpwstr/>
      </vt:variant>
      <vt:variant>
        <vt:i4>1115645</vt:i4>
      </vt:variant>
      <vt:variant>
        <vt:i4>75</vt:i4>
      </vt:variant>
      <vt:variant>
        <vt:i4>0</vt:i4>
      </vt:variant>
      <vt:variant>
        <vt:i4>5</vt:i4>
      </vt:variant>
      <vt:variant>
        <vt:lpwstr>http://www.nevo.co.il/links/psika/?NEWPROC=עפג&amp;NEWPARTA=263&amp;NEWPARTB=02&amp;NEWPARTC=11</vt:lpwstr>
      </vt:variant>
      <vt:variant>
        <vt:lpwstr/>
      </vt:variant>
      <vt:variant>
        <vt:i4>97845341</vt:i4>
      </vt:variant>
      <vt:variant>
        <vt:i4>72</vt:i4>
      </vt:variant>
      <vt:variant>
        <vt:i4>0</vt:i4>
      </vt:variant>
      <vt:variant>
        <vt:i4>5</vt:i4>
      </vt:variant>
      <vt:variant>
        <vt:lpwstr>http://www.nevo.co.il/links/psika/?link=רעפ%202614/12</vt:lpwstr>
      </vt:variant>
      <vt:variant>
        <vt:lpwstr/>
      </vt:variant>
      <vt:variant>
        <vt:i4>2753934</vt:i4>
      </vt:variant>
      <vt:variant>
        <vt:i4>69</vt:i4>
      </vt:variant>
      <vt:variant>
        <vt:i4>0</vt:i4>
      </vt:variant>
      <vt:variant>
        <vt:i4>5</vt:i4>
      </vt:variant>
      <vt:variant>
        <vt:lpwstr>http://www.nevo.co.il/links/psika/?link=עפ 376/89&amp;Pvol=מה</vt:lpwstr>
      </vt:variant>
      <vt:variant>
        <vt:lpwstr/>
      </vt:variant>
      <vt:variant>
        <vt:i4>2752605</vt:i4>
      </vt:variant>
      <vt:variant>
        <vt:i4>66</vt:i4>
      </vt:variant>
      <vt:variant>
        <vt:i4>0</vt:i4>
      </vt:variant>
      <vt:variant>
        <vt:i4>5</vt:i4>
      </vt:variant>
      <vt:variant>
        <vt:lpwstr>http://www.nevo.co.il/links/psika/?link=עפ%206029/03&amp;Pvol=נח</vt:lpwstr>
      </vt:variant>
      <vt:variant>
        <vt:lpwstr/>
      </vt:variant>
      <vt:variant>
        <vt:i4>98043279</vt:i4>
      </vt:variant>
      <vt:variant>
        <vt:i4>63</vt:i4>
      </vt:variant>
      <vt:variant>
        <vt:i4>0</vt:i4>
      </vt:variant>
      <vt:variant>
        <vt:i4>5</vt:i4>
      </vt:variant>
      <vt:variant>
        <vt:lpwstr>http://www.nevo.co.il/links/psika/?link=עפ%203117/12</vt:lpwstr>
      </vt:variant>
      <vt:variant>
        <vt:lpwstr/>
      </vt:variant>
      <vt:variant>
        <vt:i4>1902010</vt:i4>
      </vt:variant>
      <vt:variant>
        <vt:i4>60</vt:i4>
      </vt:variant>
      <vt:variant>
        <vt:i4>0</vt:i4>
      </vt:variant>
      <vt:variant>
        <vt:i4>5</vt:i4>
      </vt:variant>
      <vt:variant>
        <vt:lpwstr>http://www.nevo.co.il/links/psika/?link=עפ%20575/88&amp;Pvol=מב</vt:lpwstr>
      </vt:variant>
      <vt:variant>
        <vt:lpwstr/>
      </vt:variant>
      <vt:variant>
        <vt:i4>99287140</vt:i4>
      </vt:variant>
      <vt:variant>
        <vt:i4>57</vt:i4>
      </vt:variant>
      <vt:variant>
        <vt:i4>0</vt:i4>
      </vt:variant>
      <vt:variant>
        <vt:i4>5</vt:i4>
      </vt:variant>
      <vt:variant>
        <vt:lpwstr>http://www.nevo.co.il/links/psika/?link=רעפ 9118/12</vt:lpwstr>
      </vt:variant>
      <vt:variant>
        <vt:lpwstr/>
      </vt:variant>
      <vt:variant>
        <vt:i4>99483758</vt:i4>
      </vt:variant>
      <vt:variant>
        <vt:i4>54</vt:i4>
      </vt:variant>
      <vt:variant>
        <vt:i4>0</vt:i4>
      </vt:variant>
      <vt:variant>
        <vt:i4>5</vt:i4>
      </vt:variant>
      <vt:variant>
        <vt:lpwstr>http://www.nevo.co.il/links/psika/?link=רעפ 5579/10</vt:lpwstr>
      </vt:variant>
      <vt:variant>
        <vt:lpwstr/>
      </vt:variant>
      <vt:variant>
        <vt:i4>99485116</vt:i4>
      </vt:variant>
      <vt:variant>
        <vt:i4>51</vt:i4>
      </vt:variant>
      <vt:variant>
        <vt:i4>0</vt:i4>
      </vt:variant>
      <vt:variant>
        <vt:i4>5</vt:i4>
      </vt:variant>
      <vt:variant>
        <vt:lpwstr>http://www.nevo.co.il/links/psika/?link=עפ 9150/08</vt:lpwstr>
      </vt:variant>
      <vt:variant>
        <vt:lpwstr/>
      </vt:variant>
      <vt:variant>
        <vt:i4>99483754</vt:i4>
      </vt:variant>
      <vt:variant>
        <vt:i4>48</vt:i4>
      </vt:variant>
      <vt:variant>
        <vt:i4>0</vt:i4>
      </vt:variant>
      <vt:variant>
        <vt:i4>5</vt:i4>
      </vt:variant>
      <vt:variant>
        <vt:lpwstr>http://www.nevo.co.il/links/psika/?link=רעפ 6904/09</vt:lpwstr>
      </vt:variant>
      <vt:variant>
        <vt:lpwstr/>
      </vt:variant>
      <vt:variant>
        <vt:i4>96667028</vt:i4>
      </vt:variant>
      <vt:variant>
        <vt:i4>45</vt:i4>
      </vt:variant>
      <vt:variant>
        <vt:i4>0</vt:i4>
      </vt:variant>
      <vt:variant>
        <vt:i4>5</vt:i4>
      </vt:variant>
      <vt:variant>
        <vt:lpwstr>http://www.nevo.co.il/links/psika/?link=עפ 966/94</vt:lpwstr>
      </vt:variant>
      <vt:variant>
        <vt:lpwstr/>
      </vt:variant>
      <vt:variant>
        <vt:i4>98697319</vt:i4>
      </vt:variant>
      <vt:variant>
        <vt:i4>42</vt:i4>
      </vt:variant>
      <vt:variant>
        <vt:i4>0</vt:i4>
      </vt:variant>
      <vt:variant>
        <vt:i4>5</vt:i4>
      </vt:variant>
      <vt:variant>
        <vt:lpwstr>http://www.nevo.co.il/links/psika/?link=רעפ 3988/05</vt:lpwstr>
      </vt:variant>
      <vt:variant>
        <vt:lpwstr/>
      </vt:variant>
      <vt:variant>
        <vt:i4>99485106</vt:i4>
      </vt:variant>
      <vt:variant>
        <vt:i4>39</vt:i4>
      </vt:variant>
      <vt:variant>
        <vt:i4>0</vt:i4>
      </vt:variant>
      <vt:variant>
        <vt:i4>5</vt:i4>
      </vt:variant>
      <vt:variant>
        <vt:lpwstr>http://www.nevo.co.il/links/psika/?link=עפ 2669/00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http://www.nevo.co.il/law/4216/14</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2025-04-22T21:36:00Z</dcterms:created>
  <dcterms:modified xsi:type="dcterms:W3CDTF">2025-04-22T21:36:00Z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58167</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אמיר וייס</vt:lpwstr>
  </property>
  <property fmtid="{D5CDD505-2E9C-101B-9397-08002B2CF9AE}" pid="10" name="LAWYER">
    <vt:lpwstr> שלומי חנניה; שי רודה</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20140218</vt:lpwstr>
  </property>
  <property fmtid="{D5CDD505-2E9C-101B-9397-08002B2CF9AE}" pid="14" name="TYPE_N_DATE">
    <vt:lpwstr>38020140218</vt:lpwstr>
  </property>
  <property fmtid="{D5CDD505-2E9C-101B-9397-08002B2CF9AE}" pid="15" name="WORDNUMPAGES">
    <vt:lpwstr>11</vt:lpwstr>
  </property>
  <property fmtid="{D5CDD505-2E9C-101B-9397-08002B2CF9AE}" pid="16" name="TYPE_ABS_DATE">
    <vt:lpwstr>380120140218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4216/014;007.a;007.c</vt:lpwstr>
  </property>
  <property fmtid="{D5CDD505-2E9C-101B-9397-08002B2CF9AE}" pid="36" name="LAWLISTTMP2">
    <vt:lpwstr>70301/244</vt:lpwstr>
  </property>
  <property fmtid="{D5CDD505-2E9C-101B-9397-08002B2CF9AE}" pid="37" name="METAKZER">
    <vt:lpwstr>שירי</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11695;11690;8991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הימנעות מהרשעה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אי-הרשעה</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מדיניות ענישה: עבירות סמים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20140505</vt:lpwstr>
  </property>
</Properties>
</file>