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167677" w:rsidRPr="0040521A" w14:paraId="32198D47" w14:textId="77777777" w:rsidTr="00DD763E">
        <w:trPr>
          <w:trHeight w:hRule="exact" w:val="418"/>
          <w:jc w:val="center"/>
        </w:trPr>
        <w:tc>
          <w:tcPr>
            <w:tcW w:w="8721" w:type="dxa"/>
            <w:gridSpan w:val="2"/>
          </w:tcPr>
          <w:p w14:paraId="41032E71" w14:textId="77777777" w:rsidR="00167677" w:rsidRPr="0040521A" w:rsidRDefault="00167677" w:rsidP="00B248AD">
            <w:pPr>
              <w:pStyle w:val="a3"/>
              <w:jc w:val="center"/>
              <w:rPr>
                <w:rFonts w:ascii="Tahoma" w:hAnsi="Tahoma"/>
                <w:color w:val="000080"/>
                <w:sz w:val="32"/>
                <w:szCs w:val="32"/>
                <w:rtl/>
              </w:rPr>
            </w:pPr>
            <w:bookmarkStart w:id="0" w:name="LastJudge"/>
            <w:r w:rsidRPr="0040521A">
              <w:rPr>
                <w:rFonts w:ascii="Tahoma" w:hAnsi="Tahoma"/>
                <w:b/>
                <w:bCs/>
                <w:color w:val="000080"/>
                <w:sz w:val="32"/>
                <w:szCs w:val="32"/>
                <w:rtl/>
              </w:rPr>
              <w:t>בית משפט השלום בתל אביב - יפו</w:t>
            </w:r>
          </w:p>
        </w:tc>
      </w:tr>
      <w:tr w:rsidR="00167677" w:rsidRPr="0040521A" w14:paraId="705429AF" w14:textId="77777777" w:rsidTr="00DD763E">
        <w:trPr>
          <w:trHeight w:val="337"/>
          <w:jc w:val="center"/>
        </w:trPr>
        <w:tc>
          <w:tcPr>
            <w:tcW w:w="5059" w:type="dxa"/>
          </w:tcPr>
          <w:p w14:paraId="194DA9AC" w14:textId="77777777" w:rsidR="00167677" w:rsidRPr="0040521A" w:rsidRDefault="00167677" w:rsidP="00B248AD">
            <w:pPr>
              <w:rPr>
                <w:sz w:val="26"/>
                <w:szCs w:val="26"/>
                <w:rtl/>
              </w:rPr>
            </w:pPr>
            <w:r w:rsidRPr="0040521A">
              <w:rPr>
                <w:sz w:val="26"/>
                <w:szCs w:val="26"/>
                <w:rtl/>
              </w:rPr>
              <w:t>ת"פ</w:t>
            </w:r>
            <w:r w:rsidRPr="0040521A">
              <w:rPr>
                <w:rFonts w:hint="cs"/>
                <w:sz w:val="26"/>
                <w:szCs w:val="26"/>
                <w:rtl/>
              </w:rPr>
              <w:t xml:space="preserve"> </w:t>
            </w:r>
            <w:r w:rsidRPr="0040521A">
              <w:rPr>
                <w:sz w:val="26"/>
                <w:szCs w:val="26"/>
                <w:rtl/>
              </w:rPr>
              <w:t>49367-12-10</w:t>
            </w:r>
            <w:r w:rsidRPr="0040521A">
              <w:rPr>
                <w:rFonts w:hint="cs"/>
                <w:sz w:val="26"/>
                <w:szCs w:val="26"/>
                <w:rtl/>
              </w:rPr>
              <w:t xml:space="preserve"> </w:t>
            </w:r>
            <w:r w:rsidRPr="0040521A">
              <w:rPr>
                <w:sz w:val="26"/>
                <w:szCs w:val="26"/>
                <w:rtl/>
              </w:rPr>
              <w:t>מדינת ישראל נ' קזקוב(עציר)</w:t>
            </w:r>
          </w:p>
          <w:p w14:paraId="5372ECE5" w14:textId="77777777" w:rsidR="00167677" w:rsidRPr="0040521A" w:rsidRDefault="00167677" w:rsidP="00B248AD">
            <w:pPr>
              <w:pStyle w:val="a3"/>
              <w:rPr>
                <w:rFonts w:cs="FrankRuehl"/>
                <w:sz w:val="28"/>
                <w:szCs w:val="28"/>
                <w:rtl/>
              </w:rPr>
            </w:pPr>
          </w:p>
        </w:tc>
        <w:tc>
          <w:tcPr>
            <w:tcW w:w="3662" w:type="dxa"/>
          </w:tcPr>
          <w:p w14:paraId="7AF6FCFB" w14:textId="77777777" w:rsidR="00167677" w:rsidRPr="0040521A" w:rsidRDefault="00167677" w:rsidP="00B248AD">
            <w:pPr>
              <w:pStyle w:val="a3"/>
              <w:jc w:val="right"/>
              <w:rPr>
                <w:rFonts w:cs="FrankRuehl"/>
                <w:sz w:val="28"/>
                <w:szCs w:val="28"/>
                <w:rtl/>
              </w:rPr>
            </w:pPr>
          </w:p>
        </w:tc>
      </w:tr>
    </w:tbl>
    <w:p w14:paraId="67D00C31" w14:textId="77777777" w:rsidR="00167677" w:rsidRPr="0040521A" w:rsidRDefault="00167677" w:rsidP="00167677">
      <w:pPr>
        <w:pStyle w:val="a3"/>
        <w:rPr>
          <w:rtl/>
        </w:rPr>
      </w:pPr>
      <w:r w:rsidRPr="0040521A">
        <w:rPr>
          <w:rFonts w:hint="cs"/>
          <w:rtl/>
        </w:rPr>
        <w:t xml:space="preserve"> </w:t>
      </w:r>
    </w:p>
    <w:p w14:paraId="3370AA1D" w14:textId="77777777" w:rsidR="00167677" w:rsidRPr="0040521A" w:rsidRDefault="00167677" w:rsidP="00167677">
      <w:pPr>
        <w:rPr>
          <w:rFonts w:ascii="Arial" w:hAnsi="Arial"/>
          <w:rtl/>
        </w:rPr>
      </w:pPr>
    </w:p>
    <w:tbl>
      <w:tblPr>
        <w:bidiVisual/>
        <w:tblW w:w="8802" w:type="dxa"/>
        <w:tblInd w:w="-28" w:type="dxa"/>
        <w:tblLook w:val="01E0" w:firstRow="1" w:lastRow="1" w:firstColumn="1" w:lastColumn="1" w:noHBand="0" w:noVBand="0"/>
      </w:tblPr>
      <w:tblGrid>
        <w:gridCol w:w="2880"/>
        <w:gridCol w:w="5838"/>
        <w:gridCol w:w="84"/>
      </w:tblGrid>
      <w:tr w:rsidR="00B248AD" w:rsidRPr="0040521A" w14:paraId="25749DCF" w14:textId="77777777" w:rsidTr="00167677">
        <w:trPr>
          <w:gridAfter w:val="1"/>
          <w:wAfter w:w="56" w:type="dxa"/>
        </w:trPr>
        <w:tc>
          <w:tcPr>
            <w:tcW w:w="8718" w:type="dxa"/>
            <w:gridSpan w:val="2"/>
            <w:shd w:val="clear" w:color="auto" w:fill="auto"/>
          </w:tcPr>
          <w:p w14:paraId="043AED1C" w14:textId="77777777" w:rsidR="00167677" w:rsidRPr="0040521A" w:rsidRDefault="00167677" w:rsidP="00B248AD">
            <w:pPr>
              <w:pStyle w:val="a3"/>
              <w:rPr>
                <w:rFonts w:cs="Times New Roman"/>
                <w:b/>
                <w:bCs/>
                <w:sz w:val="26"/>
                <w:szCs w:val="26"/>
                <w:rtl/>
              </w:rPr>
            </w:pPr>
            <w:r w:rsidRPr="0040521A">
              <w:rPr>
                <w:b/>
                <w:bCs/>
                <w:sz w:val="26"/>
                <w:szCs w:val="26"/>
                <w:rtl/>
              </w:rPr>
              <w:t>פ"א - מעודכן 2009</w:t>
            </w:r>
            <w:r w:rsidRPr="0040521A">
              <w:rPr>
                <w:rFonts w:cs="Times New Roman"/>
                <w:b/>
                <w:bCs/>
                <w:sz w:val="26"/>
                <w:szCs w:val="26"/>
                <w:rtl/>
              </w:rPr>
              <w:t xml:space="preserve"> 0-2120-47351-2009  </w:t>
            </w:r>
          </w:p>
          <w:p w14:paraId="63A70517" w14:textId="77777777" w:rsidR="00167677" w:rsidRPr="0040521A" w:rsidRDefault="00167677" w:rsidP="00B248AD">
            <w:pPr>
              <w:pStyle w:val="a3"/>
              <w:rPr>
                <w:b/>
                <w:bCs/>
                <w:sz w:val="26"/>
                <w:szCs w:val="26"/>
                <w:rtl/>
              </w:rPr>
            </w:pPr>
          </w:p>
          <w:p w14:paraId="197B2CDB" w14:textId="77777777" w:rsidR="00167677" w:rsidRPr="0040521A" w:rsidRDefault="00167677" w:rsidP="00B248AD">
            <w:pPr>
              <w:rPr>
                <w:b/>
                <w:bCs/>
                <w:sz w:val="26"/>
                <w:szCs w:val="26"/>
                <w:rtl/>
              </w:rPr>
            </w:pPr>
          </w:p>
        </w:tc>
      </w:tr>
      <w:tr w:rsidR="00B248AD" w:rsidRPr="0040521A" w14:paraId="1DE757F5" w14:textId="77777777" w:rsidTr="00167677">
        <w:trPr>
          <w:gridAfter w:val="1"/>
          <w:wAfter w:w="56" w:type="dxa"/>
        </w:trPr>
        <w:tc>
          <w:tcPr>
            <w:tcW w:w="8718" w:type="dxa"/>
            <w:gridSpan w:val="2"/>
            <w:shd w:val="clear" w:color="auto" w:fill="auto"/>
          </w:tcPr>
          <w:p w14:paraId="05D6D649" w14:textId="77777777" w:rsidR="00167677" w:rsidRPr="0040521A" w:rsidRDefault="00167677" w:rsidP="00B248AD">
            <w:pPr>
              <w:rPr>
                <w:rFonts w:cs="Times New Roman"/>
                <w:b/>
                <w:bCs/>
                <w:sz w:val="12"/>
                <w:szCs w:val="12"/>
                <w:rtl/>
              </w:rPr>
            </w:pPr>
          </w:p>
        </w:tc>
      </w:tr>
      <w:tr w:rsidR="00B248AD" w:rsidRPr="0040521A" w14:paraId="033F53BE" w14:textId="77777777" w:rsidTr="00167677">
        <w:trPr>
          <w:gridAfter w:val="1"/>
          <w:wAfter w:w="56" w:type="dxa"/>
        </w:trPr>
        <w:tc>
          <w:tcPr>
            <w:tcW w:w="8718" w:type="dxa"/>
            <w:gridSpan w:val="2"/>
            <w:shd w:val="clear" w:color="auto" w:fill="auto"/>
          </w:tcPr>
          <w:p w14:paraId="4F2616A3" w14:textId="77777777" w:rsidR="00167677" w:rsidRPr="0040521A" w:rsidRDefault="00167677" w:rsidP="00B248AD">
            <w:pPr>
              <w:rPr>
                <w:rFonts w:cs="Times New Roman"/>
                <w:b/>
                <w:bCs/>
                <w:sz w:val="26"/>
                <w:szCs w:val="26"/>
                <w:rtl/>
              </w:rPr>
            </w:pPr>
            <w:r w:rsidRPr="0040521A">
              <w:rPr>
                <w:rFonts w:hint="cs"/>
                <w:b/>
                <w:bCs/>
                <w:sz w:val="26"/>
                <w:szCs w:val="26"/>
                <w:rtl/>
              </w:rPr>
              <w:t>לפני כבוד השופטת יעל פרדלסקי</w:t>
            </w:r>
          </w:p>
        </w:tc>
      </w:tr>
      <w:tr w:rsidR="00B248AD" w:rsidRPr="0040521A" w14:paraId="7FE56135" w14:textId="77777777" w:rsidTr="00167677">
        <w:trPr>
          <w:cantSplit/>
          <w:trHeight w:val="724"/>
        </w:trPr>
        <w:tc>
          <w:tcPr>
            <w:tcW w:w="2880" w:type="dxa"/>
            <w:shd w:val="clear" w:color="auto" w:fill="auto"/>
          </w:tcPr>
          <w:p w14:paraId="2F7C6269" w14:textId="77777777" w:rsidR="00167677" w:rsidRPr="0040521A" w:rsidRDefault="00167677" w:rsidP="00167677">
            <w:pPr>
              <w:ind w:left="26"/>
              <w:rPr>
                <w:b/>
                <w:bCs/>
                <w:sz w:val="26"/>
                <w:szCs w:val="26"/>
                <w:rtl/>
              </w:rPr>
            </w:pPr>
            <w:bookmarkStart w:id="1" w:name="FirstAppellant"/>
          </w:p>
          <w:p w14:paraId="51D82D70" w14:textId="77777777" w:rsidR="00167677" w:rsidRPr="0040521A" w:rsidRDefault="00167677" w:rsidP="00167677">
            <w:pPr>
              <w:ind w:left="26"/>
              <w:rPr>
                <w:b/>
                <w:bCs/>
                <w:sz w:val="26"/>
                <w:szCs w:val="26"/>
                <w:rtl/>
              </w:rPr>
            </w:pPr>
            <w:r w:rsidRPr="0040521A">
              <w:rPr>
                <w:rFonts w:hint="cs"/>
                <w:b/>
                <w:bCs/>
                <w:sz w:val="26"/>
                <w:szCs w:val="26"/>
                <w:rtl/>
              </w:rPr>
              <w:t>המאשימה</w:t>
            </w:r>
          </w:p>
        </w:tc>
        <w:tc>
          <w:tcPr>
            <w:tcW w:w="5922" w:type="dxa"/>
            <w:gridSpan w:val="2"/>
            <w:shd w:val="clear" w:color="auto" w:fill="auto"/>
          </w:tcPr>
          <w:p w14:paraId="6D54039E" w14:textId="77777777" w:rsidR="00167677" w:rsidRPr="0040521A" w:rsidRDefault="00167677" w:rsidP="00B248AD">
            <w:pPr>
              <w:rPr>
                <w:sz w:val="26"/>
                <w:szCs w:val="26"/>
                <w:rtl/>
              </w:rPr>
            </w:pPr>
          </w:p>
          <w:p w14:paraId="4B1BADBF" w14:textId="77777777" w:rsidR="00167677" w:rsidRPr="0040521A" w:rsidRDefault="00167677" w:rsidP="00B248AD">
            <w:pPr>
              <w:rPr>
                <w:b/>
                <w:bCs/>
                <w:sz w:val="26"/>
                <w:szCs w:val="26"/>
                <w:rtl/>
              </w:rPr>
            </w:pPr>
            <w:r w:rsidRPr="0040521A">
              <w:rPr>
                <w:rFonts w:hint="cs"/>
                <w:sz w:val="26"/>
                <w:szCs w:val="26"/>
                <w:rtl/>
              </w:rPr>
              <w:t xml:space="preserve"> </w:t>
            </w:r>
            <w:r w:rsidRPr="0040521A">
              <w:rPr>
                <w:rFonts w:hint="cs"/>
                <w:b/>
                <w:bCs/>
                <w:sz w:val="26"/>
                <w:szCs w:val="26"/>
                <w:rtl/>
              </w:rPr>
              <w:t>מדינת ישראל</w:t>
            </w:r>
          </w:p>
        </w:tc>
      </w:tr>
      <w:bookmarkEnd w:id="1"/>
      <w:tr w:rsidR="00B248AD" w:rsidRPr="0040521A" w14:paraId="2D16DBA2" w14:textId="77777777" w:rsidTr="00167677">
        <w:tc>
          <w:tcPr>
            <w:tcW w:w="8802" w:type="dxa"/>
            <w:gridSpan w:val="3"/>
            <w:shd w:val="clear" w:color="auto" w:fill="auto"/>
            <w:vAlign w:val="center"/>
          </w:tcPr>
          <w:p w14:paraId="1DCF32E1" w14:textId="77777777" w:rsidR="00167677" w:rsidRPr="0040521A" w:rsidRDefault="00167677" w:rsidP="00167677">
            <w:pPr>
              <w:jc w:val="center"/>
              <w:rPr>
                <w:rFonts w:ascii="Arial" w:hAnsi="Arial"/>
                <w:b/>
                <w:bCs/>
                <w:sz w:val="26"/>
                <w:szCs w:val="26"/>
                <w:rtl/>
              </w:rPr>
            </w:pPr>
          </w:p>
          <w:p w14:paraId="30DFA8B2" w14:textId="77777777" w:rsidR="00167677" w:rsidRPr="0040521A" w:rsidRDefault="00167677" w:rsidP="00167677">
            <w:pPr>
              <w:jc w:val="center"/>
              <w:rPr>
                <w:rFonts w:ascii="Arial" w:hAnsi="Arial"/>
                <w:b/>
                <w:bCs/>
                <w:sz w:val="26"/>
                <w:szCs w:val="26"/>
                <w:rtl/>
              </w:rPr>
            </w:pPr>
            <w:r w:rsidRPr="0040521A">
              <w:rPr>
                <w:rFonts w:ascii="Arial" w:hAnsi="Arial" w:hint="cs"/>
                <w:b/>
                <w:bCs/>
                <w:sz w:val="26"/>
                <w:szCs w:val="26"/>
                <w:rtl/>
              </w:rPr>
              <w:t>נגד</w:t>
            </w:r>
          </w:p>
          <w:p w14:paraId="0F578F08" w14:textId="77777777" w:rsidR="00167677" w:rsidRPr="0040521A" w:rsidRDefault="00167677" w:rsidP="00B248AD">
            <w:pPr>
              <w:rPr>
                <w:rFonts w:ascii="Arial" w:hAnsi="Arial"/>
                <w:b/>
                <w:bCs/>
                <w:sz w:val="22"/>
                <w:szCs w:val="22"/>
                <w:rtl/>
              </w:rPr>
            </w:pPr>
          </w:p>
        </w:tc>
      </w:tr>
      <w:tr w:rsidR="00B248AD" w:rsidRPr="0040521A" w14:paraId="382B7099" w14:textId="77777777" w:rsidTr="00167677">
        <w:tc>
          <w:tcPr>
            <w:tcW w:w="2880" w:type="dxa"/>
            <w:shd w:val="clear" w:color="auto" w:fill="auto"/>
          </w:tcPr>
          <w:p w14:paraId="60F49264" w14:textId="77777777" w:rsidR="00167677" w:rsidRPr="0040521A" w:rsidRDefault="00167677" w:rsidP="00167677">
            <w:pPr>
              <w:ind w:left="26"/>
              <w:rPr>
                <w:b/>
                <w:bCs/>
                <w:sz w:val="26"/>
                <w:szCs w:val="26"/>
              </w:rPr>
            </w:pPr>
            <w:r w:rsidRPr="0040521A">
              <w:rPr>
                <w:rFonts w:hint="cs"/>
                <w:b/>
                <w:bCs/>
                <w:sz w:val="26"/>
                <w:szCs w:val="26"/>
                <w:rtl/>
              </w:rPr>
              <w:t>הנאשם</w:t>
            </w:r>
          </w:p>
        </w:tc>
        <w:tc>
          <w:tcPr>
            <w:tcW w:w="5922" w:type="dxa"/>
            <w:gridSpan w:val="2"/>
            <w:shd w:val="clear" w:color="auto" w:fill="auto"/>
          </w:tcPr>
          <w:p w14:paraId="21A0FD8B" w14:textId="77777777" w:rsidR="00167677" w:rsidRPr="0040521A" w:rsidRDefault="00167677" w:rsidP="00B248AD">
            <w:pPr>
              <w:rPr>
                <w:b/>
                <w:bCs/>
                <w:sz w:val="26"/>
                <w:szCs w:val="26"/>
                <w:rtl/>
              </w:rPr>
            </w:pPr>
            <w:r w:rsidRPr="0040521A">
              <w:rPr>
                <w:rFonts w:hint="cs"/>
                <w:sz w:val="26"/>
                <w:szCs w:val="26"/>
                <w:rtl/>
              </w:rPr>
              <w:t xml:space="preserve"> </w:t>
            </w:r>
            <w:r w:rsidRPr="0040521A">
              <w:rPr>
                <w:rFonts w:hint="cs"/>
                <w:b/>
                <w:bCs/>
                <w:sz w:val="26"/>
                <w:szCs w:val="26"/>
                <w:rtl/>
              </w:rPr>
              <w:t>סטניסלב קזקוב (עציר)</w:t>
            </w:r>
            <w:r w:rsidRPr="0040521A">
              <w:rPr>
                <w:rFonts w:hint="cs"/>
                <w:sz w:val="26"/>
                <w:szCs w:val="26"/>
                <w:rtl/>
              </w:rPr>
              <w:t xml:space="preserve"> </w:t>
            </w:r>
            <w:r w:rsidRPr="0040521A">
              <w:rPr>
                <w:rFonts w:hint="cs"/>
                <w:b/>
                <w:bCs/>
                <w:sz w:val="26"/>
                <w:szCs w:val="26"/>
                <w:rtl/>
              </w:rPr>
              <w:t xml:space="preserve">ת.ז.  </w:t>
            </w:r>
            <w:r w:rsidR="0040521A">
              <w:rPr>
                <w:b/>
                <w:bCs/>
                <w:sz w:val="26"/>
                <w:szCs w:val="26"/>
              </w:rPr>
              <w:t>xxxxxxxxxx</w:t>
            </w:r>
          </w:p>
        </w:tc>
      </w:tr>
    </w:tbl>
    <w:p w14:paraId="758B72C6" w14:textId="77777777" w:rsidR="00167677" w:rsidRPr="0040521A" w:rsidRDefault="00167677" w:rsidP="00167677">
      <w:pPr>
        <w:spacing w:line="360" w:lineRule="auto"/>
        <w:jc w:val="both"/>
        <w:rPr>
          <w:rFonts w:ascii="David" w:hAnsi="David"/>
          <w:rtl/>
        </w:rPr>
      </w:pPr>
    </w:p>
    <w:p w14:paraId="01BF03EE" w14:textId="77777777" w:rsidR="00167677" w:rsidRPr="0040521A" w:rsidRDefault="00167677" w:rsidP="00167677">
      <w:pPr>
        <w:spacing w:line="360" w:lineRule="auto"/>
        <w:jc w:val="both"/>
        <w:rPr>
          <w:sz w:val="6"/>
          <w:szCs w:val="6"/>
          <w:rtl/>
        </w:rPr>
      </w:pPr>
      <w:r w:rsidRPr="0040521A">
        <w:rPr>
          <w:rFonts w:hint="cs"/>
          <w:sz w:val="6"/>
          <w:szCs w:val="6"/>
          <w:rtl/>
        </w:rPr>
        <w:t>&lt;#1#&gt;</w:t>
      </w:r>
    </w:p>
    <w:p w14:paraId="18066774" w14:textId="77777777" w:rsidR="00167677" w:rsidRPr="0040521A" w:rsidRDefault="00167677" w:rsidP="00167677">
      <w:pPr>
        <w:pStyle w:val="12"/>
        <w:rPr>
          <w:u w:val="none"/>
          <w:rtl/>
        </w:rPr>
      </w:pPr>
      <w:r w:rsidRPr="0040521A">
        <w:rPr>
          <w:rFonts w:hint="cs"/>
          <w:u w:val="none"/>
          <w:rtl/>
        </w:rPr>
        <w:t>נוכחים:</w:t>
      </w:r>
    </w:p>
    <w:p w14:paraId="48BB8424" w14:textId="77777777" w:rsidR="00167677" w:rsidRPr="0040521A" w:rsidRDefault="00167677" w:rsidP="00167677">
      <w:pPr>
        <w:pStyle w:val="12"/>
        <w:rPr>
          <w:b w:val="0"/>
          <w:bCs w:val="0"/>
          <w:u w:val="none"/>
        </w:rPr>
      </w:pPr>
      <w:bookmarkStart w:id="2" w:name="FirstLawyer"/>
      <w:r w:rsidRPr="0040521A">
        <w:rPr>
          <w:rFonts w:hint="cs"/>
          <w:b w:val="0"/>
          <w:bCs w:val="0"/>
          <w:u w:val="none"/>
          <w:rtl/>
        </w:rPr>
        <w:t>ב"כ</w:t>
      </w:r>
      <w:bookmarkEnd w:id="2"/>
      <w:r w:rsidRPr="0040521A">
        <w:rPr>
          <w:rFonts w:hint="cs"/>
          <w:b w:val="0"/>
          <w:bCs w:val="0"/>
          <w:u w:val="none"/>
          <w:rtl/>
        </w:rPr>
        <w:t xml:space="preserve"> המאשימה – עו"ד אילנית נחום</w:t>
      </w:r>
    </w:p>
    <w:p w14:paraId="5CC92FFE" w14:textId="77777777" w:rsidR="00167677" w:rsidRPr="0040521A" w:rsidRDefault="00167677" w:rsidP="00167677">
      <w:pPr>
        <w:pStyle w:val="12"/>
        <w:rPr>
          <w:b w:val="0"/>
          <w:bCs w:val="0"/>
          <w:u w:val="none"/>
          <w:rtl/>
        </w:rPr>
      </w:pPr>
      <w:r w:rsidRPr="0040521A">
        <w:rPr>
          <w:rFonts w:hint="cs"/>
          <w:b w:val="0"/>
          <w:bCs w:val="0"/>
          <w:u w:val="none"/>
          <w:rtl/>
        </w:rPr>
        <w:t>ב"כ הנאשם – עו"ד בנימין ניומן ממשרד עו"ד ישר יעקובי</w:t>
      </w:r>
    </w:p>
    <w:p w14:paraId="2D431817" w14:textId="77777777" w:rsidR="007C7059" w:rsidRDefault="00167677" w:rsidP="00167677">
      <w:pPr>
        <w:pStyle w:val="12"/>
        <w:rPr>
          <w:b w:val="0"/>
          <w:bCs w:val="0"/>
          <w:u w:val="none"/>
          <w:rtl/>
        </w:rPr>
      </w:pPr>
      <w:r w:rsidRPr="0040521A">
        <w:rPr>
          <w:rFonts w:hint="cs"/>
          <w:b w:val="0"/>
          <w:bCs w:val="0"/>
          <w:u w:val="none"/>
          <w:rtl/>
        </w:rPr>
        <w:t>הנאשם – הובא משב"ס</w:t>
      </w:r>
      <w:bookmarkStart w:id="3" w:name="LawTable"/>
      <w:bookmarkEnd w:id="3"/>
    </w:p>
    <w:p w14:paraId="01FFE4A7" w14:textId="77777777" w:rsidR="007C7059" w:rsidRPr="007C7059" w:rsidRDefault="007C7059" w:rsidP="007C7059">
      <w:pPr>
        <w:pStyle w:val="12"/>
        <w:spacing w:after="120" w:line="240" w:lineRule="exact"/>
        <w:ind w:left="283" w:hanging="283"/>
        <w:jc w:val="both"/>
        <w:rPr>
          <w:rFonts w:ascii="FrankRuehl" w:hAnsi="FrankRuehl" w:cs="FrankRuehl"/>
          <w:b w:val="0"/>
          <w:bCs w:val="0"/>
          <w:u w:val="none"/>
          <w:rtl/>
        </w:rPr>
      </w:pPr>
    </w:p>
    <w:p w14:paraId="50F39A48" w14:textId="77777777" w:rsidR="007C7059" w:rsidRPr="007C7059" w:rsidRDefault="007C7059" w:rsidP="007C7059">
      <w:pPr>
        <w:pStyle w:val="12"/>
        <w:spacing w:after="120" w:line="240" w:lineRule="exact"/>
        <w:ind w:left="283" w:hanging="283"/>
        <w:jc w:val="both"/>
        <w:rPr>
          <w:rFonts w:ascii="FrankRuehl" w:hAnsi="FrankRuehl" w:cs="FrankRuehl"/>
          <w:b w:val="0"/>
          <w:bCs w:val="0"/>
          <w:u w:val="none"/>
          <w:rtl/>
        </w:rPr>
      </w:pPr>
      <w:r w:rsidRPr="007C7059">
        <w:rPr>
          <w:rFonts w:ascii="FrankRuehl" w:hAnsi="FrankRuehl" w:cs="FrankRuehl"/>
          <w:b w:val="0"/>
          <w:bCs w:val="0"/>
          <w:u w:val="none"/>
          <w:rtl/>
        </w:rPr>
        <w:t xml:space="preserve">חקיקה שאוזכרה: </w:t>
      </w:r>
    </w:p>
    <w:p w14:paraId="2C729E2B" w14:textId="77777777" w:rsidR="007C7059" w:rsidRPr="007C7059" w:rsidRDefault="007C7059" w:rsidP="007C7059">
      <w:pPr>
        <w:pStyle w:val="12"/>
        <w:spacing w:after="120" w:line="240" w:lineRule="exact"/>
        <w:ind w:left="283" w:hanging="283"/>
        <w:jc w:val="both"/>
        <w:rPr>
          <w:rFonts w:ascii="FrankRuehl" w:hAnsi="FrankRuehl" w:cs="FrankRuehl"/>
          <w:b w:val="0"/>
          <w:bCs w:val="0"/>
          <w:u w:val="none"/>
          <w:rtl/>
        </w:rPr>
      </w:pPr>
      <w:hyperlink r:id="rId7" w:history="1">
        <w:r w:rsidRPr="007C7059">
          <w:rPr>
            <w:rFonts w:ascii="FrankRuehl" w:hAnsi="FrankRuehl" w:cs="FrankRuehl"/>
            <w:b w:val="0"/>
            <w:bCs w:val="0"/>
            <w:color w:val="0000FF"/>
            <w:rtl/>
          </w:rPr>
          <w:t>חוק העונשין, תשל"ז-1977</w:t>
        </w:r>
      </w:hyperlink>
      <w:r w:rsidRPr="007C7059">
        <w:rPr>
          <w:rFonts w:ascii="FrankRuehl" w:hAnsi="FrankRuehl" w:cs="FrankRuehl"/>
          <w:b w:val="0"/>
          <w:bCs w:val="0"/>
          <w:u w:val="none"/>
          <w:rtl/>
        </w:rPr>
        <w:t xml:space="preserve">: סע'  </w:t>
      </w:r>
      <w:hyperlink r:id="rId8" w:history="1">
        <w:r w:rsidRPr="007C7059">
          <w:rPr>
            <w:rFonts w:ascii="FrankRuehl" w:hAnsi="FrankRuehl" w:cs="FrankRuehl"/>
            <w:b w:val="0"/>
            <w:bCs w:val="0"/>
            <w:color w:val="0000FF"/>
            <w:rtl/>
          </w:rPr>
          <w:t>384</w:t>
        </w:r>
      </w:hyperlink>
      <w:r w:rsidRPr="007C7059">
        <w:rPr>
          <w:rFonts w:ascii="FrankRuehl" w:hAnsi="FrankRuehl" w:cs="FrankRuehl"/>
          <w:b w:val="0"/>
          <w:bCs w:val="0"/>
          <w:u w:val="none"/>
          <w:rtl/>
        </w:rPr>
        <w:t xml:space="preserve">, </w:t>
      </w:r>
      <w:hyperlink r:id="rId9" w:history="1">
        <w:r w:rsidRPr="007C7059">
          <w:rPr>
            <w:rFonts w:ascii="FrankRuehl" w:hAnsi="FrankRuehl" w:cs="FrankRuehl"/>
            <w:b w:val="0"/>
            <w:bCs w:val="0"/>
            <w:color w:val="0000FF"/>
            <w:rtl/>
          </w:rPr>
          <w:t>406(ב)</w:t>
        </w:r>
      </w:hyperlink>
    </w:p>
    <w:p w14:paraId="442A9237" w14:textId="77777777" w:rsidR="007C7059" w:rsidRPr="007C7059" w:rsidRDefault="007C7059" w:rsidP="007C7059">
      <w:pPr>
        <w:pStyle w:val="12"/>
        <w:spacing w:after="120" w:line="240" w:lineRule="exact"/>
        <w:ind w:left="283" w:hanging="283"/>
        <w:jc w:val="both"/>
        <w:rPr>
          <w:rFonts w:ascii="FrankRuehl" w:hAnsi="FrankRuehl" w:cs="FrankRuehl"/>
          <w:b w:val="0"/>
          <w:bCs w:val="0"/>
          <w:u w:val="none"/>
          <w:rtl/>
        </w:rPr>
      </w:pPr>
    </w:p>
    <w:p w14:paraId="30382378" w14:textId="77777777" w:rsidR="007C7059" w:rsidRPr="007C7059" w:rsidRDefault="007C7059" w:rsidP="00167677">
      <w:pPr>
        <w:pStyle w:val="12"/>
        <w:rPr>
          <w:b w:val="0"/>
          <w:bCs w:val="0"/>
          <w:u w:val="none"/>
          <w:rtl/>
        </w:rPr>
      </w:pPr>
      <w:bookmarkStart w:id="4" w:name="LawTable_End"/>
      <w:bookmarkEnd w:id="4"/>
    </w:p>
    <w:p w14:paraId="74B5841D" w14:textId="77777777" w:rsidR="007C7059" w:rsidRPr="007C7059" w:rsidRDefault="007C7059" w:rsidP="00167677">
      <w:pPr>
        <w:pStyle w:val="12"/>
        <w:rPr>
          <w:b w:val="0"/>
          <w:bCs w:val="0"/>
          <w:u w:val="none"/>
          <w:rtl/>
        </w:rPr>
      </w:pPr>
    </w:p>
    <w:p w14:paraId="729A3E59" w14:textId="77777777" w:rsidR="00167677" w:rsidRPr="007C7059" w:rsidRDefault="00167677" w:rsidP="00167677">
      <w:pPr>
        <w:pStyle w:val="12"/>
        <w:rPr>
          <w:b w:val="0"/>
          <w:bCs w:val="0"/>
          <w:u w:val="none"/>
          <w:rtl/>
        </w:rPr>
      </w:pPr>
    </w:p>
    <w:p w14:paraId="2256D93D" w14:textId="77777777" w:rsidR="0040521A" w:rsidRPr="0040521A" w:rsidRDefault="0040521A" w:rsidP="0040521A">
      <w:pPr>
        <w:spacing w:line="360" w:lineRule="auto"/>
        <w:jc w:val="center"/>
        <w:rPr>
          <w:rFonts w:ascii="Arial" w:hAnsi="Arial"/>
          <w:b/>
          <w:bCs/>
          <w:sz w:val="28"/>
          <w:szCs w:val="28"/>
          <w:u w:val="single"/>
          <w:rtl/>
        </w:rPr>
      </w:pPr>
      <w:bookmarkStart w:id="5" w:name="PsakDin"/>
      <w:bookmarkEnd w:id="0"/>
      <w:r w:rsidRPr="0040521A">
        <w:rPr>
          <w:rFonts w:ascii="Arial" w:hAnsi="Arial"/>
          <w:b/>
          <w:bCs/>
          <w:sz w:val="28"/>
          <w:szCs w:val="28"/>
          <w:u w:val="single"/>
          <w:rtl/>
        </w:rPr>
        <w:t>גזר דין</w:t>
      </w:r>
    </w:p>
    <w:bookmarkEnd w:id="5"/>
    <w:p w14:paraId="78D8CB34" w14:textId="77777777" w:rsidR="00167677" w:rsidRDefault="00167677" w:rsidP="00167677">
      <w:pPr>
        <w:spacing w:line="360" w:lineRule="auto"/>
        <w:jc w:val="both"/>
        <w:rPr>
          <w:rFonts w:ascii="David" w:hAnsi="David"/>
          <w:rtl/>
        </w:rPr>
      </w:pPr>
      <w:r>
        <w:rPr>
          <w:rFonts w:hint="cs"/>
          <w:rtl/>
        </w:rPr>
        <w:t xml:space="preserve"> </w:t>
      </w:r>
    </w:p>
    <w:p w14:paraId="2FF88620" w14:textId="77777777" w:rsidR="00167677" w:rsidRDefault="00167677" w:rsidP="00167677">
      <w:pPr>
        <w:numPr>
          <w:ilvl w:val="0"/>
          <w:numId w:val="1"/>
        </w:numPr>
        <w:suppressLineNumbers/>
        <w:spacing w:before="120" w:after="120" w:line="360" w:lineRule="auto"/>
        <w:contextualSpacing/>
        <w:jc w:val="both"/>
      </w:pPr>
      <w:bookmarkStart w:id="6" w:name="ABSTRACT_START"/>
      <w:bookmarkEnd w:id="6"/>
      <w:r>
        <w:rPr>
          <w:rFonts w:hint="cs"/>
          <w:rtl/>
        </w:rPr>
        <w:t xml:space="preserve">ביום 6.5.13 הורשע הנאשם לאחר שמיעת ראיות בביצוע עבירה של התפרצות למקום מגורים בכוונה לגנוב, עבירה לפי </w:t>
      </w:r>
      <w:hyperlink r:id="rId10" w:history="1">
        <w:r w:rsidR="00DD763E" w:rsidRPr="00DD763E">
          <w:rPr>
            <w:color w:val="0000FF"/>
            <w:u w:val="single"/>
            <w:rtl/>
          </w:rPr>
          <w:t>סעיף 406(ב)</w:t>
        </w:r>
      </w:hyperlink>
      <w:r>
        <w:rPr>
          <w:rFonts w:hint="cs"/>
          <w:rtl/>
        </w:rPr>
        <w:t xml:space="preserve"> ל</w:t>
      </w:r>
      <w:hyperlink r:id="rId11" w:history="1">
        <w:r w:rsidR="0040521A" w:rsidRPr="0040521A">
          <w:rPr>
            <w:color w:val="0000FF"/>
            <w:u w:val="single"/>
            <w:rtl/>
          </w:rPr>
          <w:t>חוק העונשין</w:t>
        </w:r>
      </w:hyperlink>
      <w:r>
        <w:rPr>
          <w:rFonts w:hint="cs"/>
          <w:rtl/>
        </w:rPr>
        <w:t>, התשל"ז-1977 (להלן: "</w:t>
      </w:r>
      <w:r>
        <w:rPr>
          <w:rFonts w:hint="cs"/>
          <w:b/>
          <w:bCs/>
          <w:rtl/>
        </w:rPr>
        <w:t>חוק העונשין</w:t>
      </w:r>
      <w:r>
        <w:rPr>
          <w:rFonts w:hint="cs"/>
          <w:rtl/>
        </w:rPr>
        <w:t xml:space="preserve">") וביצוע עבירת גניבה, עבירה לפי </w:t>
      </w:r>
      <w:hyperlink r:id="rId12" w:history="1">
        <w:r w:rsidR="00DD763E" w:rsidRPr="00DD763E">
          <w:rPr>
            <w:color w:val="0000FF"/>
            <w:u w:val="single"/>
            <w:rtl/>
          </w:rPr>
          <w:t>סעיף 384</w:t>
        </w:r>
      </w:hyperlink>
      <w:r>
        <w:rPr>
          <w:rFonts w:hint="cs"/>
          <w:rtl/>
        </w:rPr>
        <w:t xml:space="preserve"> לחוק העונשין, ולבקשת  ההגנה  דחיתי את הטיעונים לעונש. </w:t>
      </w:r>
    </w:p>
    <w:p w14:paraId="6C3E3364" w14:textId="77777777" w:rsidR="00167677" w:rsidRDefault="00167677" w:rsidP="00167677">
      <w:pPr>
        <w:numPr>
          <w:ilvl w:val="0"/>
          <w:numId w:val="1"/>
        </w:numPr>
        <w:suppressLineNumbers/>
        <w:spacing w:before="120" w:after="120" w:line="360" w:lineRule="auto"/>
        <w:contextualSpacing/>
        <w:jc w:val="both"/>
      </w:pPr>
      <w:bookmarkStart w:id="7" w:name="ABSTRACT_END"/>
      <w:bookmarkEnd w:id="7"/>
      <w:r>
        <w:rPr>
          <w:rFonts w:hint="cs"/>
          <w:rtl/>
        </w:rPr>
        <w:t xml:space="preserve">בתמצית אציין, כי בהכרעת הדין קבעתי, כי הוכח מעבר לכל ספק כי ביום 25.12.09 בין השעה 13:00 לשעה 21:00, ברח' מאפ"ו 18א בתל-אביב התפרץ הנאשם לדירה של מר יובל ואקנין (להלן: </w:t>
      </w:r>
      <w:r>
        <w:rPr>
          <w:rFonts w:hint="cs"/>
          <w:b/>
          <w:bCs/>
          <w:rtl/>
        </w:rPr>
        <w:t>"הדירה"</w:t>
      </w:r>
      <w:r>
        <w:rPr>
          <w:rFonts w:hint="cs"/>
          <w:rtl/>
        </w:rPr>
        <w:t>) בכך שנכנס לדירה דרך חלון חדר העבודה וגנב מהדירה טלוויזיה, מצלמה, מחשב נייד, 2 שלטים וקופסת עץ ובה תכשיטים.</w:t>
      </w:r>
    </w:p>
    <w:p w14:paraId="29468541" w14:textId="77777777" w:rsidR="00167677" w:rsidRDefault="00167677" w:rsidP="00167677">
      <w:pPr>
        <w:numPr>
          <w:ilvl w:val="0"/>
          <w:numId w:val="1"/>
        </w:numPr>
        <w:suppressLineNumbers/>
        <w:spacing w:before="120" w:after="120" w:line="360" w:lineRule="auto"/>
        <w:contextualSpacing/>
        <w:jc w:val="both"/>
      </w:pPr>
      <w:r>
        <w:rPr>
          <w:rFonts w:hint="cs"/>
          <w:rtl/>
        </w:rPr>
        <w:t xml:space="preserve">לבקשת ההגנה הפניתי את הנאשם עוד ביום 3.7.13 לקבלת תסקיר שירות מבחן. מתסקיר שירות מבחן ומהתסקירים המשלימים, אשר מטעמי צנעת הפרט לא אפרטם עולה, כי הנאשם </w:t>
      </w:r>
      <w:r>
        <w:rPr>
          <w:rFonts w:hint="cs"/>
          <w:rtl/>
        </w:rPr>
        <w:lastRenderedPageBreak/>
        <w:t xml:space="preserve">דר רחוב, סיים 9 שנות לימוד, עלה לישראל בהיותו כבן 20   ואינו בקשר עם משפחתו שעלתה לישראל . עוד עולה, כי הנאשם מכור לסמים, התקשה לקחת אחריות על ביצוע העבירה, החל להשתלב במרפאת "צור הדסה"- מרפאה לטיפול גמילה מסמים באמצעות תחליף סם, אולם הנאשם ניתק את הקשר עם מרפאת "צור הדסה", ושירות מבחן נמנע מהמלצה. </w:t>
      </w:r>
    </w:p>
    <w:p w14:paraId="1172E742" w14:textId="77777777" w:rsidR="00167677" w:rsidRDefault="00167677" w:rsidP="00167677">
      <w:pPr>
        <w:numPr>
          <w:ilvl w:val="0"/>
          <w:numId w:val="1"/>
        </w:numPr>
        <w:suppressLineNumbers/>
        <w:spacing w:before="120" w:after="120" w:line="360" w:lineRule="auto"/>
        <w:contextualSpacing/>
        <w:jc w:val="both"/>
      </w:pPr>
      <w:r>
        <w:rPr>
          <w:rFonts w:hint="cs"/>
          <w:rtl/>
        </w:rPr>
        <w:t xml:space="preserve">בתמצית אציין, כי הדיון הראשון בו נכח הנאשם באולמי בענין תיק זה, התקיים ביום 1.6.11 ומאז התקיימו דיונים רבים, כשלחלק ניכר מהדיונים הנאשם לא התייצב, לרבות דיון הוכחות, מתן הכרעת הדין, טיעונים לעונש וגזר דין. עוד אציין, כי ההליכים כנגד הנאשם הותלו וחודשו פעמים רבות. ביום 17.3.16 לאחר שהתקבלה חוות דעת מטעם הפסיכיאטר המחוזי קבעתי, כי הנאשם אינו מסוגל לעמוד לדין והורתי על הפסקת הליכים ועל אשפוז הנאשם בבית חולים פסיכיאטרי. בחודש יולי 2016 חודשו ההליכים כנגד הנאשם, אולם הנאשם לא התייצב לדיון  וההליכים  הותלו.  לאחר שחודשו ההליכים נשמעו טיעונים לעונש ביום 5.6.17 התיק נקבע להשמעת גזר דין ליום 26.6.17 אולם הנאשם לא התייצב למתן גזר דין, הוצא צו הבאה ללא שחרור כנגד הנאשם, והנאשם נעצר עוד ביום 26.6.17. </w:t>
      </w:r>
    </w:p>
    <w:p w14:paraId="001E7DE3" w14:textId="77777777" w:rsidR="00167677" w:rsidRDefault="00167677" w:rsidP="00167677">
      <w:pPr>
        <w:numPr>
          <w:ilvl w:val="0"/>
          <w:numId w:val="1"/>
        </w:numPr>
        <w:suppressLineNumbers/>
        <w:spacing w:before="120" w:after="120" w:line="360" w:lineRule="auto"/>
        <w:contextualSpacing/>
        <w:jc w:val="both"/>
      </w:pPr>
      <w:r>
        <w:rPr>
          <w:rFonts w:hint="cs"/>
          <w:rtl/>
        </w:rPr>
        <w:t>ב"כ המאשימה הגישה גיליון הרשעות קודמות של הנאשם, פס"ד מביהמ"ש מחוזי (ת"א )</w:t>
      </w:r>
      <w:hyperlink r:id="rId13" w:history="1">
        <w:r w:rsidR="00D13951" w:rsidRPr="00D13951">
          <w:rPr>
            <w:color w:val="0000FF"/>
            <w:u w:val="single"/>
            <w:rtl/>
          </w:rPr>
          <w:t xml:space="preserve">40283/03 </w:t>
        </w:r>
      </w:hyperlink>
      <w:r>
        <w:rPr>
          <w:rFonts w:hint="cs"/>
          <w:rtl/>
        </w:rPr>
        <w:t xml:space="preserve"> בו נגזרו על הנאשם בין היתר, שנתיים מאסר על תנאי ופלט מאסרים, וטענה בטיעוניה לעונש, כי הנאשם הורשע בעבירת התפרצות לדירה וגניבה לאחר ניהול הוכחות. מדובר בעבירה הפוגעת בתחושת בטחון של קורבנות בביתם, פגיעה ברכוש ובפרטיות ומתחם העונש ההולם  נע בין  12 חודשי מאסר ל-24 חודשי מאסר בפועל. עוד טענה, כי מדובר בנאשם בעל עבר פלילי  עשיר בתחום עבירות הרכוש, אלימות וסמים, כאשר את העבירות בתיק זה ביצע כאשר תלוי ועומד נגדו מאסר מותנה לתקופה של שנתיים. הנאשם לא שינה את דרכו מאז הכרעת הדין </w:t>
      </w:r>
      <w:r w:rsidRPr="00167677">
        <w:rPr>
          <w:rFonts w:ascii="Calibri" w:hAnsi="Calibri" w:hint="cs"/>
          <w:rtl/>
        </w:rPr>
        <w:t>כעולה מגיליון הרשעותיו הקודמות</w:t>
      </w:r>
      <w:r>
        <w:rPr>
          <w:rFonts w:hint="cs"/>
          <w:rtl/>
        </w:rPr>
        <w:t xml:space="preserve">, ויש להפעיל את עונש המאסר על תנאי התלוי כנגד הנאשם, שכן אין  נסיבה מיוחדת בגינה יש להאריך את התנאי.  </w:t>
      </w:r>
    </w:p>
    <w:p w14:paraId="2CD015B4" w14:textId="77777777" w:rsidR="00167677" w:rsidRDefault="00167677" w:rsidP="00167677">
      <w:pPr>
        <w:suppressLineNumbers/>
        <w:spacing w:before="120" w:after="120" w:line="360" w:lineRule="auto"/>
        <w:ind w:left="360"/>
        <w:contextualSpacing/>
        <w:jc w:val="both"/>
      </w:pPr>
      <w:r>
        <w:rPr>
          <w:rFonts w:hint="cs"/>
          <w:rtl/>
        </w:rPr>
        <w:t xml:space="preserve">כן טענה, כי הדיונים בתיק זה נדחו מעת לעת בשל אי התייצבות הנאשם והתיק הותלה, ולפיכך חלוף הזמן לא יכול להוות שיקול לקולא.     </w:t>
      </w:r>
    </w:p>
    <w:p w14:paraId="45DD629F" w14:textId="77777777" w:rsidR="00167677" w:rsidRDefault="00167677" w:rsidP="00167677">
      <w:pPr>
        <w:suppressLineNumbers/>
        <w:spacing w:before="120" w:after="120" w:line="360" w:lineRule="auto"/>
        <w:ind w:left="360"/>
        <w:contextualSpacing/>
        <w:jc w:val="both"/>
        <w:rPr>
          <w:rtl/>
        </w:rPr>
      </w:pPr>
      <w:r>
        <w:rPr>
          <w:rFonts w:hint="cs"/>
          <w:rtl/>
        </w:rPr>
        <w:t xml:space="preserve">לאור עברו של הנאשם והעובדה כי לא לקח אחריות, עתרה להטיל על הנאשם 16 חודשי מאסר בפועל, להפעיל את 24 חודשי המאסר על תנאי  התלויים ועומדים כנגד הנאשם במצטבר לעונש המאסר שיוטל על הנאשם, וכן עתרה להטיל על הנאשם מאסר על תנאי על כל עבירות הרכוש, קנס ופיצוי למתלונן. </w:t>
      </w:r>
    </w:p>
    <w:p w14:paraId="591D59E2" w14:textId="77777777" w:rsidR="00167677" w:rsidRPr="00167677" w:rsidRDefault="00167677" w:rsidP="00167677">
      <w:pPr>
        <w:suppressLineNumbers/>
        <w:spacing w:before="120" w:after="120" w:line="360" w:lineRule="auto"/>
        <w:ind w:left="360" w:hanging="360"/>
        <w:contextualSpacing/>
        <w:jc w:val="both"/>
        <w:rPr>
          <w:rFonts w:ascii="Calibri" w:hAnsi="Calibri"/>
          <w:rtl/>
        </w:rPr>
      </w:pPr>
      <w:r>
        <w:rPr>
          <w:rFonts w:hint="cs"/>
          <w:rtl/>
        </w:rPr>
        <w:t xml:space="preserve">6.  </w:t>
      </w:r>
      <w:r>
        <w:rPr>
          <w:rFonts w:hint="cs"/>
          <w:rtl/>
        </w:rPr>
        <w:tab/>
      </w:r>
      <w:r w:rsidRPr="00167677">
        <w:rPr>
          <w:rFonts w:ascii="Calibri" w:hAnsi="Calibri" w:hint="cs"/>
          <w:rtl/>
        </w:rPr>
        <w:t xml:space="preserve">ב"כ הנאשם, עו"ד בן זיו, הגיש פסיקה ועתר  בטיעוניו לעונש להאריך את עונש המאסר על תנאי התלוי ועומד כנגד הנאשם. ב"כ הנאשם טען  כי מתחם העונש ההולם מתחיל ממאסר על תנאי. עוד טען כי הנאשם הורשע לאחר ניהול הוכחות בהן נאבק על חפותו, כשאין להחמיר בענישת הנאשם לאור ניהול ההוכחות, כשמאז ביצוע העבירה בשנת 2009 ועד היום, חלפו 8 שנים.        </w:t>
      </w:r>
    </w:p>
    <w:p w14:paraId="560E1110" w14:textId="77777777" w:rsidR="00167677" w:rsidRPr="00167677" w:rsidRDefault="00167677" w:rsidP="00167677">
      <w:pPr>
        <w:suppressLineNumbers/>
        <w:spacing w:before="120" w:after="120" w:line="360" w:lineRule="auto"/>
        <w:ind w:left="360"/>
        <w:contextualSpacing/>
        <w:jc w:val="both"/>
        <w:rPr>
          <w:rFonts w:ascii="Calibri" w:hAnsi="Calibri"/>
        </w:rPr>
      </w:pPr>
      <w:r w:rsidRPr="00167677">
        <w:rPr>
          <w:rFonts w:ascii="Calibri" w:hAnsi="Calibri" w:hint="cs"/>
          <w:rtl/>
        </w:rPr>
        <w:t xml:space="preserve">בנוסף טען, כי עברו של הנאשם ישן מאוד, המאסר על תנאי התלוי ועומד כנגד הנאשם  הוא משנת 2003, העבירות בתיק זה בוצעו בשנת 2009 והכרעת הדין ניתנה ב- 2013. ההליכים בשנה האחרונה הופסקו פעמיים עקב מחלת הנפש של הנאשם, ואומנם כיום ישנה חוות דעת שהוא </w:t>
      </w:r>
      <w:r w:rsidRPr="00167677">
        <w:rPr>
          <w:rFonts w:ascii="Calibri" w:hAnsi="Calibri" w:hint="cs"/>
          <w:rtl/>
        </w:rPr>
        <w:lastRenderedPageBreak/>
        <w:t>כשיר לעמוד לדין, אולם על פי תיקון 113 ל</w:t>
      </w:r>
      <w:hyperlink r:id="rId14" w:history="1">
        <w:r w:rsidR="0040521A" w:rsidRPr="0040521A">
          <w:rPr>
            <w:rFonts w:ascii="Calibri" w:hAnsi="Calibri" w:hint="eastAsia"/>
            <w:color w:val="0000FF"/>
            <w:u w:val="single"/>
            <w:rtl/>
          </w:rPr>
          <w:t>חוק</w:t>
        </w:r>
        <w:r w:rsidR="0040521A" w:rsidRPr="0040521A">
          <w:rPr>
            <w:rFonts w:ascii="Calibri" w:hAnsi="Calibri"/>
            <w:color w:val="0000FF"/>
            <w:u w:val="single"/>
            <w:rtl/>
          </w:rPr>
          <w:t xml:space="preserve"> </w:t>
        </w:r>
        <w:r w:rsidR="0040521A" w:rsidRPr="0040521A">
          <w:rPr>
            <w:rFonts w:ascii="Calibri" w:hAnsi="Calibri" w:hint="eastAsia"/>
            <w:color w:val="0000FF"/>
            <w:u w:val="single"/>
            <w:rtl/>
          </w:rPr>
          <w:t>העונשין</w:t>
        </w:r>
      </w:hyperlink>
      <w:r w:rsidRPr="00167677">
        <w:rPr>
          <w:rFonts w:ascii="Calibri" w:hAnsi="Calibri" w:hint="cs"/>
          <w:rtl/>
        </w:rPr>
        <w:t xml:space="preserve"> יש לכך משמעות בקביעת מתחם העונש. עוד טען, כי חלוף הזמן, העובדה כי הנאשם דר רחוב זמן רב, היותו חולה במחלת נפש, נסיבותיו האישיות העולות מתסקיר שירות מבחן וחוות הדעת הפסיכיאטרית, יש בהם כדי להוות שיקול לקולא. </w:t>
      </w:r>
    </w:p>
    <w:p w14:paraId="74B1641B" w14:textId="77777777" w:rsidR="00167677" w:rsidRPr="00167677" w:rsidRDefault="00167677" w:rsidP="00167677">
      <w:pPr>
        <w:suppressLineNumbers/>
        <w:spacing w:before="120" w:after="120" w:line="360" w:lineRule="auto"/>
        <w:ind w:left="360"/>
        <w:contextualSpacing/>
        <w:jc w:val="both"/>
        <w:rPr>
          <w:rFonts w:ascii="Calibri" w:hAnsi="Calibri"/>
          <w:rtl/>
        </w:rPr>
      </w:pPr>
      <w:r w:rsidRPr="00167677">
        <w:rPr>
          <w:rFonts w:ascii="Calibri" w:hAnsi="Calibri" w:hint="cs"/>
          <w:rtl/>
        </w:rPr>
        <w:t xml:space="preserve">כן  טען כי 24 חודשי המאסר על תנאי התלויים ועומדים כנגד הנאשם  אינן מידתיים ואינן עומדים במתחמי הענישה, גם על פי המתחם שהציגה המאשימה.  </w:t>
      </w:r>
    </w:p>
    <w:p w14:paraId="545A6315" w14:textId="77777777" w:rsidR="00167677" w:rsidRPr="00167677" w:rsidRDefault="00167677" w:rsidP="00167677">
      <w:pPr>
        <w:suppressLineNumbers/>
        <w:spacing w:before="120" w:after="120" w:line="360" w:lineRule="auto"/>
        <w:contextualSpacing/>
        <w:jc w:val="both"/>
        <w:rPr>
          <w:rFonts w:ascii="Calibri" w:hAnsi="Calibri"/>
          <w:rtl/>
        </w:rPr>
      </w:pPr>
      <w:r w:rsidRPr="00167677">
        <w:rPr>
          <w:rFonts w:ascii="Calibri" w:hAnsi="Calibri" w:hint="cs"/>
          <w:rtl/>
        </w:rPr>
        <w:t xml:space="preserve">7.    הנאשם טען בפניי כי לא ביצע את העבירות בגינן הורשע.  </w:t>
      </w:r>
    </w:p>
    <w:p w14:paraId="2A97FF76" w14:textId="77777777" w:rsidR="00167677" w:rsidRPr="00167677" w:rsidRDefault="00167677" w:rsidP="00167677">
      <w:pPr>
        <w:suppressLineNumbers/>
        <w:spacing w:before="120" w:after="120" w:line="360" w:lineRule="auto"/>
        <w:ind w:left="720" w:hanging="720"/>
        <w:contextualSpacing/>
        <w:jc w:val="both"/>
        <w:rPr>
          <w:rFonts w:ascii="Calibri" w:hAnsi="Calibri"/>
        </w:rPr>
      </w:pPr>
      <w:r>
        <w:rPr>
          <w:rFonts w:hint="cs"/>
          <w:rtl/>
        </w:rPr>
        <w:t>8.    הנאשם הורשע בביצוע עבירה של פריצה לדירת מגורים בכוונה לבצע גניבה, ובביצוע עבירה של גניבה. הערך המוגן שנפגע כתוצאה מביצוע עבירות אלה עניינו שמירה על רכוש הציבור, ועל בטחונו הפיזי והנפשי של הציבור. בפסיקה נקבע, כי יש להחמיר בענישתם של המורשעים בעבירות  רכוש ובפרט  בעבירות שעניינם התפרצות וגניבה לדירה. יפים לעניין זה דברי כבוד השופט שהם ב</w:t>
      </w:r>
      <w:hyperlink r:id="rId15" w:history="1">
        <w:r w:rsidR="0040521A" w:rsidRPr="0040521A">
          <w:rPr>
            <w:color w:val="0000FF"/>
            <w:u w:val="single"/>
            <w:rtl/>
          </w:rPr>
          <w:t>רע"פ 398/14</w:t>
        </w:r>
      </w:hyperlink>
      <w:r>
        <w:rPr>
          <w:rFonts w:hint="cs"/>
          <w:rtl/>
        </w:rPr>
        <w:t xml:space="preserve"> </w:t>
      </w:r>
      <w:r>
        <w:rPr>
          <w:rFonts w:hint="cs"/>
          <w:b/>
          <w:bCs/>
          <w:u w:val="single"/>
          <w:rtl/>
        </w:rPr>
        <w:t xml:space="preserve">טל ערג' נ' מדינת ישראל </w:t>
      </w:r>
      <w:r>
        <w:rPr>
          <w:rFonts w:hint="cs"/>
          <w:rtl/>
        </w:rPr>
        <w:t xml:space="preserve">(16.3.14): </w:t>
      </w:r>
    </w:p>
    <w:p w14:paraId="24301BC0" w14:textId="77777777" w:rsidR="00167677" w:rsidRDefault="00167677" w:rsidP="00167677">
      <w:pPr>
        <w:suppressLineNumbers/>
        <w:spacing w:line="360" w:lineRule="auto"/>
        <w:ind w:left="1134" w:right="567"/>
        <w:jc w:val="both"/>
        <w:rPr>
          <w:rFonts w:ascii="David" w:hAnsi="David"/>
          <w:b/>
          <w:bCs/>
          <w:rtl/>
        </w:rPr>
      </w:pPr>
      <w:r>
        <w:rPr>
          <w:rFonts w:hint="cs"/>
          <w:b/>
          <w:bCs/>
          <w:rtl/>
        </w:rPr>
        <w:t>"...עבירות ההתפרצות והגניבה, הפכו, למרבה הצער, לנפוצות במחוזותינו, הן פוגעות ברכושו של הציבור, מערערות קשות את תחושת בטחונו, ומנפצות לרסיסים את התפיסה לפיה ביתו של אדם הוא מבצרו. בית משפט זה עמד, לא פעם, על כך שחומרתן של העבירות, לצד נפוצותה של התופעה, מצריכות נקיטת יד קשה עם העבריינים...".</w:t>
      </w:r>
    </w:p>
    <w:p w14:paraId="64A54BF8" w14:textId="77777777" w:rsidR="00167677" w:rsidRDefault="00167677" w:rsidP="00167677">
      <w:pPr>
        <w:suppressLineNumbers/>
        <w:spacing w:line="360" w:lineRule="auto"/>
        <w:ind w:left="424" w:right="567"/>
        <w:jc w:val="both"/>
        <w:rPr>
          <w:b/>
          <w:bCs/>
          <w:rtl/>
        </w:rPr>
      </w:pPr>
    </w:p>
    <w:p w14:paraId="34606447" w14:textId="77777777" w:rsidR="00167677" w:rsidRDefault="00167677" w:rsidP="00167677">
      <w:pPr>
        <w:suppressLineNumbers/>
        <w:spacing w:line="360" w:lineRule="auto"/>
        <w:ind w:left="424" w:right="567"/>
        <w:jc w:val="both"/>
        <w:rPr>
          <w:b/>
          <w:bCs/>
          <w:rtl/>
        </w:rPr>
      </w:pPr>
      <w:r>
        <w:rPr>
          <w:rFonts w:hint="cs"/>
          <w:rtl/>
        </w:rPr>
        <w:t>עוד ראה דברי כבוד השופט רובינשטיין ב</w:t>
      </w:r>
      <w:hyperlink r:id="rId16" w:history="1">
        <w:r w:rsidR="0040521A" w:rsidRPr="0040521A">
          <w:rPr>
            <w:color w:val="0000FF"/>
            <w:u w:val="single"/>
            <w:rtl/>
          </w:rPr>
          <w:t>רע"פ 1708/08</w:t>
        </w:r>
      </w:hyperlink>
      <w:r>
        <w:rPr>
          <w:rFonts w:hint="cs"/>
          <w:rtl/>
        </w:rPr>
        <w:t xml:space="preserve"> </w:t>
      </w:r>
      <w:r>
        <w:rPr>
          <w:rFonts w:hint="cs"/>
          <w:b/>
          <w:bCs/>
          <w:u w:val="single"/>
          <w:rtl/>
        </w:rPr>
        <w:t>מרדכי לוי נ' מדינת ישראל</w:t>
      </w:r>
      <w:r>
        <w:rPr>
          <w:rFonts w:hint="cs"/>
          <w:rtl/>
        </w:rPr>
        <w:t xml:space="preserve">, </w:t>
      </w:r>
      <w:r>
        <w:rPr>
          <w:rFonts w:hint="cs"/>
          <w:rtl/>
        </w:rPr>
        <w:tab/>
        <w:t xml:space="preserve">(21.2.08):  </w:t>
      </w:r>
    </w:p>
    <w:p w14:paraId="70F3C2F2" w14:textId="77777777" w:rsidR="00167677" w:rsidRDefault="00167677" w:rsidP="00167677">
      <w:pPr>
        <w:suppressLineNumbers/>
        <w:spacing w:line="360" w:lineRule="auto"/>
        <w:ind w:left="1134" w:right="567"/>
        <w:jc w:val="both"/>
        <w:rPr>
          <w:rtl/>
        </w:rPr>
      </w:pPr>
      <w:r>
        <w:rPr>
          <w:rFonts w:hint="cs"/>
          <w:b/>
          <w:bCs/>
          <w:rtl/>
        </w:rPr>
        <w:t>" ...בית המשפט המחוזי צדק גם צדק משהטעים את הצורך בחומרה בענישה בעבירת התפרצות ובעבירות הרכוש בכלל, שהיו - אפשר לומר- למכת מדינה, למקור דאגה וטרוניה לאזרחים רבים ולפגיעה בתחושת ביטחונם. נקל לשער את החוויה הקשה העוברת על קרבנות הפריצה, בשובם לביתם והנה הפיכת סדום ועמורה בתוכו וחפצים וכסף נעלמו ואינם, ולעיתים קרובות משמעות הדבר היא כי הרכוש יירד לטמיון, שכן העבריין לא יילכד..."</w:t>
      </w:r>
    </w:p>
    <w:p w14:paraId="528A9EDF" w14:textId="77777777" w:rsidR="00167677" w:rsidRDefault="00167677" w:rsidP="00167677">
      <w:pPr>
        <w:suppressLineNumbers/>
        <w:spacing w:before="120" w:after="120" w:line="360" w:lineRule="auto"/>
        <w:ind w:left="283"/>
        <w:jc w:val="both"/>
        <w:rPr>
          <w:rtl/>
        </w:rPr>
      </w:pPr>
    </w:p>
    <w:p w14:paraId="2AFDACA7" w14:textId="77777777" w:rsidR="00167677" w:rsidRPr="00167677" w:rsidRDefault="00167677" w:rsidP="00167677">
      <w:pPr>
        <w:suppressLineNumbers/>
        <w:spacing w:before="120" w:after="120" w:line="360" w:lineRule="auto"/>
        <w:ind w:left="424"/>
        <w:jc w:val="both"/>
        <w:rPr>
          <w:rFonts w:ascii="Calibri" w:hAnsi="Calibri"/>
          <w:b/>
          <w:bCs/>
          <w:rtl/>
        </w:rPr>
      </w:pPr>
    </w:p>
    <w:p w14:paraId="60D53BC3" w14:textId="77777777" w:rsidR="00167677" w:rsidRPr="00167677" w:rsidRDefault="00167677" w:rsidP="00D13951">
      <w:pPr>
        <w:suppressLineNumbers/>
        <w:spacing w:before="120" w:after="120" w:line="360" w:lineRule="auto"/>
        <w:ind w:left="424"/>
        <w:jc w:val="both"/>
        <w:rPr>
          <w:rFonts w:ascii="Calibri" w:hAnsi="Calibri"/>
          <w:rtl/>
        </w:rPr>
      </w:pPr>
      <w:r w:rsidRPr="00167677">
        <w:rPr>
          <w:rFonts w:ascii="Calibri" w:hAnsi="Calibri" w:hint="cs"/>
          <w:b/>
          <w:bCs/>
          <w:rtl/>
        </w:rPr>
        <w:t>9.</w:t>
      </w:r>
      <w:r w:rsidRPr="00167677">
        <w:rPr>
          <w:rFonts w:ascii="Calibri" w:hAnsi="Calibri" w:hint="cs"/>
          <w:rtl/>
        </w:rPr>
        <w:t xml:space="preserve"> לטעמי מתחם העונש ההולם בנסיבות ביצוע העבירות כמפורט בהכרעת הדין, ובראי הפסיקה, נע בין 12 חודשי מאסר בפועל ל-24 חודשי מאסר בפועל (ראה לעניין זה </w:t>
      </w:r>
      <w:hyperlink r:id="rId17" w:history="1">
        <w:r w:rsidR="00D13951" w:rsidRPr="00D13951">
          <w:rPr>
            <w:rFonts w:ascii="Calibri" w:hAnsi="Calibri"/>
            <w:color w:val="0000FF"/>
            <w:u w:val="single"/>
            <w:rtl/>
          </w:rPr>
          <w:t xml:space="preserve">רע"פ 8049/13 </w:t>
        </w:r>
      </w:hyperlink>
      <w:r w:rsidRPr="00167677">
        <w:rPr>
          <w:rFonts w:ascii="Calibri" w:hAnsi="Calibri" w:hint="cs"/>
          <w:rtl/>
        </w:rPr>
        <w:t xml:space="preserve"> </w:t>
      </w:r>
      <w:r w:rsidRPr="00167677">
        <w:rPr>
          <w:rFonts w:ascii="Calibri" w:hAnsi="Calibri" w:hint="cs"/>
          <w:b/>
          <w:bCs/>
          <w:u w:val="single"/>
          <w:rtl/>
        </w:rPr>
        <w:t>איתמר חדד נ' מדינת ישראל</w:t>
      </w:r>
      <w:r w:rsidRPr="00167677">
        <w:rPr>
          <w:rFonts w:ascii="Calibri" w:hAnsi="Calibri" w:hint="cs"/>
          <w:rtl/>
        </w:rPr>
        <w:t xml:space="preserve"> [3.2.14], </w:t>
      </w:r>
      <w:hyperlink r:id="rId18" w:history="1">
        <w:r w:rsidR="0040521A" w:rsidRPr="0040521A">
          <w:rPr>
            <w:rFonts w:ascii="Calibri" w:hAnsi="Calibri" w:hint="eastAsia"/>
            <w:color w:val="0000FF"/>
            <w:u w:val="single"/>
            <w:rtl/>
          </w:rPr>
          <w:t>רע</w:t>
        </w:r>
        <w:r w:rsidR="0040521A" w:rsidRPr="0040521A">
          <w:rPr>
            <w:rFonts w:ascii="Calibri" w:hAnsi="Calibri"/>
            <w:color w:val="0000FF"/>
            <w:u w:val="single"/>
            <w:rtl/>
          </w:rPr>
          <w:t>"</w:t>
        </w:r>
        <w:r w:rsidR="0040521A" w:rsidRPr="0040521A">
          <w:rPr>
            <w:rFonts w:ascii="Calibri" w:hAnsi="Calibri" w:hint="eastAsia"/>
            <w:color w:val="0000FF"/>
            <w:u w:val="single"/>
            <w:rtl/>
          </w:rPr>
          <w:t>פ</w:t>
        </w:r>
        <w:r w:rsidR="0040521A" w:rsidRPr="0040521A">
          <w:rPr>
            <w:rFonts w:ascii="Calibri" w:hAnsi="Calibri"/>
            <w:color w:val="0000FF"/>
            <w:u w:val="single"/>
            <w:rtl/>
          </w:rPr>
          <w:t xml:space="preserve"> 7683/13</w:t>
        </w:r>
      </w:hyperlink>
      <w:r w:rsidRPr="00167677">
        <w:rPr>
          <w:rFonts w:ascii="Calibri" w:hAnsi="Calibri" w:hint="cs"/>
          <w:rtl/>
        </w:rPr>
        <w:t xml:space="preserve"> </w:t>
      </w:r>
      <w:r w:rsidRPr="00167677">
        <w:rPr>
          <w:rFonts w:ascii="Calibri" w:hAnsi="Calibri" w:hint="cs"/>
          <w:b/>
          <w:bCs/>
          <w:u w:val="single"/>
          <w:rtl/>
        </w:rPr>
        <w:t>פרלמן נ' מדינת ישראל</w:t>
      </w:r>
      <w:r w:rsidRPr="00167677">
        <w:rPr>
          <w:rFonts w:ascii="Calibri" w:hAnsi="Calibri" w:hint="cs"/>
          <w:rtl/>
        </w:rPr>
        <w:t xml:space="preserve"> [23.4.14], </w:t>
      </w:r>
      <w:hyperlink r:id="rId19" w:history="1">
        <w:r w:rsidR="0040521A" w:rsidRPr="0040521A">
          <w:rPr>
            <w:rFonts w:ascii="Calibri" w:hAnsi="Calibri" w:hint="eastAsia"/>
            <w:color w:val="0000FF"/>
            <w:u w:val="single"/>
            <w:rtl/>
          </w:rPr>
          <w:t>רע</w:t>
        </w:r>
        <w:r w:rsidR="0040521A" w:rsidRPr="0040521A">
          <w:rPr>
            <w:rFonts w:ascii="Calibri" w:hAnsi="Calibri"/>
            <w:color w:val="0000FF"/>
            <w:u w:val="single"/>
            <w:rtl/>
          </w:rPr>
          <w:t>"</w:t>
        </w:r>
        <w:r w:rsidR="0040521A" w:rsidRPr="0040521A">
          <w:rPr>
            <w:rFonts w:ascii="Calibri" w:hAnsi="Calibri" w:hint="eastAsia"/>
            <w:color w:val="0000FF"/>
            <w:u w:val="single"/>
            <w:rtl/>
          </w:rPr>
          <w:t>פ</w:t>
        </w:r>
        <w:r w:rsidR="0040521A" w:rsidRPr="0040521A">
          <w:rPr>
            <w:rFonts w:ascii="Calibri" w:hAnsi="Calibri"/>
            <w:color w:val="0000FF"/>
            <w:u w:val="single"/>
            <w:rtl/>
          </w:rPr>
          <w:t xml:space="preserve"> 398/14</w:t>
        </w:r>
      </w:hyperlink>
      <w:r w:rsidRPr="00167677">
        <w:rPr>
          <w:rFonts w:ascii="Calibri" w:hAnsi="Calibri" w:hint="cs"/>
          <w:rtl/>
        </w:rPr>
        <w:t xml:space="preserve"> </w:t>
      </w:r>
      <w:r w:rsidRPr="00167677">
        <w:rPr>
          <w:rFonts w:ascii="Calibri" w:hAnsi="Calibri" w:hint="cs"/>
          <w:b/>
          <w:bCs/>
          <w:u w:val="single"/>
          <w:rtl/>
        </w:rPr>
        <w:t>טל בן משה ערג' נ' מדינת ישראל</w:t>
      </w:r>
      <w:r w:rsidRPr="00167677">
        <w:rPr>
          <w:rFonts w:ascii="Calibri" w:hAnsi="Calibri" w:hint="cs"/>
          <w:rtl/>
        </w:rPr>
        <w:t xml:space="preserve"> [16.3.14], </w:t>
      </w:r>
    </w:p>
    <w:p w14:paraId="6F629169" w14:textId="77777777" w:rsidR="00167677" w:rsidRPr="00167677" w:rsidRDefault="00167677" w:rsidP="00167677">
      <w:pPr>
        <w:suppressLineNumbers/>
        <w:spacing w:before="120" w:after="120" w:line="360" w:lineRule="auto"/>
        <w:ind w:left="424"/>
        <w:jc w:val="both"/>
        <w:rPr>
          <w:rFonts w:ascii="Calibri" w:hAnsi="Calibri"/>
          <w:rtl/>
        </w:rPr>
      </w:pPr>
      <w:r w:rsidRPr="00167677">
        <w:rPr>
          <w:rFonts w:ascii="Calibri" w:hAnsi="Calibri" w:hint="cs"/>
          <w:b/>
          <w:bCs/>
          <w:rtl/>
        </w:rPr>
        <w:t xml:space="preserve">10 </w:t>
      </w:r>
      <w:r w:rsidRPr="00167677">
        <w:rPr>
          <w:rFonts w:ascii="Calibri" w:hAnsi="Calibri" w:hint="cs"/>
          <w:rtl/>
        </w:rPr>
        <w:t xml:space="preserve">.בבואי לגזור את עונשו של הנאשם, עמדו לנגד עיניי, בנוסף לטיעוני ב"כ הצדדים, גיליון הרשעות קודמות של הנאשם, ממנו עולה כי לנאשם הרשעות קודמות בעבירות  רכוש,  אלימות, החזקת סכין שלא כדין ועבירות על פי פקודת הסמים בגינן נדון למאסרים בפועל ולמאסרים על תנאי. עוד עולה כי  הופסקו ההליכים כנגד הנאשם בשנת 2016 בשל מחלת נפש, בגין עבירות רכוש שבוצעו בשנת 2015 והפרת הוראה חוקית שבוצעה בשנת 2016.  בנוסף, עמדו לנגד עיניי נסיבותיו האישיות של הנאשם העולות מתסקירי שירות המבחן ומחוות הדעת הפסיכיאטריות. </w:t>
      </w:r>
    </w:p>
    <w:p w14:paraId="337166BA" w14:textId="77777777" w:rsidR="00167677" w:rsidRPr="00167677" w:rsidRDefault="00167677" w:rsidP="00167677">
      <w:pPr>
        <w:suppressLineNumbers/>
        <w:spacing w:before="120" w:after="120" w:line="360" w:lineRule="auto"/>
        <w:jc w:val="both"/>
        <w:rPr>
          <w:rFonts w:ascii="Calibri" w:hAnsi="Calibri"/>
        </w:rPr>
      </w:pPr>
      <w:r w:rsidRPr="00167677">
        <w:rPr>
          <w:rFonts w:ascii="Calibri" w:hAnsi="Calibri" w:hint="cs"/>
          <w:b/>
          <w:bCs/>
          <w:rtl/>
        </w:rPr>
        <w:t>11 .</w:t>
      </w:r>
      <w:r w:rsidRPr="00167677">
        <w:rPr>
          <w:rFonts w:ascii="Calibri" w:hAnsi="Calibri" w:hint="cs"/>
          <w:rtl/>
        </w:rPr>
        <w:t xml:space="preserve"> שקלתי את בקשת ב"כ הנאשם להאריך את המאסר על תנאי התלוי ועומד  כנגד הנאשם, אולם לא מצאתי כי מתקיימות נסיבות מיוחדות המצדיקות הארכת המאסר על תנאי. מעיון בגזר הדין מחוזי (ת"א) 40283/03 בו הוטל המאסר על תנאי התלוי ועומד כנגד הנאשם עולה, כי הנאשם הורשע על פי הודאתו בביצוע 2 עבירות של שוד בנסיבות מחמירות וקשירת קשר לביצוע פשע. עוד עולה, כי גזר הדין ניתן במסגרת הסדר טיעון כשהוטלו על הנאשם 5 שנות מאסר בפועל הכוללים הפעלת מאסרים על תנאי שהיו תלויים כנגד הנאשם  וכן הוטל שנתיים מאסר על תנאי  "לבל יעבור כל עבירת רכוש או אלימות מסוג פשע".</w:t>
      </w:r>
    </w:p>
    <w:p w14:paraId="207EB188" w14:textId="77777777" w:rsidR="00167677" w:rsidRPr="00167677" w:rsidRDefault="00167677" w:rsidP="00167677">
      <w:pPr>
        <w:suppressLineNumbers/>
        <w:spacing w:before="120" w:after="120" w:line="360" w:lineRule="auto"/>
        <w:ind w:left="360"/>
        <w:jc w:val="both"/>
        <w:rPr>
          <w:rFonts w:ascii="Calibri" w:hAnsi="Calibri"/>
          <w:rtl/>
        </w:rPr>
      </w:pPr>
      <w:r w:rsidRPr="00167677">
        <w:rPr>
          <w:rFonts w:ascii="Calibri" w:hAnsi="Calibri" w:hint="cs"/>
          <w:rtl/>
        </w:rPr>
        <w:t>לטעמי, מדובר בתנאי מידתי לאור העבירות החמורות בגינן הורשע הנאשם בת"פ מחוזי (ת"א)40283/03 ולאור העבירות החמורות בגינן הורשע הנאשם בתיק שבפני.</w:t>
      </w:r>
    </w:p>
    <w:p w14:paraId="376D7E95" w14:textId="77777777" w:rsidR="00167677" w:rsidRPr="00167677" w:rsidRDefault="00167677" w:rsidP="00167677">
      <w:pPr>
        <w:suppressLineNumbers/>
        <w:spacing w:before="120" w:after="120" w:line="360" w:lineRule="auto"/>
        <w:ind w:left="360"/>
        <w:jc w:val="both"/>
        <w:rPr>
          <w:rFonts w:ascii="Calibri" w:hAnsi="Calibri"/>
          <w:rtl/>
        </w:rPr>
      </w:pPr>
      <w:r w:rsidRPr="00167677">
        <w:rPr>
          <w:rFonts w:ascii="Calibri" w:hAnsi="Calibri" w:hint="cs"/>
          <w:rtl/>
        </w:rPr>
        <w:t xml:space="preserve">עוד מצאתי, כי אין מקום להקל בעונשו של הנאשם בשל חלוף הזמן ע"י הארכת המאסר על תנאי שכן הנאשם  לא  התייצב למרבית הדיונים, וגרם להתמשכות הדיונים ללא הצדקה. </w:t>
      </w:r>
    </w:p>
    <w:p w14:paraId="7E9DDB3D" w14:textId="77777777" w:rsidR="00167677" w:rsidRPr="00167677" w:rsidRDefault="00167677" w:rsidP="00167677">
      <w:pPr>
        <w:suppressLineNumbers/>
        <w:spacing w:before="120" w:after="120" w:line="360" w:lineRule="auto"/>
        <w:contextualSpacing/>
        <w:jc w:val="both"/>
        <w:rPr>
          <w:rFonts w:ascii="Calibri" w:hAnsi="Calibri"/>
          <w:rtl/>
        </w:rPr>
      </w:pPr>
      <w:r w:rsidRPr="00167677">
        <w:rPr>
          <w:rFonts w:ascii="Calibri" w:hAnsi="Calibri" w:hint="cs"/>
          <w:rtl/>
        </w:rPr>
        <w:t xml:space="preserve">12. יחד עם זאת מצאתי, כי יש להתחשב בנאשם אשר כיום מסוגל לעמוד לדין, אולם אושפז בביה"ח פסיכיאטרי במסגרת תיק זה ,לאחר שקבעתי כי אינו מסוגל לעמוד לדין והפסקתי את ההליכים כנגדו.  </w:t>
      </w:r>
    </w:p>
    <w:p w14:paraId="08F0AD72" w14:textId="77777777" w:rsidR="00167677" w:rsidRPr="00167677" w:rsidRDefault="00167677" w:rsidP="00167677">
      <w:pPr>
        <w:suppressLineNumbers/>
        <w:spacing w:before="120" w:after="120" w:line="360" w:lineRule="auto"/>
        <w:contextualSpacing/>
        <w:jc w:val="both"/>
        <w:rPr>
          <w:rFonts w:ascii="Calibri" w:hAnsi="Calibri"/>
          <w:rtl/>
        </w:rPr>
      </w:pPr>
      <w:r w:rsidRPr="00167677">
        <w:rPr>
          <w:rFonts w:ascii="Calibri" w:hAnsi="Calibri" w:hint="cs"/>
          <w:rtl/>
        </w:rPr>
        <w:t>13. לפיכך לאחר ששקלתי את מכלול השיקולים כשלנגד עיני תיקון 113 ל</w:t>
      </w:r>
      <w:hyperlink r:id="rId20" w:history="1">
        <w:r w:rsidR="0040521A" w:rsidRPr="0040521A">
          <w:rPr>
            <w:rFonts w:ascii="Calibri" w:hAnsi="Calibri" w:hint="eastAsia"/>
            <w:color w:val="0000FF"/>
            <w:u w:val="single"/>
            <w:rtl/>
          </w:rPr>
          <w:t>חוק</w:t>
        </w:r>
        <w:r w:rsidR="0040521A" w:rsidRPr="0040521A">
          <w:rPr>
            <w:rFonts w:ascii="Calibri" w:hAnsi="Calibri"/>
            <w:color w:val="0000FF"/>
            <w:u w:val="single"/>
            <w:rtl/>
          </w:rPr>
          <w:t xml:space="preserve"> </w:t>
        </w:r>
        <w:r w:rsidR="0040521A" w:rsidRPr="0040521A">
          <w:rPr>
            <w:rFonts w:ascii="Calibri" w:hAnsi="Calibri" w:hint="eastAsia"/>
            <w:color w:val="0000FF"/>
            <w:u w:val="single"/>
            <w:rtl/>
          </w:rPr>
          <w:t>העונשין</w:t>
        </w:r>
      </w:hyperlink>
      <w:r w:rsidRPr="00167677">
        <w:rPr>
          <w:rFonts w:ascii="Calibri" w:hAnsi="Calibri" w:hint="cs"/>
          <w:rtl/>
        </w:rPr>
        <w:t xml:space="preserve"> החלטתי לגזור על הנאשם את העונשים הבאים:</w:t>
      </w:r>
    </w:p>
    <w:p w14:paraId="143AB2AD" w14:textId="77777777" w:rsidR="00167677" w:rsidRPr="00167677" w:rsidRDefault="00167677" w:rsidP="00167677">
      <w:pPr>
        <w:numPr>
          <w:ilvl w:val="0"/>
          <w:numId w:val="2"/>
        </w:numPr>
        <w:suppressLineNumbers/>
        <w:spacing w:before="120" w:after="120" w:line="360" w:lineRule="auto"/>
        <w:contextualSpacing/>
        <w:jc w:val="both"/>
        <w:rPr>
          <w:rFonts w:ascii="Calibri" w:hAnsi="Calibri"/>
        </w:rPr>
      </w:pPr>
      <w:r w:rsidRPr="00167677">
        <w:rPr>
          <w:rFonts w:ascii="Calibri" w:hAnsi="Calibri" w:hint="cs"/>
          <w:rtl/>
        </w:rPr>
        <w:t xml:space="preserve"> שנת מאסר בפועל.</w:t>
      </w:r>
    </w:p>
    <w:p w14:paraId="2AE55C88" w14:textId="77777777" w:rsidR="00167677" w:rsidRPr="00167677" w:rsidRDefault="00167677" w:rsidP="00167677">
      <w:pPr>
        <w:numPr>
          <w:ilvl w:val="0"/>
          <w:numId w:val="2"/>
        </w:numPr>
        <w:suppressLineNumbers/>
        <w:spacing w:before="120" w:after="120" w:line="360" w:lineRule="auto"/>
        <w:contextualSpacing/>
        <w:jc w:val="both"/>
        <w:rPr>
          <w:rFonts w:ascii="Calibri" w:hAnsi="Calibri"/>
        </w:rPr>
      </w:pPr>
      <w:r w:rsidRPr="00167677">
        <w:rPr>
          <w:rFonts w:ascii="Calibri" w:hAnsi="Calibri" w:hint="cs"/>
          <w:rtl/>
        </w:rPr>
        <w:t xml:space="preserve">אני מפעילה את שתי שנות המאסר על תנאי שהוטלו על הנאשם בת"פ מחוזי (ת"א) 40283/03, מתוכם שנה בחופף לעונש המאסר שהטלתי על הנאשם ושנה במצטבר לעונש המאסר שהטלתי על הנאשם.   </w:t>
      </w:r>
    </w:p>
    <w:p w14:paraId="3C1BA466" w14:textId="77777777" w:rsidR="00167677" w:rsidRPr="00167677" w:rsidRDefault="00167677" w:rsidP="00167677">
      <w:pPr>
        <w:suppressLineNumbers/>
        <w:spacing w:before="120" w:after="120" w:line="360" w:lineRule="auto"/>
        <w:ind w:left="1069"/>
        <w:contextualSpacing/>
        <w:jc w:val="both"/>
        <w:rPr>
          <w:rFonts w:ascii="Calibri" w:hAnsi="Calibri"/>
          <w:b/>
          <w:bCs/>
        </w:rPr>
      </w:pPr>
      <w:r w:rsidRPr="00167677">
        <w:rPr>
          <w:rFonts w:ascii="Calibri" w:hAnsi="Calibri" w:hint="cs"/>
          <w:b/>
          <w:bCs/>
          <w:rtl/>
        </w:rPr>
        <w:t>סך הכל ירצה הנאשם שנתיים מאסר בפועל.</w:t>
      </w:r>
    </w:p>
    <w:p w14:paraId="0B7EB27A" w14:textId="77777777" w:rsidR="00167677" w:rsidRPr="00167677" w:rsidRDefault="00167677" w:rsidP="00167677">
      <w:pPr>
        <w:numPr>
          <w:ilvl w:val="0"/>
          <w:numId w:val="2"/>
        </w:numPr>
        <w:suppressLineNumbers/>
        <w:spacing w:before="120" w:after="120" w:line="360" w:lineRule="auto"/>
        <w:contextualSpacing/>
        <w:jc w:val="both"/>
        <w:rPr>
          <w:rFonts w:ascii="Calibri" w:hAnsi="Calibri"/>
          <w:b/>
          <w:bCs/>
          <w:rtl/>
        </w:rPr>
      </w:pPr>
      <w:r w:rsidRPr="00167677">
        <w:rPr>
          <w:rFonts w:ascii="Calibri" w:hAnsi="Calibri" w:hint="cs"/>
          <w:rtl/>
        </w:rPr>
        <w:t>6 חודשי מאסר על תנאי לתקופה של 3 שנים, והתנאי הוא שלא יעבור על כל עבירת</w:t>
      </w:r>
      <w:r w:rsidRPr="00167677">
        <w:rPr>
          <w:rFonts w:ascii="Calibri" w:hAnsi="Calibri" w:hint="cs"/>
          <w:b/>
          <w:bCs/>
          <w:rtl/>
        </w:rPr>
        <w:t xml:space="preserve"> </w:t>
      </w:r>
      <w:r w:rsidRPr="00167677">
        <w:rPr>
          <w:rFonts w:ascii="Calibri" w:hAnsi="Calibri" w:hint="cs"/>
          <w:rtl/>
        </w:rPr>
        <w:t>רכוש</w:t>
      </w:r>
      <w:r w:rsidRPr="00167677">
        <w:rPr>
          <w:rFonts w:ascii="Calibri" w:hAnsi="Calibri" w:hint="cs"/>
          <w:b/>
          <w:bCs/>
          <w:rtl/>
        </w:rPr>
        <w:t>.</w:t>
      </w:r>
    </w:p>
    <w:p w14:paraId="1691A87F" w14:textId="77777777" w:rsidR="00167677" w:rsidRDefault="00167677" w:rsidP="00167677">
      <w:pPr>
        <w:numPr>
          <w:ilvl w:val="0"/>
          <w:numId w:val="2"/>
        </w:numPr>
        <w:suppressLineNumbers/>
        <w:tabs>
          <w:tab w:val="left" w:pos="226"/>
        </w:tabs>
        <w:spacing w:before="120" w:after="120" w:line="360" w:lineRule="auto"/>
        <w:contextualSpacing/>
        <w:jc w:val="both"/>
        <w:rPr>
          <w:rFonts w:ascii="David" w:hAnsi="David"/>
        </w:rPr>
      </w:pPr>
      <w:r>
        <w:rPr>
          <w:rFonts w:hint="cs"/>
          <w:rtl/>
        </w:rPr>
        <w:t>הנאשם יחתום על התחייבות בסך 1,000 ₪ עד היום בשעה 15:00 להימנע במשך שנתיים מלעבור על העבירות עליהן הורשע, לא תיחתם ההתחייבות, יאסר</w:t>
      </w:r>
      <w:r w:rsidRPr="00167677">
        <w:rPr>
          <w:rFonts w:ascii="Calibri" w:hAnsi="Calibri" w:hint="cs"/>
          <w:rtl/>
        </w:rPr>
        <w:t xml:space="preserve"> ליומיים.</w:t>
      </w:r>
    </w:p>
    <w:p w14:paraId="6CF9D020" w14:textId="77777777" w:rsidR="00167677" w:rsidRDefault="00167677" w:rsidP="00167677">
      <w:pPr>
        <w:suppressLineNumbers/>
        <w:tabs>
          <w:tab w:val="left" w:pos="226"/>
        </w:tabs>
        <w:spacing w:before="120" w:after="120" w:line="360" w:lineRule="auto"/>
        <w:ind w:left="709"/>
        <w:jc w:val="both"/>
      </w:pPr>
    </w:p>
    <w:p w14:paraId="46B23A1C" w14:textId="77777777" w:rsidR="00167677" w:rsidRDefault="00167677" w:rsidP="00167677">
      <w:pPr>
        <w:suppressLineNumbers/>
        <w:tabs>
          <w:tab w:val="left" w:pos="226"/>
        </w:tabs>
        <w:spacing w:before="120" w:after="120" w:line="360" w:lineRule="auto"/>
        <w:jc w:val="both"/>
      </w:pPr>
      <w:r>
        <w:rPr>
          <w:rFonts w:hint="cs"/>
          <w:rtl/>
        </w:rPr>
        <w:t>אני מורה ליחידת נחשון  לאפשר לנאשם לחתום על התחייבות בעודו שוהה במתחם בית משפט השלום בתל-אביב.</w:t>
      </w:r>
    </w:p>
    <w:p w14:paraId="3E6C1FF6" w14:textId="77777777" w:rsidR="00167677" w:rsidRPr="00167677" w:rsidRDefault="00167677" w:rsidP="00167677">
      <w:pPr>
        <w:suppressLineNumbers/>
        <w:spacing w:before="120" w:after="120" w:line="360" w:lineRule="auto"/>
        <w:contextualSpacing/>
        <w:jc w:val="both"/>
        <w:rPr>
          <w:rFonts w:ascii="Calibri" w:hAnsi="Calibri"/>
        </w:rPr>
      </w:pPr>
      <w:r w:rsidRPr="00167677">
        <w:rPr>
          <w:rFonts w:ascii="Calibri" w:hAnsi="Calibri" w:hint="cs"/>
          <w:rtl/>
        </w:rPr>
        <w:t xml:space="preserve"> כמו כן אני מורה לשלטונות שב"ס לאור טענת הנאשם כי אינו חש בטוב, להביאו בפני חובש/רופא בהקדם האפשרי.</w:t>
      </w:r>
    </w:p>
    <w:p w14:paraId="5512E766" w14:textId="77777777" w:rsidR="00167677" w:rsidRPr="00167677" w:rsidRDefault="00167677" w:rsidP="00167677">
      <w:pPr>
        <w:suppressLineNumbers/>
        <w:spacing w:before="120" w:after="120" w:line="360" w:lineRule="auto"/>
        <w:contextualSpacing/>
        <w:jc w:val="both"/>
        <w:rPr>
          <w:rFonts w:ascii="Calibri" w:hAnsi="Calibri"/>
          <w:rtl/>
        </w:rPr>
      </w:pPr>
    </w:p>
    <w:p w14:paraId="51441563" w14:textId="77777777" w:rsidR="00167677" w:rsidRDefault="00167677" w:rsidP="00167677">
      <w:pPr>
        <w:suppressLineNumbers/>
        <w:spacing w:before="120" w:after="120" w:line="360" w:lineRule="auto"/>
        <w:jc w:val="both"/>
        <w:rPr>
          <w:rFonts w:ascii="David" w:hAnsi="David"/>
          <w:b/>
          <w:bCs/>
          <w:u w:val="single"/>
          <w:rtl/>
        </w:rPr>
      </w:pPr>
      <w:r>
        <w:rPr>
          <w:rFonts w:hint="cs"/>
          <w:b/>
          <w:bCs/>
          <w:u w:val="single"/>
          <w:rtl/>
        </w:rPr>
        <w:t>זכות ערעור לבית המשפט המחוזי בתוך 45 יום.</w:t>
      </w:r>
    </w:p>
    <w:p w14:paraId="3BF54EEE" w14:textId="77777777" w:rsidR="00167677" w:rsidRDefault="00167677" w:rsidP="00167677">
      <w:pPr>
        <w:suppressLineNumbers/>
        <w:spacing w:before="120" w:after="120" w:line="360" w:lineRule="auto"/>
        <w:jc w:val="both"/>
        <w:rPr>
          <w:b/>
          <w:bCs/>
          <w:u w:val="single"/>
          <w:rtl/>
        </w:rPr>
      </w:pPr>
      <w:r>
        <w:rPr>
          <w:rFonts w:hint="cs"/>
          <w:b/>
          <w:bCs/>
          <w:u w:val="single"/>
          <w:rtl/>
        </w:rPr>
        <w:t xml:space="preserve">מזכירות תשלח עותק של גזר הדין לשירות המבחן. </w:t>
      </w:r>
    </w:p>
    <w:p w14:paraId="4CE1E3BE" w14:textId="77777777" w:rsidR="00167677" w:rsidRDefault="00167677" w:rsidP="00167677">
      <w:pPr>
        <w:spacing w:line="360" w:lineRule="auto"/>
        <w:jc w:val="both"/>
        <w:rPr>
          <w:rFonts w:eastAsia="David"/>
          <w:sz w:val="6"/>
          <w:szCs w:val="6"/>
          <w:rtl/>
        </w:rPr>
      </w:pPr>
      <w:r>
        <w:rPr>
          <w:rFonts w:hint="cs"/>
          <w:sz w:val="6"/>
          <w:szCs w:val="6"/>
          <w:rtl/>
        </w:rPr>
        <w:t>&lt;#7#&gt;</w:t>
      </w:r>
    </w:p>
    <w:p w14:paraId="10EABD5A" w14:textId="77777777" w:rsidR="00167677" w:rsidRDefault="00167677" w:rsidP="00167677">
      <w:pPr>
        <w:jc w:val="right"/>
        <w:rPr>
          <w:rtl/>
        </w:rPr>
      </w:pPr>
    </w:p>
    <w:p w14:paraId="186EEA8F" w14:textId="77777777" w:rsidR="00167677" w:rsidRDefault="00167677" w:rsidP="00167677">
      <w:pPr>
        <w:spacing w:line="360" w:lineRule="auto"/>
        <w:rPr>
          <w:rtl/>
        </w:rPr>
      </w:pPr>
      <w:r>
        <w:rPr>
          <w:rFonts w:hint="cs"/>
          <w:b/>
          <w:bCs/>
          <w:rtl/>
        </w:rPr>
        <w:t xml:space="preserve">ניתנה והודעה היום ג' תמוז תשע"ז, </w:t>
      </w:r>
      <w:r>
        <w:rPr>
          <w:rFonts w:hint="cs"/>
          <w:b/>
          <w:bCs/>
        </w:rPr>
        <w:t>27/06/2017</w:t>
      </w:r>
      <w:r>
        <w:rPr>
          <w:rFonts w:hint="cs"/>
          <w:b/>
          <w:bCs/>
          <w:rtl/>
        </w:rPr>
        <w:t xml:space="preserve"> במעמד הנוכחים.</w:t>
      </w:r>
    </w:p>
    <w:p w14:paraId="722920A6" w14:textId="77777777" w:rsidR="00167677" w:rsidRDefault="00167677" w:rsidP="00167677">
      <w:pPr>
        <w:jc w:val="center"/>
        <w:rPr>
          <w:rtl/>
        </w:rPr>
      </w:pPr>
    </w:p>
    <w:tbl>
      <w:tblPr>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B248AD" w14:paraId="097A5D1A" w14:textId="77777777" w:rsidTr="00167677">
        <w:trPr>
          <w:trHeight w:val="316"/>
        </w:trPr>
        <w:tc>
          <w:tcPr>
            <w:tcW w:w="3936" w:type="dxa"/>
            <w:tcBorders>
              <w:top w:val="nil"/>
              <w:left w:val="nil"/>
              <w:bottom w:val="single" w:sz="4" w:space="0" w:color="auto"/>
              <w:right w:val="nil"/>
            </w:tcBorders>
            <w:shd w:val="clear" w:color="auto" w:fill="auto"/>
          </w:tcPr>
          <w:p w14:paraId="2ED6830E" w14:textId="77777777" w:rsidR="00167677" w:rsidRDefault="00167677" w:rsidP="00167677">
            <w:pPr>
              <w:jc w:val="center"/>
              <w:rPr>
                <w:rtl/>
              </w:rPr>
            </w:pPr>
            <w:r w:rsidRPr="00167677">
              <w:rPr>
                <w:rFonts w:cs="Times New Roman"/>
                <w:rtl/>
              </w:rPr>
              <w:t xml:space="preserve">     </w:t>
            </w:r>
          </w:p>
          <w:p w14:paraId="766E8893" w14:textId="77777777" w:rsidR="00167677" w:rsidRDefault="00167677" w:rsidP="00167677">
            <w:pPr>
              <w:jc w:val="center"/>
            </w:pPr>
          </w:p>
        </w:tc>
      </w:tr>
      <w:tr w:rsidR="00B248AD" w14:paraId="11107195" w14:textId="77777777" w:rsidTr="00167677">
        <w:trPr>
          <w:trHeight w:val="361"/>
        </w:trPr>
        <w:tc>
          <w:tcPr>
            <w:tcW w:w="3936" w:type="dxa"/>
            <w:tcBorders>
              <w:top w:val="single" w:sz="4" w:space="0" w:color="auto"/>
              <w:left w:val="nil"/>
              <w:bottom w:val="nil"/>
              <w:right w:val="nil"/>
            </w:tcBorders>
            <w:shd w:val="clear" w:color="auto" w:fill="auto"/>
          </w:tcPr>
          <w:p w14:paraId="36525EED" w14:textId="77777777" w:rsidR="00167677" w:rsidRPr="00167677" w:rsidRDefault="00167677" w:rsidP="00167677">
            <w:pPr>
              <w:jc w:val="center"/>
              <w:rPr>
                <w:b/>
                <w:bCs/>
                <w:rtl/>
              </w:rPr>
            </w:pPr>
            <w:r w:rsidRPr="00167677">
              <w:rPr>
                <w:rFonts w:hint="cs"/>
                <w:b/>
                <w:bCs/>
                <w:rtl/>
              </w:rPr>
              <w:t xml:space="preserve">יעל פרדלסקי , שופטת </w:t>
            </w:r>
          </w:p>
        </w:tc>
      </w:tr>
    </w:tbl>
    <w:p w14:paraId="3EE21F8B" w14:textId="77777777" w:rsidR="00167677" w:rsidRDefault="00167677" w:rsidP="00167677">
      <w:pPr>
        <w:jc w:val="right"/>
        <w:rPr>
          <w:rFonts w:ascii="David" w:hAnsi="David"/>
          <w:rtl/>
        </w:rPr>
      </w:pPr>
    </w:p>
    <w:p w14:paraId="03E0FD1A" w14:textId="77777777" w:rsidR="00167677" w:rsidRDefault="00167677" w:rsidP="00167677">
      <w:pPr>
        <w:spacing w:line="360" w:lineRule="auto"/>
        <w:jc w:val="both"/>
        <w:rPr>
          <w:b/>
          <w:bCs/>
          <w:u w:val="single"/>
          <w:rtl/>
        </w:rPr>
      </w:pPr>
      <w:r>
        <w:rPr>
          <w:rFonts w:hint="cs"/>
          <w:b/>
          <w:bCs/>
          <w:u w:val="single"/>
          <w:rtl/>
        </w:rPr>
        <w:t>הנאשם:</w:t>
      </w:r>
    </w:p>
    <w:p w14:paraId="695A8D9C" w14:textId="77777777" w:rsidR="00167677" w:rsidRDefault="00167677" w:rsidP="00167677">
      <w:pPr>
        <w:spacing w:line="360" w:lineRule="auto"/>
        <w:jc w:val="both"/>
        <w:rPr>
          <w:rtl/>
        </w:rPr>
      </w:pPr>
      <w:r>
        <w:rPr>
          <w:rFonts w:hint="cs"/>
          <w:rtl/>
        </w:rPr>
        <w:t>אני מבקש שבית המשפט יורה שישלחו אותי לבדיקה פסיכיאטרית.</w:t>
      </w:r>
    </w:p>
    <w:p w14:paraId="51F7783B" w14:textId="77777777" w:rsidR="00167677" w:rsidRDefault="00167677" w:rsidP="00167677">
      <w:pPr>
        <w:spacing w:line="360" w:lineRule="auto"/>
        <w:jc w:val="both"/>
        <w:rPr>
          <w:rtl/>
        </w:rPr>
      </w:pPr>
    </w:p>
    <w:p w14:paraId="1DCC521E" w14:textId="77777777" w:rsidR="00167677" w:rsidRDefault="00167677" w:rsidP="00167677">
      <w:pPr>
        <w:spacing w:line="360" w:lineRule="auto"/>
        <w:jc w:val="both"/>
        <w:rPr>
          <w:b/>
          <w:bCs/>
          <w:u w:val="single"/>
          <w:rtl/>
        </w:rPr>
      </w:pPr>
      <w:r>
        <w:rPr>
          <w:rFonts w:hint="cs"/>
          <w:b/>
          <w:bCs/>
          <w:u w:val="single"/>
          <w:rtl/>
        </w:rPr>
        <w:t>ב"כ  הנאשם:</w:t>
      </w:r>
    </w:p>
    <w:p w14:paraId="427704D7" w14:textId="77777777" w:rsidR="00167677" w:rsidRDefault="00167677" w:rsidP="00167677">
      <w:pPr>
        <w:spacing w:line="360" w:lineRule="auto"/>
        <w:jc w:val="both"/>
        <w:rPr>
          <w:rtl/>
        </w:rPr>
      </w:pPr>
      <w:r>
        <w:rPr>
          <w:rFonts w:hint="cs"/>
          <w:rtl/>
        </w:rPr>
        <w:t xml:space="preserve">אני מבקש עיכוב ביצוע. נכון שהתיק משנת 2009 שהתנהל זמן ממושך, בתיק עצמו היה משוחרר, הוא התייצב לחלק ניכר מהדיונים. דיונים שלא התייצב, זה תמיד היה קשור בסמוך למחלת הנפש שלו ולא ניתן לדעת האם באמת ידע על אותם דיונים, בשל אותה מחלת נפש שליוותה את אותו הליך. כל התיק הזה, מעבר למחלת הנפש, מדובר בתיק נסיבתי ואנו מתכוונים להגיש ערעור. עם חידוש ההליכים לאחרונה, נקבעו תנאים בערר במחוזי שבו הוא התייצב כמה פעמים בשבוע בתחנת משטרה. אני מבקש שאלה יהיו התנאים בעיכוב ביצוע. </w:t>
      </w:r>
    </w:p>
    <w:p w14:paraId="6B0191EE" w14:textId="77777777" w:rsidR="00167677" w:rsidRDefault="00167677" w:rsidP="00167677">
      <w:pPr>
        <w:spacing w:line="360" w:lineRule="auto"/>
        <w:jc w:val="both"/>
        <w:rPr>
          <w:rtl/>
        </w:rPr>
      </w:pPr>
    </w:p>
    <w:p w14:paraId="364851E5" w14:textId="77777777" w:rsidR="00167677" w:rsidRDefault="00167677" w:rsidP="00167677">
      <w:pPr>
        <w:spacing w:line="360" w:lineRule="auto"/>
        <w:jc w:val="both"/>
        <w:rPr>
          <w:b/>
          <w:bCs/>
          <w:u w:val="single"/>
          <w:rtl/>
        </w:rPr>
      </w:pPr>
      <w:r>
        <w:rPr>
          <w:rFonts w:hint="cs"/>
          <w:b/>
          <w:bCs/>
          <w:u w:val="single"/>
          <w:rtl/>
        </w:rPr>
        <w:t>ב"כ המאשימה:</w:t>
      </w:r>
    </w:p>
    <w:p w14:paraId="0F7A908A" w14:textId="77777777" w:rsidR="00167677" w:rsidRDefault="00167677" w:rsidP="00167677">
      <w:pPr>
        <w:spacing w:line="360" w:lineRule="auto"/>
        <w:jc w:val="both"/>
        <w:rPr>
          <w:rtl/>
        </w:rPr>
      </w:pPr>
      <w:r>
        <w:rPr>
          <w:rFonts w:hint="cs"/>
          <w:rtl/>
        </w:rPr>
        <w:t xml:space="preserve">אני מתנגדת. הנאשם הובא לפה עצור בגלל שהוא לא התייצב. בית המשפט סקר בגזר הדין, את כל הפעמים שבהם הנאשם לא התייצב ונאלצנו להתלות את ההליכים. גם לפי טיעוני חברי, לטענתו הנאשם לא יודע אם להגיע או לא להגיע לדיונים בעניינו. </w:t>
      </w:r>
    </w:p>
    <w:p w14:paraId="6C07C982" w14:textId="77777777" w:rsidR="00167677" w:rsidRDefault="00167677" w:rsidP="00167677">
      <w:pPr>
        <w:spacing w:line="360" w:lineRule="auto"/>
        <w:jc w:val="both"/>
        <w:rPr>
          <w:sz w:val="6"/>
          <w:szCs w:val="6"/>
          <w:rtl/>
        </w:rPr>
      </w:pPr>
      <w:r>
        <w:rPr>
          <w:rFonts w:hint="cs"/>
          <w:sz w:val="6"/>
          <w:szCs w:val="6"/>
          <w:rtl/>
        </w:rPr>
        <w:t>&lt;#8#&gt;</w:t>
      </w:r>
    </w:p>
    <w:p w14:paraId="01CA7618" w14:textId="77777777" w:rsidR="00167677" w:rsidRDefault="00167677" w:rsidP="00167677">
      <w:pPr>
        <w:spacing w:line="360" w:lineRule="auto"/>
        <w:jc w:val="center"/>
        <w:rPr>
          <w:rFonts w:ascii="Arial" w:hAnsi="Arial"/>
          <w:b/>
          <w:bCs/>
          <w:sz w:val="28"/>
          <w:szCs w:val="28"/>
          <w:u w:val="single"/>
          <w:rtl/>
        </w:rPr>
      </w:pPr>
      <w:r>
        <w:rPr>
          <w:rFonts w:ascii="Arial" w:hAnsi="Arial" w:hint="cs"/>
          <w:b/>
          <w:bCs/>
          <w:sz w:val="28"/>
          <w:szCs w:val="28"/>
          <w:u w:val="single"/>
          <w:rtl/>
        </w:rPr>
        <w:t>החלטה</w:t>
      </w:r>
    </w:p>
    <w:p w14:paraId="4F211F8E" w14:textId="77777777" w:rsidR="00167677" w:rsidRDefault="00167677" w:rsidP="00167677">
      <w:pPr>
        <w:spacing w:line="360" w:lineRule="auto"/>
        <w:jc w:val="both"/>
        <w:rPr>
          <w:rFonts w:ascii="David" w:hAnsi="David"/>
          <w:rtl/>
        </w:rPr>
      </w:pPr>
      <w:r>
        <w:rPr>
          <w:rFonts w:hint="cs"/>
          <w:rtl/>
        </w:rPr>
        <w:t>לאחר ששקלתי את בקשת ב"כ הנאשם ואת תגובת המאשימה, ובהתחשב בפסיקה, לא מצאתי כי יש מקום לעכב ביצוע עונש המאסר שגזרתי על הנאשם. מדובר בנאשם שלא התייצב לדיונים רבים, לרבות דיון הוכחות, מתן הכרעת דין, מתן גזר דין כשלטעמי אין קשר בין מחלת הנפש של הנאשם לאי התייצבותו לדיונים רבים.</w:t>
      </w:r>
    </w:p>
    <w:p w14:paraId="44C46434" w14:textId="77777777" w:rsidR="00167677" w:rsidRDefault="00167677" w:rsidP="00167677">
      <w:pPr>
        <w:spacing w:line="360" w:lineRule="auto"/>
        <w:jc w:val="both"/>
        <w:rPr>
          <w:rtl/>
        </w:rPr>
      </w:pPr>
    </w:p>
    <w:p w14:paraId="3D44F2A9" w14:textId="77777777" w:rsidR="00167677" w:rsidRDefault="00167677" w:rsidP="00167677">
      <w:pPr>
        <w:spacing w:line="360" w:lineRule="auto"/>
        <w:jc w:val="both"/>
        <w:rPr>
          <w:rtl/>
        </w:rPr>
      </w:pPr>
    </w:p>
    <w:p w14:paraId="191E1A15" w14:textId="77777777" w:rsidR="00167677" w:rsidRDefault="00167677" w:rsidP="00167677">
      <w:pPr>
        <w:spacing w:line="360" w:lineRule="auto"/>
        <w:jc w:val="both"/>
        <w:rPr>
          <w:rtl/>
        </w:rPr>
      </w:pPr>
      <w:r>
        <w:rPr>
          <w:rFonts w:hint="cs"/>
          <w:rtl/>
        </w:rPr>
        <w:t xml:space="preserve">בנסיבות אלה, לא מצאתי כי ניתן לסמוך על הנאשם שיתייצב לריצוי עונשו ואינני נעתרת לבקשת בא כוח הנאשם. </w:t>
      </w:r>
    </w:p>
    <w:p w14:paraId="32DB658E" w14:textId="77777777" w:rsidR="00167677" w:rsidRDefault="00167677" w:rsidP="00167677">
      <w:pPr>
        <w:spacing w:line="360" w:lineRule="auto"/>
        <w:jc w:val="both"/>
        <w:rPr>
          <w:rtl/>
        </w:rPr>
      </w:pPr>
    </w:p>
    <w:p w14:paraId="25D3CED5" w14:textId="77777777" w:rsidR="00167677" w:rsidRDefault="00167677" w:rsidP="00167677">
      <w:pPr>
        <w:spacing w:line="360" w:lineRule="auto"/>
        <w:jc w:val="both"/>
        <w:rPr>
          <w:b/>
          <w:bCs/>
          <w:u w:val="single"/>
          <w:rtl/>
        </w:rPr>
      </w:pPr>
      <w:r>
        <w:rPr>
          <w:rFonts w:hint="cs"/>
          <w:b/>
          <w:bCs/>
          <w:u w:val="single"/>
          <w:rtl/>
        </w:rPr>
        <w:t xml:space="preserve">לבקשת הנאשם, אני מורה לשלטונות שב"ס להביאו בהקדם בפני רופא פסיכיאטר. </w:t>
      </w:r>
    </w:p>
    <w:p w14:paraId="49B2777A" w14:textId="77777777" w:rsidR="00167677" w:rsidRDefault="00167677" w:rsidP="00167677">
      <w:pPr>
        <w:spacing w:line="360" w:lineRule="auto"/>
        <w:jc w:val="both"/>
        <w:rPr>
          <w:rtl/>
        </w:rPr>
      </w:pPr>
    </w:p>
    <w:p w14:paraId="5E9E62B4" w14:textId="77777777" w:rsidR="00167677" w:rsidRDefault="00167677" w:rsidP="00167677">
      <w:pPr>
        <w:spacing w:line="360" w:lineRule="auto"/>
        <w:jc w:val="both"/>
        <w:rPr>
          <w:sz w:val="6"/>
          <w:szCs w:val="6"/>
          <w:rtl/>
        </w:rPr>
      </w:pPr>
      <w:r>
        <w:rPr>
          <w:rFonts w:hint="cs"/>
          <w:sz w:val="6"/>
          <w:szCs w:val="6"/>
          <w:rtl/>
        </w:rPr>
        <w:t>&lt;#9#&gt;</w:t>
      </w:r>
    </w:p>
    <w:p w14:paraId="7D3D75FE" w14:textId="77777777" w:rsidR="00167677" w:rsidRDefault="00167677" w:rsidP="00167677">
      <w:pPr>
        <w:jc w:val="right"/>
        <w:rPr>
          <w:rtl/>
        </w:rPr>
      </w:pPr>
    </w:p>
    <w:p w14:paraId="39E492FA" w14:textId="77777777" w:rsidR="00167677" w:rsidRDefault="0040521A" w:rsidP="00167677">
      <w:pPr>
        <w:jc w:val="center"/>
        <w:rPr>
          <w:rtl/>
        </w:rPr>
      </w:pPr>
      <w:r>
        <w:rPr>
          <w:b/>
          <w:bCs/>
          <w:rtl/>
        </w:rPr>
        <w:t xml:space="preserve">ניתנה והודעה היום ג' תמוז תשע"ז, 27/06/2017 במעמד הנוכחים. </w:t>
      </w:r>
    </w:p>
    <w:tbl>
      <w:tblPr>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B248AD" w14:paraId="591610EE" w14:textId="77777777" w:rsidTr="00167677">
        <w:trPr>
          <w:trHeight w:val="316"/>
        </w:trPr>
        <w:tc>
          <w:tcPr>
            <w:tcW w:w="3936" w:type="dxa"/>
            <w:tcBorders>
              <w:top w:val="nil"/>
              <w:left w:val="nil"/>
              <w:bottom w:val="single" w:sz="4" w:space="0" w:color="auto"/>
              <w:right w:val="nil"/>
            </w:tcBorders>
            <w:shd w:val="clear" w:color="auto" w:fill="auto"/>
          </w:tcPr>
          <w:p w14:paraId="10E7447C" w14:textId="77777777" w:rsidR="00167677" w:rsidRDefault="00167677" w:rsidP="00167677">
            <w:pPr>
              <w:jc w:val="center"/>
              <w:rPr>
                <w:rtl/>
              </w:rPr>
            </w:pPr>
            <w:r w:rsidRPr="00167677">
              <w:rPr>
                <w:rFonts w:cs="Times New Roman"/>
                <w:rtl/>
              </w:rPr>
              <w:t xml:space="preserve">     </w:t>
            </w:r>
          </w:p>
          <w:p w14:paraId="133AFD5A" w14:textId="77777777" w:rsidR="00167677" w:rsidRDefault="00167677" w:rsidP="00167677">
            <w:pPr>
              <w:jc w:val="center"/>
            </w:pPr>
          </w:p>
        </w:tc>
      </w:tr>
      <w:tr w:rsidR="00B248AD" w14:paraId="5A564C72" w14:textId="77777777" w:rsidTr="00167677">
        <w:trPr>
          <w:trHeight w:val="361"/>
        </w:trPr>
        <w:tc>
          <w:tcPr>
            <w:tcW w:w="3936" w:type="dxa"/>
            <w:tcBorders>
              <w:top w:val="single" w:sz="4" w:space="0" w:color="auto"/>
              <w:left w:val="nil"/>
              <w:bottom w:val="nil"/>
              <w:right w:val="nil"/>
            </w:tcBorders>
            <w:shd w:val="clear" w:color="auto" w:fill="auto"/>
          </w:tcPr>
          <w:p w14:paraId="3E944CE2" w14:textId="77777777" w:rsidR="00167677" w:rsidRPr="00167677" w:rsidRDefault="00167677" w:rsidP="00167677">
            <w:pPr>
              <w:jc w:val="center"/>
              <w:rPr>
                <w:b/>
                <w:bCs/>
                <w:rtl/>
              </w:rPr>
            </w:pPr>
            <w:r w:rsidRPr="00167677">
              <w:rPr>
                <w:rFonts w:hint="cs"/>
                <w:b/>
                <w:bCs/>
                <w:rtl/>
              </w:rPr>
              <w:t xml:space="preserve">יעל פרדלסקי , שופטת </w:t>
            </w:r>
          </w:p>
        </w:tc>
      </w:tr>
    </w:tbl>
    <w:p w14:paraId="3BBFA328" w14:textId="77777777" w:rsidR="00167677" w:rsidRPr="0040521A" w:rsidRDefault="0040521A" w:rsidP="00167677">
      <w:pPr>
        <w:jc w:val="right"/>
        <w:rPr>
          <w:rFonts w:ascii="David" w:hAnsi="David"/>
          <w:color w:val="FFFFFF"/>
          <w:sz w:val="2"/>
          <w:szCs w:val="2"/>
          <w:rtl/>
        </w:rPr>
      </w:pPr>
      <w:r w:rsidRPr="0040521A">
        <w:rPr>
          <w:rFonts w:ascii="David" w:hAnsi="David"/>
          <w:color w:val="FFFFFF"/>
          <w:sz w:val="2"/>
          <w:szCs w:val="2"/>
          <w:rtl/>
        </w:rPr>
        <w:t>5129371</w:t>
      </w:r>
    </w:p>
    <w:p w14:paraId="41E30508" w14:textId="77777777" w:rsidR="00167677" w:rsidRPr="0040521A" w:rsidRDefault="0040521A" w:rsidP="00167677">
      <w:pPr>
        <w:jc w:val="both"/>
        <w:rPr>
          <w:color w:val="FFFFFF"/>
          <w:sz w:val="2"/>
          <w:szCs w:val="2"/>
          <w:rtl/>
        </w:rPr>
      </w:pPr>
      <w:r w:rsidRPr="0040521A">
        <w:rPr>
          <w:color w:val="FFFFFF"/>
          <w:sz w:val="2"/>
          <w:szCs w:val="2"/>
          <w:rtl/>
        </w:rPr>
        <w:t>54678313</w:t>
      </w:r>
    </w:p>
    <w:p w14:paraId="3D44D308" w14:textId="77777777" w:rsidR="00167677" w:rsidRDefault="00167677" w:rsidP="00167677">
      <w:pPr>
        <w:spacing w:line="360" w:lineRule="auto"/>
        <w:jc w:val="center"/>
        <w:rPr>
          <w:rtl/>
        </w:rPr>
      </w:pPr>
    </w:p>
    <w:p w14:paraId="1460AC8E" w14:textId="77777777" w:rsidR="00167677" w:rsidRPr="00B05847" w:rsidRDefault="00167677" w:rsidP="00167677">
      <w:pPr>
        <w:spacing w:line="360" w:lineRule="auto"/>
        <w:rPr>
          <w:rFonts w:ascii="Arial" w:hAnsi="Arial"/>
          <w:rtl/>
        </w:rPr>
      </w:pPr>
    </w:p>
    <w:p w14:paraId="5BC88479" w14:textId="77777777" w:rsidR="00167677" w:rsidRPr="00B05847" w:rsidRDefault="00167677" w:rsidP="00167677">
      <w:pPr>
        <w:spacing w:line="360" w:lineRule="auto"/>
        <w:rPr>
          <w:rtl/>
        </w:rPr>
      </w:pPr>
    </w:p>
    <w:p w14:paraId="368EFB56" w14:textId="77777777" w:rsidR="00167677" w:rsidRPr="00DD763E" w:rsidRDefault="00DD763E" w:rsidP="00167677">
      <w:pPr>
        <w:spacing w:line="360" w:lineRule="auto"/>
        <w:rPr>
          <w:color w:val="FFFFFF"/>
          <w:sz w:val="2"/>
          <w:szCs w:val="2"/>
          <w:rtl/>
        </w:rPr>
      </w:pPr>
      <w:r w:rsidRPr="00DD763E">
        <w:rPr>
          <w:color w:val="FFFFFF"/>
          <w:sz w:val="2"/>
          <w:szCs w:val="2"/>
          <w:rtl/>
        </w:rPr>
        <w:t>5129371</w:t>
      </w:r>
    </w:p>
    <w:p w14:paraId="264CE2DE" w14:textId="77777777" w:rsidR="001E39F7" w:rsidRPr="00DD763E" w:rsidRDefault="00DD763E" w:rsidP="0040521A">
      <w:pPr>
        <w:keepNext/>
        <w:rPr>
          <w:rFonts w:ascii="David" w:hAnsi="David"/>
          <w:color w:val="FFFFFF"/>
          <w:sz w:val="2"/>
          <w:szCs w:val="2"/>
          <w:rtl/>
        </w:rPr>
      </w:pPr>
      <w:r w:rsidRPr="00DD763E">
        <w:rPr>
          <w:rFonts w:ascii="David" w:hAnsi="David"/>
          <w:color w:val="FFFFFF"/>
          <w:sz w:val="2"/>
          <w:szCs w:val="2"/>
          <w:rtl/>
        </w:rPr>
        <w:t>54678313</w:t>
      </w:r>
    </w:p>
    <w:p w14:paraId="6EA82335" w14:textId="77777777" w:rsidR="0040521A" w:rsidRPr="0040521A" w:rsidRDefault="0040521A" w:rsidP="0040521A">
      <w:pPr>
        <w:keepNext/>
        <w:rPr>
          <w:rFonts w:ascii="David" w:hAnsi="David"/>
          <w:color w:val="000000"/>
          <w:sz w:val="22"/>
          <w:szCs w:val="22"/>
          <w:rtl/>
        </w:rPr>
      </w:pPr>
      <w:r w:rsidRPr="0040521A">
        <w:rPr>
          <w:rFonts w:ascii="David" w:hAnsi="David"/>
          <w:color w:val="000000"/>
          <w:sz w:val="22"/>
          <w:szCs w:val="22"/>
          <w:rtl/>
        </w:rPr>
        <w:t>יעל פרדלסקי 54678313</w:t>
      </w:r>
    </w:p>
    <w:p w14:paraId="435B89D0" w14:textId="77777777" w:rsidR="0040521A" w:rsidRDefault="0040521A" w:rsidP="0040521A">
      <w:r w:rsidRPr="0040521A">
        <w:rPr>
          <w:color w:val="000000"/>
          <w:rtl/>
        </w:rPr>
        <w:t>נוסח מסמך זה כפוף לשינויי ניסוח ועריכה</w:t>
      </w:r>
    </w:p>
    <w:p w14:paraId="29C2B739" w14:textId="77777777" w:rsidR="0040521A" w:rsidRDefault="0040521A" w:rsidP="0040521A">
      <w:pPr>
        <w:rPr>
          <w:rtl/>
        </w:rPr>
      </w:pPr>
    </w:p>
    <w:p w14:paraId="2DFBC433" w14:textId="77777777" w:rsidR="0040521A" w:rsidRDefault="0040521A" w:rsidP="0040521A">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r w:rsidR="007C7059">
        <w:rPr>
          <w:rFonts w:hint="cs"/>
          <w:color w:val="0000FF"/>
          <w:u w:val="single"/>
          <w:rtl/>
        </w:rPr>
        <w:t xml:space="preserve"> </w:t>
      </w:r>
      <w:r w:rsidR="00782EF2">
        <w:rPr>
          <w:rFonts w:hint="cs"/>
          <w:color w:val="0000FF"/>
          <w:u w:val="single"/>
          <w:rtl/>
        </w:rPr>
        <w:t xml:space="preserve"> </w:t>
      </w:r>
    </w:p>
    <w:p w14:paraId="2EA29EBD" w14:textId="77777777" w:rsidR="00DD763E" w:rsidRPr="00DD763E" w:rsidRDefault="00DD763E" w:rsidP="00DD763E">
      <w:pPr>
        <w:keepNext/>
        <w:rPr>
          <w:rFonts w:ascii="David" w:hAnsi="David"/>
          <w:color w:val="000000"/>
          <w:sz w:val="22"/>
          <w:szCs w:val="22"/>
          <w:rtl/>
        </w:rPr>
      </w:pPr>
    </w:p>
    <w:sectPr w:rsidR="00DD763E" w:rsidRPr="00DD763E" w:rsidSect="00DD763E">
      <w:headerReference w:type="even" r:id="rId22"/>
      <w:headerReference w:type="default" r:id="rId23"/>
      <w:footerReference w:type="even" r:id="rId24"/>
      <w:footerReference w:type="default" r:id="rId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3C2AF6" w14:textId="77777777" w:rsidR="00836BB9" w:rsidRDefault="00836BB9" w:rsidP="00F2314F">
      <w:r>
        <w:separator/>
      </w:r>
    </w:p>
  </w:endnote>
  <w:endnote w:type="continuationSeparator" w:id="0">
    <w:p w14:paraId="7E771282" w14:textId="77777777" w:rsidR="00836BB9" w:rsidRDefault="00836BB9" w:rsidP="00F23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96FB96" w14:textId="77777777" w:rsidR="00DD763E" w:rsidRDefault="00DD763E" w:rsidP="00DD763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D3E946B" w14:textId="77777777" w:rsidR="00B248AD" w:rsidRPr="00DD763E" w:rsidRDefault="00DD763E" w:rsidP="00DD763E">
    <w:pPr>
      <w:pStyle w:val="a5"/>
      <w:pBdr>
        <w:top w:val="single" w:sz="4" w:space="1" w:color="auto"/>
        <w:between w:val="single" w:sz="4" w:space="0" w:color="auto"/>
      </w:pBdr>
      <w:spacing w:after="60"/>
      <w:jc w:val="center"/>
      <w:rPr>
        <w:rFonts w:ascii="FrankRuehl" w:hAnsi="FrankRuehl" w:cs="FrankRuehl"/>
        <w:color w:val="000000"/>
      </w:rPr>
    </w:pPr>
    <w:r w:rsidRPr="00DD763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39A8E" w14:textId="77777777" w:rsidR="00DD763E" w:rsidRDefault="00DD763E" w:rsidP="00DD763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B71D9">
      <w:rPr>
        <w:rFonts w:ascii="FrankRuehl" w:hAnsi="FrankRuehl" w:cs="FrankRuehl"/>
        <w:noProof/>
        <w:rtl/>
      </w:rPr>
      <w:t>1</w:t>
    </w:r>
    <w:r>
      <w:rPr>
        <w:rFonts w:ascii="FrankRuehl" w:hAnsi="FrankRuehl" w:cs="FrankRuehl"/>
        <w:rtl/>
      </w:rPr>
      <w:fldChar w:fldCharType="end"/>
    </w:r>
  </w:p>
  <w:p w14:paraId="084D0C63" w14:textId="77777777" w:rsidR="00B248AD" w:rsidRPr="00DD763E" w:rsidRDefault="00DD763E" w:rsidP="00DD763E">
    <w:pPr>
      <w:pStyle w:val="a5"/>
      <w:pBdr>
        <w:top w:val="single" w:sz="4" w:space="1" w:color="auto"/>
        <w:between w:val="single" w:sz="4" w:space="0" w:color="auto"/>
      </w:pBdr>
      <w:spacing w:after="60"/>
      <w:jc w:val="center"/>
      <w:rPr>
        <w:rFonts w:ascii="FrankRuehl" w:hAnsi="FrankRuehl" w:cs="FrankRuehl"/>
        <w:color w:val="000000"/>
      </w:rPr>
    </w:pPr>
    <w:r w:rsidRPr="00DD763E">
      <w:rPr>
        <w:rFonts w:ascii="FrankRuehl" w:hAnsi="FrankRuehl" w:cs="FrankRuehl"/>
        <w:color w:val="000000"/>
      </w:rPr>
      <w:pict w14:anchorId="1FAD51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539F54" w14:textId="77777777" w:rsidR="00836BB9" w:rsidRDefault="00836BB9" w:rsidP="00F2314F">
      <w:r>
        <w:separator/>
      </w:r>
    </w:p>
  </w:footnote>
  <w:footnote w:type="continuationSeparator" w:id="0">
    <w:p w14:paraId="2B0F54C4" w14:textId="77777777" w:rsidR="00836BB9" w:rsidRDefault="00836BB9" w:rsidP="00F23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095C8" w14:textId="77777777" w:rsidR="0040521A" w:rsidRPr="00DD763E" w:rsidRDefault="00DD763E" w:rsidP="00DD763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49367-12-10</w:t>
    </w:r>
    <w:r>
      <w:rPr>
        <w:rFonts w:ascii="David" w:hAnsi="David"/>
        <w:color w:val="000000"/>
        <w:sz w:val="22"/>
        <w:szCs w:val="22"/>
        <w:rtl/>
      </w:rPr>
      <w:tab/>
      <w:t xml:space="preserve"> מדינת ישראל נ' סטניסלב קזקוב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F3274" w14:textId="77777777" w:rsidR="0040521A" w:rsidRPr="00DD763E" w:rsidRDefault="00DD763E" w:rsidP="00DD763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49367-12-10</w:t>
    </w:r>
    <w:r>
      <w:rPr>
        <w:rFonts w:ascii="David" w:hAnsi="David"/>
        <w:color w:val="000000"/>
        <w:sz w:val="22"/>
        <w:szCs w:val="22"/>
        <w:rtl/>
      </w:rPr>
      <w:tab/>
      <w:t xml:space="preserve"> מדינת ישראל נ' סטניסלב קזקוב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B46"/>
    <w:multiLevelType w:val="hybridMultilevel"/>
    <w:tmpl w:val="A41427F8"/>
    <w:lvl w:ilvl="0" w:tplc="A9303E86">
      <w:start w:val="1"/>
      <w:numFmt w:val="decimal"/>
      <w:lvlText w:val="%1."/>
      <w:lvlJc w:val="left"/>
      <w:pPr>
        <w:ind w:left="360" w:hanging="360"/>
      </w:pPr>
      <w:rPr>
        <w:rFonts w:cs="Times New Roman"/>
        <w:b/>
        <w:bCs/>
        <w:lang w:bidi="he-IL"/>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 w15:restartNumberingAfterBreak="0">
    <w:nsid w:val="29207049"/>
    <w:multiLevelType w:val="hybridMultilevel"/>
    <w:tmpl w:val="F6E67E6E"/>
    <w:lvl w:ilvl="0" w:tplc="CAE654E4">
      <w:start w:val="1"/>
      <w:numFmt w:val="hebrew1"/>
      <w:lvlText w:val="%1."/>
      <w:lvlJc w:val="left"/>
      <w:pPr>
        <w:ind w:left="1069" w:hanging="360"/>
      </w:pPr>
      <w:rPr>
        <w:rFonts w:cs="Times New Roman"/>
        <w:b/>
        <w:bCs/>
      </w:rPr>
    </w:lvl>
    <w:lvl w:ilvl="1" w:tplc="04090019">
      <w:start w:val="1"/>
      <w:numFmt w:val="lowerLetter"/>
      <w:lvlText w:val="%2."/>
      <w:lvlJc w:val="left"/>
      <w:pPr>
        <w:ind w:left="1647" w:hanging="360"/>
      </w:pPr>
      <w:rPr>
        <w:rFonts w:cs="Times New Roman"/>
      </w:rPr>
    </w:lvl>
    <w:lvl w:ilvl="2" w:tplc="0409001B">
      <w:start w:val="1"/>
      <w:numFmt w:val="lowerRoman"/>
      <w:lvlText w:val="%3."/>
      <w:lvlJc w:val="right"/>
      <w:pPr>
        <w:ind w:left="2367" w:hanging="180"/>
      </w:pPr>
      <w:rPr>
        <w:rFonts w:cs="Times New Roman"/>
      </w:rPr>
    </w:lvl>
    <w:lvl w:ilvl="3" w:tplc="0409000F">
      <w:start w:val="1"/>
      <w:numFmt w:val="decimal"/>
      <w:lvlText w:val="%4."/>
      <w:lvlJc w:val="left"/>
      <w:pPr>
        <w:ind w:left="3087" w:hanging="360"/>
      </w:pPr>
      <w:rPr>
        <w:rFonts w:cs="Times New Roman"/>
      </w:rPr>
    </w:lvl>
    <w:lvl w:ilvl="4" w:tplc="04090019">
      <w:start w:val="1"/>
      <w:numFmt w:val="lowerLetter"/>
      <w:lvlText w:val="%5."/>
      <w:lvlJc w:val="left"/>
      <w:pPr>
        <w:ind w:left="3807" w:hanging="360"/>
      </w:pPr>
      <w:rPr>
        <w:rFonts w:cs="Times New Roman"/>
      </w:rPr>
    </w:lvl>
    <w:lvl w:ilvl="5" w:tplc="0409001B">
      <w:start w:val="1"/>
      <w:numFmt w:val="lowerRoman"/>
      <w:lvlText w:val="%6."/>
      <w:lvlJc w:val="right"/>
      <w:pPr>
        <w:ind w:left="4527" w:hanging="180"/>
      </w:pPr>
      <w:rPr>
        <w:rFonts w:cs="Times New Roman"/>
      </w:rPr>
    </w:lvl>
    <w:lvl w:ilvl="6" w:tplc="0409000F">
      <w:start w:val="1"/>
      <w:numFmt w:val="decimal"/>
      <w:lvlText w:val="%7."/>
      <w:lvlJc w:val="left"/>
      <w:pPr>
        <w:ind w:left="5247" w:hanging="360"/>
      </w:pPr>
      <w:rPr>
        <w:rFonts w:cs="Times New Roman"/>
      </w:rPr>
    </w:lvl>
    <w:lvl w:ilvl="7" w:tplc="04090019">
      <w:start w:val="1"/>
      <w:numFmt w:val="lowerLetter"/>
      <w:lvlText w:val="%8."/>
      <w:lvlJc w:val="left"/>
      <w:pPr>
        <w:ind w:left="5967" w:hanging="360"/>
      </w:pPr>
      <w:rPr>
        <w:rFonts w:cs="Times New Roman"/>
      </w:rPr>
    </w:lvl>
    <w:lvl w:ilvl="8" w:tplc="0409001B">
      <w:start w:val="1"/>
      <w:numFmt w:val="lowerRoman"/>
      <w:lvlText w:val="%9."/>
      <w:lvlJc w:val="right"/>
      <w:pPr>
        <w:ind w:left="6687" w:hanging="180"/>
      </w:pPr>
      <w:rPr>
        <w:rFonts w:cs="Times New Roman"/>
      </w:rPr>
    </w:lvl>
  </w:abstractNum>
  <w:num w:numId="1" w16cid:durableId="2402133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803725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67677"/>
    <w:rsid w:val="00080352"/>
    <w:rsid w:val="00167677"/>
    <w:rsid w:val="001E39F7"/>
    <w:rsid w:val="0040521A"/>
    <w:rsid w:val="006340A9"/>
    <w:rsid w:val="00782EF2"/>
    <w:rsid w:val="007C7059"/>
    <w:rsid w:val="00836BB9"/>
    <w:rsid w:val="009A75EE"/>
    <w:rsid w:val="00B248AD"/>
    <w:rsid w:val="00D13951"/>
    <w:rsid w:val="00DA5D60"/>
    <w:rsid w:val="00DD763E"/>
    <w:rsid w:val="00F2314F"/>
    <w:rsid w:val="00FB71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2846BB5"/>
  <w15:chartTrackingRefBased/>
  <w15:docId w15:val="{A5B35B4A-5D33-4FC2-A99D-C5BB7F96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67677"/>
    <w:pPr>
      <w:bidi/>
    </w:pPr>
    <w:rPr>
      <w:rFonts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67677"/>
    <w:pPr>
      <w:tabs>
        <w:tab w:val="center" w:pos="4153"/>
        <w:tab w:val="right" w:pos="8306"/>
      </w:tabs>
    </w:pPr>
  </w:style>
  <w:style w:type="character" w:customStyle="1" w:styleId="a4">
    <w:name w:val="כותרת עליונה תו"/>
    <w:link w:val="a3"/>
    <w:rsid w:val="00167677"/>
    <w:rPr>
      <w:rFonts w:cs="David"/>
      <w:sz w:val="24"/>
      <w:szCs w:val="24"/>
    </w:rPr>
  </w:style>
  <w:style w:type="paragraph" w:styleId="a5">
    <w:name w:val="footer"/>
    <w:basedOn w:val="a"/>
    <w:link w:val="a6"/>
    <w:rsid w:val="00167677"/>
    <w:pPr>
      <w:tabs>
        <w:tab w:val="center" w:pos="4153"/>
        <w:tab w:val="right" w:pos="8306"/>
      </w:tabs>
    </w:pPr>
  </w:style>
  <w:style w:type="character" w:customStyle="1" w:styleId="a6">
    <w:name w:val="כותרת תחתונה תו"/>
    <w:link w:val="a5"/>
    <w:rsid w:val="00167677"/>
    <w:rPr>
      <w:rFonts w:cs="David"/>
      <w:sz w:val="24"/>
      <w:szCs w:val="24"/>
    </w:rPr>
  </w:style>
  <w:style w:type="table" w:styleId="a7">
    <w:name w:val="Table Grid"/>
    <w:basedOn w:val="a1"/>
    <w:rsid w:val="0016767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67677"/>
  </w:style>
  <w:style w:type="paragraph" w:customStyle="1" w:styleId="12">
    <w:name w:val="רגיל + ‏12 נק'"/>
    <w:aliases w:val="מיושר לשני הצדדים,מרווח בין שורות:  שורה וחצי"/>
    <w:basedOn w:val="a"/>
    <w:rsid w:val="00167677"/>
    <w:rPr>
      <w:b/>
      <w:bCs/>
      <w:u w:val="single"/>
    </w:rPr>
  </w:style>
  <w:style w:type="character" w:styleId="Hyperlink">
    <w:name w:val="Hyperlink"/>
    <w:rsid w:val="0040521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84" TargetMode="External"/><Relationship Id="rId13" Type="http://schemas.openxmlformats.org/officeDocument/2006/relationships/hyperlink" Target="http://www.nevo.co.il/case/5058787" TargetMode="External"/><Relationship Id="rId18" Type="http://schemas.openxmlformats.org/officeDocument/2006/relationships/hyperlink" Target="http://www.nevo.co.il/case/10459128"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384" TargetMode="External"/><Relationship Id="rId17" Type="http://schemas.openxmlformats.org/officeDocument/2006/relationships/hyperlink" Target="http://www.nevo.co.il/case/10490259"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5786637" TargetMode="External"/><Relationship Id="rId20"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11206360" TargetMode="External"/><Relationship Id="rId23" Type="http://schemas.openxmlformats.org/officeDocument/2006/relationships/header" Target="header2.xml"/><Relationship Id="rId10" Type="http://schemas.openxmlformats.org/officeDocument/2006/relationships/hyperlink" Target="http://www.nevo.co.il/law/70301/406.b" TargetMode="External"/><Relationship Id="rId19" Type="http://schemas.openxmlformats.org/officeDocument/2006/relationships/hyperlink" Target="http://www.nevo.co.il/case/11206360" TargetMode="External"/><Relationship Id="rId4" Type="http://schemas.openxmlformats.org/officeDocument/2006/relationships/webSettings" Target="webSettings.xml"/><Relationship Id="rId9" Type="http://schemas.openxmlformats.org/officeDocument/2006/relationships/hyperlink" Target="http://www.nevo.co.il/law/70301/406.b" TargetMode="External"/><Relationship Id="rId14" Type="http://schemas.openxmlformats.org/officeDocument/2006/relationships/hyperlink" Target="http://www.nevo.co.il/law/70301"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1732</Words>
  <Characters>8660</Characters>
  <Application>Microsoft Office Word</Application>
  <DocSecurity>0</DocSecurity>
  <Lines>72</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10372</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7995492</vt:i4>
      </vt:variant>
      <vt:variant>
        <vt:i4>39</vt:i4>
      </vt:variant>
      <vt:variant>
        <vt:i4>0</vt:i4>
      </vt:variant>
      <vt:variant>
        <vt:i4>5</vt:i4>
      </vt:variant>
      <vt:variant>
        <vt:lpwstr>http://www.nevo.co.il/law/70301</vt:lpwstr>
      </vt:variant>
      <vt:variant>
        <vt:lpwstr/>
      </vt:variant>
      <vt:variant>
        <vt:i4>3342454</vt:i4>
      </vt:variant>
      <vt:variant>
        <vt:i4>36</vt:i4>
      </vt:variant>
      <vt:variant>
        <vt:i4>0</vt:i4>
      </vt:variant>
      <vt:variant>
        <vt:i4>5</vt:i4>
      </vt:variant>
      <vt:variant>
        <vt:lpwstr>http://www.nevo.co.il/case/11206360</vt:lpwstr>
      </vt:variant>
      <vt:variant>
        <vt:lpwstr/>
      </vt:variant>
      <vt:variant>
        <vt:i4>4063344</vt:i4>
      </vt:variant>
      <vt:variant>
        <vt:i4>33</vt:i4>
      </vt:variant>
      <vt:variant>
        <vt:i4>0</vt:i4>
      </vt:variant>
      <vt:variant>
        <vt:i4>5</vt:i4>
      </vt:variant>
      <vt:variant>
        <vt:lpwstr>http://www.nevo.co.il/case/10459128</vt:lpwstr>
      </vt:variant>
      <vt:variant>
        <vt:lpwstr/>
      </vt:variant>
      <vt:variant>
        <vt:i4>3145855</vt:i4>
      </vt:variant>
      <vt:variant>
        <vt:i4>30</vt:i4>
      </vt:variant>
      <vt:variant>
        <vt:i4>0</vt:i4>
      </vt:variant>
      <vt:variant>
        <vt:i4>5</vt:i4>
      </vt:variant>
      <vt:variant>
        <vt:lpwstr>http://www.nevo.co.il/case/10490259</vt:lpwstr>
      </vt:variant>
      <vt:variant>
        <vt:lpwstr/>
      </vt:variant>
      <vt:variant>
        <vt:i4>3932278</vt:i4>
      </vt:variant>
      <vt:variant>
        <vt:i4>27</vt:i4>
      </vt:variant>
      <vt:variant>
        <vt:i4>0</vt:i4>
      </vt:variant>
      <vt:variant>
        <vt:i4>5</vt:i4>
      </vt:variant>
      <vt:variant>
        <vt:lpwstr>http://www.nevo.co.il/case/5786637</vt:lpwstr>
      </vt:variant>
      <vt:variant>
        <vt:lpwstr/>
      </vt:variant>
      <vt:variant>
        <vt:i4>3342454</vt:i4>
      </vt:variant>
      <vt:variant>
        <vt:i4>24</vt:i4>
      </vt:variant>
      <vt:variant>
        <vt:i4>0</vt:i4>
      </vt:variant>
      <vt:variant>
        <vt:i4>5</vt:i4>
      </vt:variant>
      <vt:variant>
        <vt:lpwstr>http://www.nevo.co.il/case/11206360</vt:lpwstr>
      </vt:variant>
      <vt:variant>
        <vt:lpwstr/>
      </vt:variant>
      <vt:variant>
        <vt:i4>7995492</vt:i4>
      </vt:variant>
      <vt:variant>
        <vt:i4>21</vt:i4>
      </vt:variant>
      <vt:variant>
        <vt:i4>0</vt:i4>
      </vt:variant>
      <vt:variant>
        <vt:i4>5</vt:i4>
      </vt:variant>
      <vt:variant>
        <vt:lpwstr>http://www.nevo.co.il/law/70301</vt:lpwstr>
      </vt:variant>
      <vt:variant>
        <vt:lpwstr/>
      </vt:variant>
      <vt:variant>
        <vt:i4>3145844</vt:i4>
      </vt:variant>
      <vt:variant>
        <vt:i4>18</vt:i4>
      </vt:variant>
      <vt:variant>
        <vt:i4>0</vt:i4>
      </vt:variant>
      <vt:variant>
        <vt:i4>5</vt:i4>
      </vt:variant>
      <vt:variant>
        <vt:lpwstr>http://www.nevo.co.il/case/5058787</vt:lpwstr>
      </vt:variant>
      <vt:variant>
        <vt:lpwstr/>
      </vt:variant>
      <vt:variant>
        <vt:i4>7143526</vt:i4>
      </vt:variant>
      <vt:variant>
        <vt:i4>15</vt:i4>
      </vt:variant>
      <vt:variant>
        <vt:i4>0</vt:i4>
      </vt:variant>
      <vt:variant>
        <vt:i4>5</vt:i4>
      </vt:variant>
      <vt:variant>
        <vt:lpwstr>http://www.nevo.co.il/law/70301/384</vt:lpwstr>
      </vt:variant>
      <vt:variant>
        <vt:lpwstr/>
      </vt:variant>
      <vt:variant>
        <vt:i4>7995492</vt:i4>
      </vt:variant>
      <vt:variant>
        <vt:i4>12</vt:i4>
      </vt:variant>
      <vt:variant>
        <vt:i4>0</vt:i4>
      </vt:variant>
      <vt:variant>
        <vt:i4>5</vt:i4>
      </vt:variant>
      <vt:variant>
        <vt:lpwstr>http://www.nevo.co.il/law/70301</vt:lpwstr>
      </vt:variant>
      <vt:variant>
        <vt:lpwstr/>
      </vt:variant>
      <vt:variant>
        <vt:i4>4915287</vt:i4>
      </vt:variant>
      <vt:variant>
        <vt:i4>9</vt:i4>
      </vt:variant>
      <vt:variant>
        <vt:i4>0</vt:i4>
      </vt:variant>
      <vt:variant>
        <vt:i4>5</vt:i4>
      </vt:variant>
      <vt:variant>
        <vt:lpwstr>http://www.nevo.co.il/law/70301/406.b</vt:lpwstr>
      </vt:variant>
      <vt:variant>
        <vt:lpwstr/>
      </vt:variant>
      <vt:variant>
        <vt:i4>4915287</vt:i4>
      </vt:variant>
      <vt:variant>
        <vt:i4>6</vt:i4>
      </vt:variant>
      <vt:variant>
        <vt:i4>0</vt:i4>
      </vt:variant>
      <vt:variant>
        <vt:i4>5</vt:i4>
      </vt:variant>
      <vt:variant>
        <vt:lpwstr>http://www.nevo.co.il/law/70301/406.b</vt:lpwstr>
      </vt:variant>
      <vt:variant>
        <vt:lpwstr/>
      </vt:variant>
      <vt:variant>
        <vt:i4>7143526</vt:i4>
      </vt:variant>
      <vt:variant>
        <vt:i4>3</vt:i4>
      </vt:variant>
      <vt:variant>
        <vt:i4>0</vt:i4>
      </vt:variant>
      <vt:variant>
        <vt:i4>5</vt:i4>
      </vt:variant>
      <vt:variant>
        <vt:lpwstr>http://www.nevo.co.il/law/70301/384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2025-04-22T21:37:00Z</dcterms:created>
  <dcterms:modified xsi:type="dcterms:W3CDTF">2025-04-22T21:37:00Z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49367</vt:lpwstr>
  </property>
  <property fmtid="{D5CDD505-2E9C-101B-9397-08002B2CF9AE}" pid="6" name="NEWPARTB">
    <vt:lpwstr>12</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סטניסלב קזקוב  </vt:lpwstr>
  </property>
  <property fmtid="{D5CDD505-2E9C-101B-9397-08002B2CF9AE}" pid="10" name="LAWYER">
    <vt:lpwstr>אילנית נחום;בנימין ניומן ממשרד ישר יעקובי</vt:lpwstr>
  </property>
  <property fmtid="{D5CDD505-2E9C-101B-9397-08002B2CF9AE}" pid="11" name="JUDGE">
    <vt:lpwstr>יעל פרדלסקי</vt:lpwstr>
  </property>
  <property fmtid="{D5CDD505-2E9C-101B-9397-08002B2CF9AE}" pid="12" name="CITY">
    <vt:lpwstr>ת"א</vt:lpwstr>
  </property>
  <property fmtid="{D5CDD505-2E9C-101B-9397-08002B2CF9AE}" pid="13" name="DATE">
    <vt:lpwstr>20170627</vt:lpwstr>
  </property>
  <property fmtid="{D5CDD505-2E9C-101B-9397-08002B2CF9AE}" pid="14" name="TYPE_N_DATE">
    <vt:lpwstr>38020170627</vt:lpwstr>
  </property>
  <property fmtid="{D5CDD505-2E9C-101B-9397-08002B2CF9AE}" pid="15" name="WORDNUMPAGES">
    <vt:lpwstr>6</vt:lpwstr>
  </property>
  <property fmtid="{D5CDD505-2E9C-101B-9397-08002B2CF9AE}" pid="16" name="TYPE_ABS_DATE">
    <vt:lpwstr>380020170627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5058787;11206360:2;5786637;10490259;10459128</vt:lpwstr>
  </property>
  <property fmtid="{D5CDD505-2E9C-101B-9397-08002B2CF9AE}" pid="36" name="LAWLISTTMP1">
    <vt:lpwstr>70301/406.b;384</vt:lpwstr>
  </property>
</Properties>
</file>