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A6902" w:rsidRPr="0026269B" w14:paraId="29299395" w14:textId="77777777">
        <w:trPr>
          <w:trHeight w:hRule="exact" w:val="418"/>
          <w:jc w:val="center"/>
        </w:trPr>
        <w:tc>
          <w:tcPr>
            <w:tcW w:w="8721" w:type="dxa"/>
            <w:gridSpan w:val="2"/>
          </w:tcPr>
          <w:p w14:paraId="6BA16195" w14:textId="77777777" w:rsidR="009A6902" w:rsidRPr="0026269B" w:rsidRDefault="0026269B">
            <w:pPr>
              <w:pStyle w:val="a3"/>
              <w:jc w:val="center"/>
              <w:rPr>
                <w:rFonts w:ascii="Tahoma" w:hAnsi="Tahoma" w:cs="Tahoma"/>
                <w:color w:val="000080"/>
                <w:rtl/>
              </w:rPr>
            </w:pPr>
            <w:bookmarkStart w:id="0" w:name="FirstLawyer"/>
            <w:bookmarkStart w:id="1" w:name="LastJudge"/>
            <w:r w:rsidRPr="0026269B">
              <w:rPr>
                <w:rFonts w:ascii="Tahoma" w:hAnsi="Tahoma" w:cs="Tahoma"/>
                <w:b/>
                <w:bCs/>
                <w:color w:val="000080"/>
                <w:rtl/>
              </w:rPr>
              <w:t>בית משפט השלום בתל אביב - יפו</w:t>
            </w:r>
          </w:p>
        </w:tc>
      </w:tr>
      <w:tr w:rsidR="009A6902" w:rsidRPr="0026269B" w14:paraId="0C02B55E" w14:textId="77777777">
        <w:trPr>
          <w:trHeight w:val="337"/>
          <w:jc w:val="center"/>
        </w:trPr>
        <w:tc>
          <w:tcPr>
            <w:tcW w:w="5054" w:type="dxa"/>
          </w:tcPr>
          <w:p w14:paraId="3B0F77BF" w14:textId="77777777" w:rsidR="009A6902" w:rsidRPr="0026269B" w:rsidRDefault="0026269B">
            <w:pPr>
              <w:rPr>
                <w:rFonts w:cs="FrankRuehl"/>
                <w:sz w:val="28"/>
                <w:szCs w:val="28"/>
                <w:rtl/>
              </w:rPr>
            </w:pPr>
            <w:r w:rsidRPr="0026269B">
              <w:rPr>
                <w:rFonts w:cs="FrankRuehl"/>
                <w:sz w:val="28"/>
                <w:szCs w:val="28"/>
                <w:rtl/>
              </w:rPr>
              <w:t>ת"פ</w:t>
            </w:r>
            <w:r w:rsidRPr="0026269B">
              <w:rPr>
                <w:rFonts w:cs="FrankRuehl" w:hint="cs"/>
                <w:sz w:val="28"/>
                <w:szCs w:val="28"/>
                <w:rtl/>
              </w:rPr>
              <w:t xml:space="preserve"> </w:t>
            </w:r>
            <w:r w:rsidRPr="0026269B">
              <w:rPr>
                <w:rFonts w:cs="FrankRuehl"/>
                <w:sz w:val="28"/>
                <w:szCs w:val="28"/>
                <w:rtl/>
              </w:rPr>
              <w:t>18193-01-11</w:t>
            </w:r>
            <w:r w:rsidRPr="0026269B">
              <w:rPr>
                <w:rFonts w:cs="FrankRuehl" w:hint="cs"/>
                <w:sz w:val="28"/>
                <w:szCs w:val="28"/>
                <w:rtl/>
              </w:rPr>
              <w:t xml:space="preserve"> </w:t>
            </w:r>
            <w:r w:rsidRPr="0026269B">
              <w:rPr>
                <w:rFonts w:cs="FrankRuehl"/>
                <w:sz w:val="28"/>
                <w:szCs w:val="28"/>
                <w:rtl/>
              </w:rPr>
              <w:t>מדינת ישראל נ' כהן</w:t>
            </w:r>
          </w:p>
          <w:p w14:paraId="5B71B234" w14:textId="77777777" w:rsidR="009A6902" w:rsidRPr="0026269B" w:rsidRDefault="009A6902">
            <w:pPr>
              <w:pStyle w:val="a3"/>
              <w:rPr>
                <w:rFonts w:cs="FrankRuehl"/>
                <w:sz w:val="28"/>
                <w:szCs w:val="28"/>
                <w:rtl/>
              </w:rPr>
            </w:pPr>
          </w:p>
        </w:tc>
        <w:tc>
          <w:tcPr>
            <w:tcW w:w="3667" w:type="dxa"/>
          </w:tcPr>
          <w:p w14:paraId="33CE4A3C" w14:textId="77777777" w:rsidR="009A6902" w:rsidRPr="0026269B" w:rsidRDefault="009A6902">
            <w:pPr>
              <w:pStyle w:val="a3"/>
              <w:jc w:val="right"/>
              <w:rPr>
                <w:rFonts w:cs="FrankRuehl"/>
                <w:sz w:val="28"/>
                <w:szCs w:val="28"/>
                <w:rtl/>
              </w:rPr>
            </w:pPr>
          </w:p>
        </w:tc>
      </w:tr>
    </w:tbl>
    <w:p w14:paraId="5EF49B42" w14:textId="77777777" w:rsidR="009A6902" w:rsidRPr="0026269B" w:rsidRDefault="0026269B" w:rsidP="00E221A8">
      <w:pPr>
        <w:pStyle w:val="a3"/>
        <w:rPr>
          <w:rtl/>
        </w:rPr>
      </w:pPr>
      <w:r w:rsidRPr="0026269B">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A6902" w:rsidRPr="0026269B" w14:paraId="6D3A9F3D" w14:textId="77777777">
        <w:trPr>
          <w:trHeight w:val="295"/>
          <w:jc w:val="center"/>
        </w:trPr>
        <w:tc>
          <w:tcPr>
            <w:tcW w:w="923" w:type="dxa"/>
            <w:tcBorders>
              <w:top w:val="nil"/>
              <w:left w:val="nil"/>
              <w:bottom w:val="nil"/>
              <w:right w:val="nil"/>
            </w:tcBorders>
          </w:tcPr>
          <w:p w14:paraId="68F51116" w14:textId="77777777" w:rsidR="009A6902" w:rsidRPr="0026269B" w:rsidRDefault="0026269B">
            <w:pPr>
              <w:jc w:val="both"/>
              <w:rPr>
                <w:rFonts w:ascii="Arial" w:hAnsi="Arial"/>
                <w:b/>
                <w:bCs/>
                <w:sz w:val="26"/>
                <w:szCs w:val="26"/>
              </w:rPr>
            </w:pPr>
            <w:r w:rsidRPr="0026269B">
              <w:rPr>
                <w:rFonts w:ascii="Arial" w:hAnsi="Arial" w:hint="cs"/>
                <w:b/>
                <w:bCs/>
                <w:sz w:val="26"/>
                <w:szCs w:val="26"/>
                <w:rtl/>
              </w:rPr>
              <w:t>ב</w:t>
            </w:r>
            <w:r w:rsidRPr="0026269B">
              <w:rPr>
                <w:rFonts w:ascii="Arial" w:hAnsi="Arial"/>
                <w:b/>
                <w:bCs/>
                <w:sz w:val="26"/>
                <w:szCs w:val="26"/>
                <w:rtl/>
              </w:rPr>
              <w:t xml:space="preserve">פני </w:t>
            </w:r>
          </w:p>
        </w:tc>
        <w:tc>
          <w:tcPr>
            <w:tcW w:w="7897" w:type="dxa"/>
            <w:gridSpan w:val="2"/>
            <w:tcBorders>
              <w:top w:val="nil"/>
              <w:left w:val="nil"/>
              <w:bottom w:val="nil"/>
              <w:right w:val="nil"/>
            </w:tcBorders>
          </w:tcPr>
          <w:p w14:paraId="1C9D583B" w14:textId="77777777" w:rsidR="009A6902" w:rsidRPr="0026269B" w:rsidRDefault="0026269B" w:rsidP="00E221A8">
            <w:pPr>
              <w:rPr>
                <w:b/>
                <w:bCs/>
                <w:sz w:val="26"/>
                <w:szCs w:val="26"/>
                <w:rtl/>
              </w:rPr>
            </w:pPr>
            <w:r w:rsidRPr="0026269B">
              <w:rPr>
                <w:rFonts w:ascii="Arial" w:hAnsi="Arial" w:hint="cs"/>
                <w:b/>
                <w:bCs/>
                <w:sz w:val="26"/>
                <w:szCs w:val="26"/>
                <w:rtl/>
              </w:rPr>
              <w:t>כב' ה</w:t>
            </w:r>
            <w:r w:rsidRPr="0026269B">
              <w:rPr>
                <w:rFonts w:hint="cs"/>
                <w:b/>
                <w:bCs/>
                <w:sz w:val="26"/>
                <w:szCs w:val="26"/>
                <w:rtl/>
              </w:rPr>
              <w:t>שופט</w:t>
            </w:r>
            <w:r w:rsidRPr="0026269B">
              <w:rPr>
                <w:rFonts w:ascii="Arial" w:hAnsi="Arial" w:hint="cs"/>
                <w:b/>
                <w:bCs/>
                <w:sz w:val="26"/>
                <w:szCs w:val="26"/>
                <w:rtl/>
              </w:rPr>
              <w:t xml:space="preserve">  </w:t>
            </w:r>
            <w:r w:rsidRPr="0026269B">
              <w:rPr>
                <w:rFonts w:hint="cs"/>
                <w:b/>
                <w:bCs/>
                <w:sz w:val="26"/>
                <w:szCs w:val="26"/>
                <w:rtl/>
              </w:rPr>
              <w:t>עידו דרויאן</w:t>
            </w:r>
          </w:p>
          <w:p w14:paraId="5B4E7DBD" w14:textId="77777777" w:rsidR="009A6902" w:rsidRPr="0026269B" w:rsidRDefault="009A6902">
            <w:pPr>
              <w:jc w:val="both"/>
              <w:rPr>
                <w:rFonts w:ascii="Arial" w:hAnsi="Arial"/>
                <w:b/>
                <w:bCs/>
                <w:sz w:val="26"/>
                <w:szCs w:val="26"/>
              </w:rPr>
            </w:pPr>
          </w:p>
        </w:tc>
      </w:tr>
      <w:tr w:rsidR="009A6902" w:rsidRPr="0026269B" w14:paraId="2CFF1A0A" w14:textId="77777777">
        <w:trPr>
          <w:trHeight w:val="355"/>
          <w:jc w:val="center"/>
        </w:trPr>
        <w:tc>
          <w:tcPr>
            <w:tcW w:w="923" w:type="dxa"/>
            <w:tcBorders>
              <w:top w:val="nil"/>
              <w:left w:val="nil"/>
              <w:bottom w:val="nil"/>
              <w:right w:val="nil"/>
            </w:tcBorders>
          </w:tcPr>
          <w:p w14:paraId="7CFBD05B" w14:textId="77777777" w:rsidR="009A6902" w:rsidRPr="0026269B" w:rsidRDefault="009A6902">
            <w:pPr>
              <w:jc w:val="both"/>
              <w:rPr>
                <w:rFonts w:ascii="Arial" w:hAnsi="Arial"/>
                <w:b/>
                <w:bCs/>
                <w:sz w:val="26"/>
                <w:szCs w:val="26"/>
              </w:rPr>
            </w:pPr>
          </w:p>
        </w:tc>
        <w:tc>
          <w:tcPr>
            <w:tcW w:w="4126" w:type="dxa"/>
            <w:tcBorders>
              <w:top w:val="nil"/>
              <w:left w:val="nil"/>
              <w:bottom w:val="nil"/>
              <w:right w:val="nil"/>
            </w:tcBorders>
          </w:tcPr>
          <w:p w14:paraId="63753429" w14:textId="77777777" w:rsidR="009A6902" w:rsidRPr="0026269B" w:rsidRDefault="0026269B">
            <w:pPr>
              <w:rPr>
                <w:b/>
                <w:bCs/>
                <w:sz w:val="26"/>
                <w:szCs w:val="26"/>
              </w:rPr>
            </w:pPr>
            <w:r w:rsidRPr="0026269B">
              <w:rPr>
                <w:rFonts w:hint="cs"/>
                <w:b/>
                <w:bCs/>
                <w:sz w:val="26"/>
                <w:szCs w:val="26"/>
                <w:rtl/>
              </w:rPr>
              <w:t>מדינת ישראל</w:t>
            </w:r>
            <w:r w:rsidRPr="0026269B">
              <w:rPr>
                <w:rFonts w:hint="cs"/>
                <w:b/>
                <w:bCs/>
                <w:sz w:val="26"/>
                <w:szCs w:val="26"/>
                <w:rtl/>
              </w:rPr>
              <w:br/>
              <w:t>ע"י ב"כ עו"ד נאוה זרנגר</w:t>
            </w:r>
          </w:p>
        </w:tc>
        <w:tc>
          <w:tcPr>
            <w:tcW w:w="3771" w:type="dxa"/>
            <w:tcBorders>
              <w:top w:val="nil"/>
              <w:left w:val="nil"/>
              <w:bottom w:val="nil"/>
              <w:right w:val="nil"/>
            </w:tcBorders>
          </w:tcPr>
          <w:p w14:paraId="225EE189" w14:textId="77777777" w:rsidR="009A6902" w:rsidRPr="0026269B" w:rsidRDefault="009A6902">
            <w:pPr>
              <w:jc w:val="both"/>
              <w:rPr>
                <w:rFonts w:ascii="Arial" w:hAnsi="Arial"/>
                <w:b/>
                <w:bCs/>
                <w:sz w:val="26"/>
                <w:szCs w:val="26"/>
              </w:rPr>
            </w:pPr>
          </w:p>
        </w:tc>
      </w:tr>
      <w:tr w:rsidR="009A6902" w:rsidRPr="0026269B" w14:paraId="2F19BE8D" w14:textId="77777777">
        <w:trPr>
          <w:trHeight w:val="355"/>
          <w:jc w:val="center"/>
        </w:trPr>
        <w:tc>
          <w:tcPr>
            <w:tcW w:w="923" w:type="dxa"/>
            <w:tcBorders>
              <w:top w:val="nil"/>
              <w:left w:val="nil"/>
              <w:bottom w:val="nil"/>
              <w:right w:val="nil"/>
            </w:tcBorders>
          </w:tcPr>
          <w:p w14:paraId="5196C03B" w14:textId="77777777" w:rsidR="009A6902" w:rsidRPr="0026269B" w:rsidRDefault="009A6902">
            <w:pPr>
              <w:jc w:val="both"/>
              <w:rPr>
                <w:rFonts w:ascii="Arial" w:hAnsi="Arial"/>
                <w:b/>
                <w:bCs/>
                <w:sz w:val="26"/>
                <w:szCs w:val="26"/>
                <w:rtl/>
              </w:rPr>
            </w:pPr>
            <w:bookmarkStart w:id="2" w:name="FirstAppellant" w:colFirst="0" w:colLast="1"/>
          </w:p>
        </w:tc>
        <w:tc>
          <w:tcPr>
            <w:tcW w:w="4126" w:type="dxa"/>
            <w:tcBorders>
              <w:top w:val="nil"/>
              <w:left w:val="nil"/>
              <w:bottom w:val="nil"/>
              <w:right w:val="nil"/>
            </w:tcBorders>
          </w:tcPr>
          <w:p w14:paraId="1F598608" w14:textId="77777777" w:rsidR="009A6902" w:rsidRPr="0026269B" w:rsidRDefault="009A6902">
            <w:pPr>
              <w:jc w:val="both"/>
              <w:rPr>
                <w:b/>
                <w:bCs/>
                <w:sz w:val="26"/>
                <w:szCs w:val="26"/>
                <w:rtl/>
              </w:rPr>
            </w:pPr>
          </w:p>
        </w:tc>
        <w:tc>
          <w:tcPr>
            <w:tcW w:w="3771" w:type="dxa"/>
            <w:tcBorders>
              <w:top w:val="nil"/>
              <w:left w:val="nil"/>
              <w:bottom w:val="nil"/>
              <w:right w:val="nil"/>
            </w:tcBorders>
          </w:tcPr>
          <w:p w14:paraId="48779847" w14:textId="77777777" w:rsidR="009A6902" w:rsidRPr="0026269B" w:rsidRDefault="0026269B">
            <w:pPr>
              <w:jc w:val="right"/>
              <w:rPr>
                <w:rFonts w:ascii="Arial" w:hAnsi="Arial"/>
                <w:b/>
                <w:bCs/>
                <w:sz w:val="26"/>
                <w:szCs w:val="26"/>
                <w:rtl/>
              </w:rPr>
            </w:pPr>
            <w:r w:rsidRPr="0026269B">
              <w:rPr>
                <w:rFonts w:ascii="Arial" w:hAnsi="Arial" w:hint="cs"/>
                <w:b/>
                <w:bCs/>
                <w:sz w:val="26"/>
                <w:szCs w:val="26"/>
                <w:rtl/>
              </w:rPr>
              <w:t>ה</w:t>
            </w:r>
            <w:r w:rsidRPr="0026269B">
              <w:rPr>
                <w:rFonts w:hint="cs"/>
                <w:b/>
                <w:bCs/>
                <w:sz w:val="26"/>
                <w:szCs w:val="26"/>
                <w:rtl/>
              </w:rPr>
              <w:t>מאשימה</w:t>
            </w:r>
          </w:p>
        </w:tc>
      </w:tr>
      <w:tr w:rsidR="009A6902" w:rsidRPr="0026269B" w14:paraId="17312DDA" w14:textId="77777777">
        <w:trPr>
          <w:trHeight w:val="355"/>
          <w:jc w:val="center"/>
        </w:trPr>
        <w:tc>
          <w:tcPr>
            <w:tcW w:w="923" w:type="dxa"/>
            <w:tcBorders>
              <w:top w:val="nil"/>
              <w:left w:val="nil"/>
              <w:bottom w:val="nil"/>
              <w:right w:val="nil"/>
            </w:tcBorders>
          </w:tcPr>
          <w:p w14:paraId="09AFEA23" w14:textId="77777777" w:rsidR="009A6902" w:rsidRPr="0026269B" w:rsidRDefault="009A6902">
            <w:pPr>
              <w:jc w:val="both"/>
              <w:rPr>
                <w:rFonts w:ascii="Arial" w:hAnsi="Arial"/>
                <w:b/>
                <w:bCs/>
                <w:sz w:val="26"/>
                <w:szCs w:val="26"/>
                <w:rtl/>
              </w:rPr>
            </w:pPr>
          </w:p>
        </w:tc>
        <w:tc>
          <w:tcPr>
            <w:tcW w:w="7897" w:type="dxa"/>
            <w:gridSpan w:val="2"/>
            <w:tcBorders>
              <w:top w:val="nil"/>
              <w:left w:val="nil"/>
              <w:bottom w:val="nil"/>
              <w:right w:val="nil"/>
            </w:tcBorders>
          </w:tcPr>
          <w:p w14:paraId="3CB5FC0F" w14:textId="77777777" w:rsidR="009A6902" w:rsidRPr="0026269B" w:rsidRDefault="009A6902">
            <w:pPr>
              <w:jc w:val="center"/>
              <w:rPr>
                <w:rFonts w:ascii="Arial" w:hAnsi="Arial"/>
                <w:b/>
                <w:bCs/>
                <w:sz w:val="26"/>
                <w:szCs w:val="26"/>
                <w:rtl/>
              </w:rPr>
            </w:pPr>
          </w:p>
          <w:p w14:paraId="2C939FE5" w14:textId="77777777" w:rsidR="009A6902" w:rsidRPr="0026269B" w:rsidRDefault="0026269B">
            <w:pPr>
              <w:jc w:val="center"/>
              <w:rPr>
                <w:rFonts w:ascii="Arial" w:hAnsi="Arial"/>
                <w:b/>
                <w:bCs/>
                <w:sz w:val="26"/>
                <w:szCs w:val="26"/>
                <w:rtl/>
              </w:rPr>
            </w:pPr>
            <w:r w:rsidRPr="0026269B">
              <w:rPr>
                <w:rFonts w:ascii="Arial" w:hAnsi="Arial"/>
                <w:b/>
                <w:bCs/>
                <w:sz w:val="26"/>
                <w:szCs w:val="26"/>
                <w:rtl/>
              </w:rPr>
              <w:t>נגד</w:t>
            </w:r>
          </w:p>
          <w:p w14:paraId="3669E2DE" w14:textId="77777777" w:rsidR="009A6902" w:rsidRPr="0026269B" w:rsidRDefault="009A6902">
            <w:pPr>
              <w:jc w:val="both"/>
              <w:rPr>
                <w:rFonts w:ascii="Arial" w:hAnsi="Arial"/>
                <w:b/>
                <w:bCs/>
                <w:sz w:val="26"/>
                <w:szCs w:val="26"/>
              </w:rPr>
            </w:pPr>
          </w:p>
        </w:tc>
      </w:tr>
      <w:bookmarkEnd w:id="2"/>
      <w:tr w:rsidR="009A6902" w:rsidRPr="0026269B" w14:paraId="3626415A" w14:textId="77777777">
        <w:trPr>
          <w:trHeight w:val="355"/>
          <w:jc w:val="center"/>
        </w:trPr>
        <w:tc>
          <w:tcPr>
            <w:tcW w:w="923" w:type="dxa"/>
            <w:tcBorders>
              <w:top w:val="nil"/>
              <w:left w:val="nil"/>
              <w:bottom w:val="nil"/>
              <w:right w:val="nil"/>
            </w:tcBorders>
          </w:tcPr>
          <w:p w14:paraId="54B8B772" w14:textId="77777777" w:rsidR="009A6902" w:rsidRPr="0026269B" w:rsidRDefault="009A6902">
            <w:pPr>
              <w:rPr>
                <w:rFonts w:ascii="Arial" w:hAnsi="Arial"/>
                <w:b/>
                <w:bCs/>
                <w:sz w:val="26"/>
                <w:szCs w:val="26"/>
                <w:rtl/>
              </w:rPr>
            </w:pPr>
          </w:p>
        </w:tc>
        <w:tc>
          <w:tcPr>
            <w:tcW w:w="4126" w:type="dxa"/>
            <w:tcBorders>
              <w:top w:val="nil"/>
              <w:left w:val="nil"/>
              <w:bottom w:val="nil"/>
              <w:right w:val="nil"/>
            </w:tcBorders>
          </w:tcPr>
          <w:p w14:paraId="4D62738B" w14:textId="77777777" w:rsidR="009A6902" w:rsidRPr="0026269B" w:rsidRDefault="0026269B">
            <w:pPr>
              <w:rPr>
                <w:b/>
                <w:bCs/>
                <w:sz w:val="26"/>
                <w:szCs w:val="26"/>
                <w:rtl/>
              </w:rPr>
            </w:pPr>
            <w:r w:rsidRPr="0026269B">
              <w:rPr>
                <w:rFonts w:hint="cs"/>
                <w:b/>
                <w:bCs/>
                <w:sz w:val="26"/>
                <w:szCs w:val="26"/>
                <w:rtl/>
              </w:rPr>
              <w:t>יעקב קובי כהן</w:t>
            </w:r>
          </w:p>
        </w:tc>
        <w:tc>
          <w:tcPr>
            <w:tcW w:w="3771" w:type="dxa"/>
            <w:tcBorders>
              <w:top w:val="nil"/>
              <w:left w:val="nil"/>
              <w:bottom w:val="nil"/>
              <w:right w:val="nil"/>
            </w:tcBorders>
          </w:tcPr>
          <w:p w14:paraId="54F7813F" w14:textId="77777777" w:rsidR="009A6902" w:rsidRPr="0026269B" w:rsidRDefault="009A6902">
            <w:pPr>
              <w:jc w:val="right"/>
              <w:rPr>
                <w:rFonts w:ascii="Arial" w:hAnsi="Arial"/>
                <w:b/>
                <w:bCs/>
                <w:sz w:val="26"/>
                <w:szCs w:val="26"/>
              </w:rPr>
            </w:pPr>
          </w:p>
        </w:tc>
      </w:tr>
      <w:tr w:rsidR="009A6902" w:rsidRPr="0026269B" w14:paraId="4E992B9E" w14:textId="77777777">
        <w:trPr>
          <w:trHeight w:val="355"/>
          <w:jc w:val="center"/>
        </w:trPr>
        <w:tc>
          <w:tcPr>
            <w:tcW w:w="923" w:type="dxa"/>
            <w:tcBorders>
              <w:top w:val="nil"/>
              <w:left w:val="nil"/>
              <w:bottom w:val="nil"/>
              <w:right w:val="nil"/>
            </w:tcBorders>
          </w:tcPr>
          <w:p w14:paraId="74A5F003" w14:textId="77777777" w:rsidR="009A6902" w:rsidRPr="0026269B" w:rsidRDefault="009A6902">
            <w:pPr>
              <w:jc w:val="both"/>
              <w:rPr>
                <w:rFonts w:ascii="Arial" w:hAnsi="Arial"/>
                <w:b/>
                <w:bCs/>
                <w:sz w:val="26"/>
                <w:szCs w:val="26"/>
                <w:rtl/>
              </w:rPr>
            </w:pPr>
          </w:p>
        </w:tc>
        <w:tc>
          <w:tcPr>
            <w:tcW w:w="4126" w:type="dxa"/>
            <w:tcBorders>
              <w:top w:val="nil"/>
              <w:left w:val="nil"/>
              <w:bottom w:val="nil"/>
              <w:right w:val="nil"/>
            </w:tcBorders>
          </w:tcPr>
          <w:p w14:paraId="1CF58686" w14:textId="77777777" w:rsidR="009A6902" w:rsidRPr="0026269B" w:rsidRDefault="0026269B">
            <w:pPr>
              <w:jc w:val="both"/>
              <w:rPr>
                <w:b/>
                <w:bCs/>
                <w:sz w:val="26"/>
                <w:szCs w:val="26"/>
                <w:rtl/>
              </w:rPr>
            </w:pPr>
            <w:r w:rsidRPr="0026269B">
              <w:rPr>
                <w:rFonts w:hint="cs"/>
                <w:b/>
                <w:bCs/>
                <w:sz w:val="26"/>
                <w:szCs w:val="26"/>
                <w:rtl/>
              </w:rPr>
              <w:t>ע"י ב"כ עו"ד עזריה זמיר</w:t>
            </w:r>
          </w:p>
        </w:tc>
        <w:tc>
          <w:tcPr>
            <w:tcW w:w="3771" w:type="dxa"/>
            <w:tcBorders>
              <w:top w:val="nil"/>
              <w:left w:val="nil"/>
              <w:bottom w:val="nil"/>
              <w:right w:val="nil"/>
            </w:tcBorders>
          </w:tcPr>
          <w:p w14:paraId="123677A8" w14:textId="77777777" w:rsidR="009A6902" w:rsidRPr="0026269B" w:rsidRDefault="0026269B">
            <w:pPr>
              <w:jc w:val="right"/>
              <w:rPr>
                <w:rFonts w:ascii="Arial" w:hAnsi="Arial"/>
                <w:b/>
                <w:bCs/>
                <w:sz w:val="26"/>
                <w:szCs w:val="26"/>
              </w:rPr>
            </w:pPr>
            <w:r w:rsidRPr="0026269B">
              <w:rPr>
                <w:rFonts w:ascii="Arial" w:hAnsi="Arial" w:hint="cs"/>
                <w:b/>
                <w:bCs/>
                <w:sz w:val="26"/>
                <w:szCs w:val="26"/>
                <w:rtl/>
              </w:rPr>
              <w:t>ה</w:t>
            </w:r>
            <w:r w:rsidRPr="0026269B">
              <w:rPr>
                <w:rFonts w:hint="cs"/>
                <w:b/>
                <w:bCs/>
                <w:sz w:val="26"/>
                <w:szCs w:val="26"/>
                <w:rtl/>
              </w:rPr>
              <w:t>נאשמים</w:t>
            </w:r>
          </w:p>
        </w:tc>
      </w:tr>
    </w:tbl>
    <w:p w14:paraId="652B2017" w14:textId="77777777" w:rsidR="003B0BD8" w:rsidRDefault="003B0BD8">
      <w:pPr>
        <w:rPr>
          <w:rtl/>
        </w:rPr>
      </w:pPr>
      <w:bookmarkStart w:id="3" w:name="LawTable"/>
      <w:bookmarkEnd w:id="3"/>
    </w:p>
    <w:p w14:paraId="427B0E70" w14:textId="77777777" w:rsidR="003B0BD8" w:rsidRPr="003B0BD8" w:rsidRDefault="003B0BD8" w:rsidP="003B0BD8">
      <w:pPr>
        <w:spacing w:after="120" w:line="240" w:lineRule="exact"/>
        <w:ind w:left="283" w:hanging="283"/>
        <w:jc w:val="both"/>
        <w:rPr>
          <w:rFonts w:ascii="FrankRuehl" w:hAnsi="FrankRuehl" w:cs="FrankRuehl"/>
          <w:rtl/>
        </w:rPr>
      </w:pPr>
    </w:p>
    <w:p w14:paraId="05E5B0BD" w14:textId="77777777" w:rsidR="003B0BD8" w:rsidRPr="003B0BD8" w:rsidRDefault="003B0BD8" w:rsidP="003B0BD8">
      <w:pPr>
        <w:spacing w:after="120" w:line="240" w:lineRule="exact"/>
        <w:ind w:left="283" w:hanging="283"/>
        <w:jc w:val="both"/>
        <w:rPr>
          <w:rFonts w:ascii="FrankRuehl" w:hAnsi="FrankRuehl" w:cs="FrankRuehl"/>
          <w:rtl/>
        </w:rPr>
      </w:pPr>
      <w:r w:rsidRPr="003B0BD8">
        <w:rPr>
          <w:rFonts w:ascii="FrankRuehl" w:hAnsi="FrankRuehl" w:cs="FrankRuehl"/>
          <w:rtl/>
        </w:rPr>
        <w:t xml:space="preserve">חקיקה שאוזכרה: </w:t>
      </w:r>
    </w:p>
    <w:p w14:paraId="57B9F22A" w14:textId="77777777" w:rsidR="003B0BD8" w:rsidRPr="003B0BD8" w:rsidRDefault="003B0BD8" w:rsidP="003B0BD8">
      <w:pPr>
        <w:spacing w:after="120" w:line="240" w:lineRule="exact"/>
        <w:ind w:left="283" w:hanging="283"/>
        <w:jc w:val="both"/>
        <w:rPr>
          <w:rFonts w:ascii="FrankRuehl" w:hAnsi="FrankRuehl" w:cs="FrankRuehl"/>
          <w:rtl/>
        </w:rPr>
      </w:pPr>
      <w:hyperlink r:id="rId7" w:history="1">
        <w:r w:rsidRPr="003B0BD8">
          <w:rPr>
            <w:rFonts w:ascii="FrankRuehl" w:hAnsi="FrankRuehl" w:cs="FrankRuehl"/>
            <w:color w:val="0000FF"/>
            <w:u w:val="single"/>
            <w:rtl/>
          </w:rPr>
          <w:t>חוק העונשין, תשל"ז-1977</w:t>
        </w:r>
      </w:hyperlink>
      <w:r w:rsidRPr="003B0BD8">
        <w:rPr>
          <w:rFonts w:ascii="FrankRuehl" w:hAnsi="FrankRuehl" w:cs="FrankRuehl"/>
          <w:rtl/>
        </w:rPr>
        <w:t xml:space="preserve">: סע'  </w:t>
      </w:r>
      <w:hyperlink r:id="rId8" w:history="1">
        <w:r w:rsidRPr="003B0BD8">
          <w:rPr>
            <w:rFonts w:ascii="FrankRuehl" w:hAnsi="FrankRuehl" w:cs="FrankRuehl"/>
            <w:color w:val="0000FF"/>
            <w:u w:val="single"/>
            <w:rtl/>
          </w:rPr>
          <w:t>40ג(ב)</w:t>
        </w:r>
      </w:hyperlink>
      <w:r w:rsidRPr="003B0BD8">
        <w:rPr>
          <w:rFonts w:ascii="FrankRuehl" w:hAnsi="FrankRuehl" w:cs="FrankRuehl"/>
          <w:rtl/>
        </w:rPr>
        <w:t xml:space="preserve">, </w:t>
      </w:r>
      <w:hyperlink r:id="rId9" w:history="1">
        <w:r w:rsidRPr="003B0BD8">
          <w:rPr>
            <w:rFonts w:ascii="FrankRuehl" w:hAnsi="FrankRuehl" w:cs="FrankRuehl"/>
            <w:color w:val="0000FF"/>
            <w:u w:val="single"/>
            <w:rtl/>
          </w:rPr>
          <w:t>192</w:t>
        </w:r>
      </w:hyperlink>
      <w:r w:rsidRPr="003B0BD8">
        <w:rPr>
          <w:rFonts w:ascii="FrankRuehl" w:hAnsi="FrankRuehl" w:cs="FrankRuehl"/>
          <w:rtl/>
        </w:rPr>
        <w:t xml:space="preserve">, </w:t>
      </w:r>
      <w:hyperlink r:id="rId10" w:history="1">
        <w:r w:rsidRPr="003B0BD8">
          <w:rPr>
            <w:rFonts w:ascii="FrankRuehl" w:hAnsi="FrankRuehl" w:cs="FrankRuehl"/>
            <w:color w:val="0000FF"/>
            <w:u w:val="single"/>
            <w:rtl/>
          </w:rPr>
          <w:t>244</w:t>
        </w:r>
      </w:hyperlink>
      <w:r w:rsidRPr="003B0BD8">
        <w:rPr>
          <w:rFonts w:ascii="FrankRuehl" w:hAnsi="FrankRuehl" w:cs="FrankRuehl"/>
          <w:rtl/>
        </w:rPr>
        <w:t xml:space="preserve">, </w:t>
      </w:r>
      <w:hyperlink r:id="rId11" w:history="1">
        <w:r w:rsidRPr="003B0BD8">
          <w:rPr>
            <w:rFonts w:ascii="FrankRuehl" w:hAnsi="FrankRuehl" w:cs="FrankRuehl"/>
            <w:color w:val="0000FF"/>
            <w:u w:val="single"/>
            <w:rtl/>
          </w:rPr>
          <w:t>287(א)</w:t>
        </w:r>
      </w:hyperlink>
      <w:r w:rsidRPr="003B0BD8">
        <w:rPr>
          <w:rFonts w:ascii="FrankRuehl" w:hAnsi="FrankRuehl" w:cs="FrankRuehl"/>
          <w:rtl/>
        </w:rPr>
        <w:t xml:space="preserve">, </w:t>
      </w:r>
      <w:hyperlink r:id="rId12" w:history="1">
        <w:r w:rsidRPr="003B0BD8">
          <w:rPr>
            <w:rFonts w:ascii="FrankRuehl" w:hAnsi="FrankRuehl" w:cs="FrankRuehl"/>
            <w:color w:val="0000FF"/>
            <w:u w:val="single"/>
            <w:rtl/>
          </w:rPr>
          <w:t>379</w:t>
        </w:r>
      </w:hyperlink>
      <w:r w:rsidRPr="003B0BD8">
        <w:rPr>
          <w:rFonts w:ascii="FrankRuehl" w:hAnsi="FrankRuehl" w:cs="FrankRuehl"/>
          <w:rtl/>
        </w:rPr>
        <w:t xml:space="preserve">, </w:t>
      </w:r>
      <w:hyperlink r:id="rId13" w:history="1">
        <w:r w:rsidRPr="003B0BD8">
          <w:rPr>
            <w:rFonts w:ascii="FrankRuehl" w:hAnsi="FrankRuehl" w:cs="FrankRuehl"/>
            <w:color w:val="0000FF"/>
            <w:u w:val="single"/>
            <w:rtl/>
          </w:rPr>
          <w:t>380</w:t>
        </w:r>
      </w:hyperlink>
      <w:r w:rsidRPr="003B0BD8">
        <w:rPr>
          <w:rFonts w:ascii="FrankRuehl" w:hAnsi="FrankRuehl" w:cs="FrankRuehl"/>
          <w:rtl/>
        </w:rPr>
        <w:t xml:space="preserve">, </w:t>
      </w:r>
      <w:hyperlink r:id="rId14" w:history="1">
        <w:r w:rsidRPr="003B0BD8">
          <w:rPr>
            <w:rFonts w:ascii="FrankRuehl" w:hAnsi="FrankRuehl" w:cs="FrankRuehl"/>
            <w:color w:val="0000FF"/>
            <w:u w:val="single"/>
            <w:rtl/>
          </w:rPr>
          <w:t>40יב</w:t>
        </w:r>
      </w:hyperlink>
    </w:p>
    <w:p w14:paraId="138C153E" w14:textId="77777777" w:rsidR="003B0BD8" w:rsidRPr="003B0BD8" w:rsidRDefault="003B0BD8" w:rsidP="003B0BD8">
      <w:pPr>
        <w:spacing w:after="120" w:line="240" w:lineRule="exact"/>
        <w:ind w:left="283" w:hanging="283"/>
        <w:jc w:val="both"/>
        <w:rPr>
          <w:rFonts w:ascii="FrankRuehl" w:hAnsi="FrankRuehl" w:cs="FrankRuehl"/>
          <w:rtl/>
        </w:rPr>
      </w:pPr>
      <w:hyperlink r:id="rId15" w:history="1">
        <w:r w:rsidRPr="003B0BD8">
          <w:rPr>
            <w:rFonts w:ascii="FrankRuehl" w:hAnsi="FrankRuehl" w:cs="FrankRuehl"/>
            <w:color w:val="0000FF"/>
            <w:u w:val="single"/>
            <w:rtl/>
          </w:rPr>
          <w:t>חוק התקשורת (בזק ושידורים), תשמ"ב-1982</w:t>
        </w:r>
      </w:hyperlink>
      <w:r w:rsidRPr="003B0BD8">
        <w:rPr>
          <w:rFonts w:ascii="FrankRuehl" w:hAnsi="FrankRuehl" w:cs="FrankRuehl"/>
          <w:rtl/>
        </w:rPr>
        <w:t xml:space="preserve">: סע'  </w:t>
      </w:r>
      <w:hyperlink r:id="rId16" w:history="1">
        <w:r w:rsidRPr="003B0BD8">
          <w:rPr>
            <w:rFonts w:ascii="FrankRuehl" w:hAnsi="FrankRuehl" w:cs="FrankRuehl"/>
            <w:color w:val="0000FF"/>
            <w:u w:val="single"/>
            <w:rtl/>
          </w:rPr>
          <w:t>30</w:t>
        </w:r>
      </w:hyperlink>
    </w:p>
    <w:p w14:paraId="0017B927" w14:textId="77777777" w:rsidR="003B0BD8" w:rsidRPr="003B0BD8" w:rsidRDefault="003B0BD8" w:rsidP="003B0BD8">
      <w:pPr>
        <w:spacing w:after="120" w:line="240" w:lineRule="exact"/>
        <w:ind w:left="283" w:hanging="283"/>
        <w:jc w:val="both"/>
        <w:rPr>
          <w:rFonts w:ascii="FrankRuehl" w:hAnsi="FrankRuehl" w:cs="FrankRuehl"/>
          <w:rtl/>
        </w:rPr>
      </w:pPr>
      <w:hyperlink r:id="rId17" w:history="1">
        <w:r w:rsidRPr="003B0BD8">
          <w:rPr>
            <w:rFonts w:ascii="FrankRuehl" w:hAnsi="FrankRuehl" w:cs="FrankRuehl"/>
            <w:color w:val="0000FF"/>
            <w:u w:val="single"/>
            <w:rtl/>
          </w:rPr>
          <w:t>פקודת הסמים המסוכנים [נוסח חדש], תשל"ג-1973</w:t>
        </w:r>
      </w:hyperlink>
      <w:r w:rsidRPr="003B0BD8">
        <w:rPr>
          <w:rFonts w:ascii="FrankRuehl" w:hAnsi="FrankRuehl" w:cs="FrankRuehl"/>
          <w:rtl/>
        </w:rPr>
        <w:t xml:space="preserve">: סע'  </w:t>
      </w:r>
      <w:hyperlink r:id="rId18" w:history="1">
        <w:r w:rsidRPr="003B0BD8">
          <w:rPr>
            <w:rFonts w:ascii="FrankRuehl" w:hAnsi="FrankRuehl" w:cs="FrankRuehl"/>
            <w:color w:val="0000FF"/>
            <w:u w:val="single"/>
            <w:rtl/>
          </w:rPr>
          <w:t>7(א)</w:t>
        </w:r>
      </w:hyperlink>
      <w:r w:rsidRPr="003B0BD8">
        <w:rPr>
          <w:rFonts w:ascii="FrankRuehl" w:hAnsi="FrankRuehl" w:cs="FrankRuehl"/>
          <w:rtl/>
        </w:rPr>
        <w:t xml:space="preserve">, </w:t>
      </w:r>
      <w:hyperlink r:id="rId19" w:history="1">
        <w:r w:rsidRPr="003B0BD8">
          <w:rPr>
            <w:rFonts w:ascii="FrankRuehl" w:hAnsi="FrankRuehl" w:cs="FrankRuehl"/>
            <w:color w:val="0000FF"/>
            <w:u w:val="single"/>
            <w:rtl/>
          </w:rPr>
          <w:t>7(ג)</w:t>
        </w:r>
      </w:hyperlink>
    </w:p>
    <w:p w14:paraId="2926C78A" w14:textId="77777777" w:rsidR="003B0BD8" w:rsidRPr="003B0BD8" w:rsidRDefault="003B0BD8" w:rsidP="003B0BD8">
      <w:pPr>
        <w:spacing w:after="120" w:line="240" w:lineRule="exact"/>
        <w:ind w:left="283" w:hanging="283"/>
        <w:jc w:val="both"/>
        <w:rPr>
          <w:rFonts w:ascii="FrankRuehl" w:hAnsi="FrankRuehl" w:cs="FrankRuehl"/>
          <w:rtl/>
        </w:rPr>
      </w:pPr>
      <w:hyperlink r:id="rId20" w:history="1">
        <w:r w:rsidRPr="003B0BD8">
          <w:rPr>
            <w:rFonts w:ascii="FrankRuehl" w:hAnsi="FrankRuehl" w:cs="FrankRuehl"/>
            <w:color w:val="0000FF"/>
            <w:u w:val="single"/>
            <w:rtl/>
          </w:rPr>
          <w:t>חוק המרכז לגביית קנסות, אגרות והוצאות, תשנ"ה-1995</w:t>
        </w:r>
      </w:hyperlink>
      <w:r w:rsidRPr="003B0BD8">
        <w:rPr>
          <w:rFonts w:ascii="FrankRuehl" w:hAnsi="FrankRuehl" w:cs="FrankRuehl"/>
          <w:rtl/>
        </w:rPr>
        <w:t xml:space="preserve">: סע'  </w:t>
      </w:r>
      <w:hyperlink r:id="rId21" w:history="1">
        <w:r w:rsidRPr="003B0BD8">
          <w:rPr>
            <w:rFonts w:ascii="FrankRuehl" w:hAnsi="FrankRuehl" w:cs="FrankRuehl"/>
            <w:color w:val="0000FF"/>
            <w:u w:val="single"/>
            <w:rtl/>
          </w:rPr>
          <w:t>5ב</w:t>
        </w:r>
      </w:hyperlink>
    </w:p>
    <w:p w14:paraId="4FC1BFB7" w14:textId="77777777" w:rsidR="003B0BD8" w:rsidRPr="003B0BD8" w:rsidRDefault="003B0BD8" w:rsidP="003B0BD8">
      <w:pPr>
        <w:spacing w:after="120" w:line="240" w:lineRule="exact"/>
        <w:ind w:left="283" w:hanging="283"/>
        <w:jc w:val="both"/>
        <w:rPr>
          <w:rFonts w:ascii="FrankRuehl" w:hAnsi="FrankRuehl" w:cs="FrankRuehl"/>
          <w:rtl/>
        </w:rPr>
      </w:pPr>
    </w:p>
    <w:p w14:paraId="56E4BB00" w14:textId="77777777" w:rsidR="003B0BD8" w:rsidRPr="003B0BD8" w:rsidRDefault="003B0BD8">
      <w:pPr>
        <w:rPr>
          <w:rtl/>
        </w:rPr>
      </w:pPr>
      <w:bookmarkStart w:id="4" w:name="LawTable_End"/>
      <w:bookmarkEnd w:id="4"/>
    </w:p>
    <w:p w14:paraId="1FE6E1F1" w14:textId="77777777" w:rsidR="003B0BD8" w:rsidRPr="003B0BD8" w:rsidRDefault="003B0BD8">
      <w:pPr>
        <w:rPr>
          <w:rtl/>
        </w:rPr>
      </w:pPr>
    </w:p>
    <w:p w14:paraId="7776A673" w14:textId="77777777" w:rsidR="003B0BD8" w:rsidRPr="003B0BD8" w:rsidRDefault="003B0BD8">
      <w:pPr>
        <w:rPr>
          <w:b/>
          <w:bCs/>
          <w:rtl/>
        </w:rPr>
      </w:pPr>
    </w:p>
    <w:p w14:paraId="1DDC8A0F" w14:textId="77777777" w:rsidR="009A6902" w:rsidRPr="003B0BD8" w:rsidRDefault="009A6902">
      <w:pPr>
        <w:rPr>
          <w:b/>
          <w:bCs/>
          <w:rtl/>
        </w:rPr>
      </w:pPr>
    </w:p>
    <w:p w14:paraId="30A913BA" w14:textId="77777777" w:rsidR="00A41DCF" w:rsidRPr="00A41DCF" w:rsidRDefault="00A41DCF">
      <w:pPr>
        <w:rPr>
          <w:rtl/>
        </w:rPr>
      </w:pPr>
    </w:p>
    <w:p w14:paraId="61669BD6" w14:textId="77777777" w:rsidR="00A41DCF" w:rsidRPr="00A41DCF" w:rsidRDefault="00A41DCF">
      <w:pPr>
        <w:rPr>
          <w:b/>
          <w:bCs/>
          <w:rtl/>
        </w:rPr>
      </w:pPr>
    </w:p>
    <w:p w14:paraId="387555B5" w14:textId="77777777" w:rsidR="009A6902" w:rsidRPr="00A41DCF" w:rsidRDefault="009A6902">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6902" w14:paraId="74F431E9" w14:textId="77777777">
        <w:trPr>
          <w:trHeight w:val="355"/>
          <w:jc w:val="center"/>
        </w:trPr>
        <w:tc>
          <w:tcPr>
            <w:tcW w:w="8820" w:type="dxa"/>
            <w:tcBorders>
              <w:top w:val="nil"/>
              <w:left w:val="nil"/>
              <w:bottom w:val="nil"/>
              <w:right w:val="nil"/>
            </w:tcBorders>
          </w:tcPr>
          <w:p w14:paraId="0865C8FD" w14:textId="77777777" w:rsidR="0026269B" w:rsidRPr="0026269B" w:rsidRDefault="0026269B" w:rsidP="0026269B">
            <w:pPr>
              <w:jc w:val="center"/>
              <w:rPr>
                <w:rFonts w:ascii="Arial" w:hAnsi="Arial"/>
                <w:b/>
                <w:bCs/>
                <w:sz w:val="28"/>
                <w:szCs w:val="28"/>
                <w:u w:val="single"/>
                <w:rtl/>
              </w:rPr>
            </w:pPr>
            <w:bookmarkStart w:id="5" w:name="PsakDin" w:colFirst="0" w:colLast="0"/>
            <w:bookmarkEnd w:id="0"/>
            <w:bookmarkEnd w:id="1"/>
            <w:r w:rsidRPr="0026269B">
              <w:rPr>
                <w:rFonts w:ascii="Arial" w:hAnsi="Arial"/>
                <w:b/>
                <w:bCs/>
                <w:sz w:val="28"/>
                <w:szCs w:val="28"/>
                <w:u w:val="single"/>
                <w:rtl/>
              </w:rPr>
              <w:t>גזר דין</w:t>
            </w:r>
          </w:p>
          <w:p w14:paraId="43DC4948" w14:textId="77777777" w:rsidR="009A6902" w:rsidRPr="0026269B" w:rsidRDefault="009A6902" w:rsidP="0026269B">
            <w:pPr>
              <w:jc w:val="center"/>
              <w:rPr>
                <w:rFonts w:ascii="Arial" w:hAnsi="Arial"/>
                <w:b/>
                <w:bCs/>
                <w:u w:val="single"/>
                <w:rtl/>
              </w:rPr>
            </w:pPr>
          </w:p>
        </w:tc>
      </w:tr>
      <w:bookmarkEnd w:id="5"/>
    </w:tbl>
    <w:p w14:paraId="572BA0EB" w14:textId="77777777" w:rsidR="009A6902" w:rsidRDefault="009A6902">
      <w:pPr>
        <w:rPr>
          <w:rFonts w:ascii="Arial" w:hAnsi="Arial"/>
          <w:rtl/>
        </w:rPr>
      </w:pPr>
    </w:p>
    <w:p w14:paraId="3FC93927" w14:textId="77777777" w:rsidR="009A6902" w:rsidRDefault="009A6902">
      <w:pPr>
        <w:spacing w:line="360" w:lineRule="auto"/>
        <w:jc w:val="both"/>
        <w:rPr>
          <w:rFonts w:ascii="Arial" w:hAnsi="Arial"/>
          <w:rtl/>
        </w:rPr>
      </w:pPr>
    </w:p>
    <w:p w14:paraId="25A26895" w14:textId="77777777" w:rsidR="009A6902" w:rsidRDefault="0026269B">
      <w:pPr>
        <w:spacing w:line="360" w:lineRule="auto"/>
        <w:jc w:val="both"/>
        <w:rPr>
          <w:rFonts w:ascii="Arial" w:hAnsi="Arial"/>
          <w:rtl/>
        </w:rPr>
      </w:pPr>
      <w:r>
        <w:rPr>
          <w:rFonts w:ascii="Arial" w:hAnsi="Arial" w:hint="cs"/>
          <w:rtl/>
        </w:rPr>
        <w:t>הנאשם, יליד 1983, הודה במסגרת הסדר טיעון דיוני, ללא התחייבויות עונשיות, בכתב אישום מתוקן בתיק דנן וכן בתיקים נוספים אותם צרף, כמפורט להלן.</w:t>
      </w:r>
    </w:p>
    <w:p w14:paraId="6292E6AE" w14:textId="77777777" w:rsidR="009A6902" w:rsidRDefault="009A6902">
      <w:pPr>
        <w:spacing w:line="360" w:lineRule="auto"/>
        <w:jc w:val="both"/>
        <w:rPr>
          <w:rFonts w:ascii="Arial" w:hAnsi="Arial"/>
          <w:rtl/>
        </w:rPr>
      </w:pPr>
    </w:p>
    <w:p w14:paraId="38A89726" w14:textId="77777777" w:rsidR="009A6902" w:rsidRDefault="0026269B">
      <w:pPr>
        <w:spacing w:line="360" w:lineRule="auto"/>
        <w:jc w:val="both"/>
        <w:rPr>
          <w:rFonts w:ascii="Arial" w:hAnsi="Arial"/>
          <w:b/>
          <w:bCs/>
          <w:rtl/>
        </w:rPr>
      </w:pPr>
      <w:bookmarkStart w:id="6" w:name="ABSTRACT_START"/>
      <w:bookmarkEnd w:id="6"/>
      <w:r>
        <w:rPr>
          <w:rFonts w:ascii="Arial" w:hAnsi="Arial" w:hint="cs"/>
          <w:b/>
          <w:bCs/>
          <w:rtl/>
        </w:rPr>
        <w:t>בתיק דנן, 18193-01-11, הורשע הנאשם בעבירות הבאות:</w:t>
      </w:r>
    </w:p>
    <w:p w14:paraId="36BB62E6" w14:textId="77777777" w:rsidR="009A6902" w:rsidRDefault="0026269B" w:rsidP="00E221A8">
      <w:pPr>
        <w:numPr>
          <w:ilvl w:val="0"/>
          <w:numId w:val="2"/>
        </w:numPr>
        <w:spacing w:line="360" w:lineRule="auto"/>
        <w:jc w:val="both"/>
        <w:rPr>
          <w:rFonts w:ascii="Arial" w:hAnsi="Arial"/>
        </w:rPr>
      </w:pPr>
      <w:r>
        <w:rPr>
          <w:rFonts w:ascii="Arial" w:hAnsi="Arial"/>
          <w:rtl/>
        </w:rPr>
        <w:t xml:space="preserve">תקיפה, לפי </w:t>
      </w:r>
      <w:hyperlink r:id="rId22" w:history="1">
        <w:r w:rsidR="003B0BD8" w:rsidRPr="003B0BD8">
          <w:rPr>
            <w:rFonts w:ascii="Arial" w:hAnsi="Arial"/>
            <w:color w:val="0000FF"/>
            <w:u w:val="single"/>
            <w:rtl/>
          </w:rPr>
          <w:t>סעיף 379</w:t>
        </w:r>
      </w:hyperlink>
      <w:r>
        <w:rPr>
          <w:rFonts w:ascii="Arial" w:hAnsi="Arial"/>
          <w:rtl/>
        </w:rPr>
        <w:t xml:space="preserve"> ל</w:t>
      </w:r>
      <w:hyperlink r:id="rId23" w:history="1">
        <w:r w:rsidR="00A41DCF" w:rsidRPr="00A41DCF">
          <w:rPr>
            <w:rStyle w:val="Hyperlink"/>
            <w:rFonts w:ascii="Arial" w:hAnsi="Arial"/>
            <w:rtl/>
          </w:rPr>
          <w:t>חוק העונשין</w:t>
        </w:r>
      </w:hyperlink>
      <w:r>
        <w:rPr>
          <w:rFonts w:ascii="Arial" w:hAnsi="Arial"/>
          <w:rtl/>
        </w:rPr>
        <w:t xml:space="preserve"> תשל"ז-1977</w:t>
      </w:r>
      <w:r>
        <w:rPr>
          <w:rFonts w:ascii="Arial" w:hAnsi="Arial" w:hint="cs"/>
          <w:rtl/>
        </w:rPr>
        <w:t>;</w:t>
      </w:r>
    </w:p>
    <w:p w14:paraId="4DCDE014" w14:textId="77777777" w:rsidR="009A6902" w:rsidRDefault="0026269B" w:rsidP="00E221A8">
      <w:pPr>
        <w:numPr>
          <w:ilvl w:val="0"/>
          <w:numId w:val="2"/>
        </w:numPr>
        <w:spacing w:line="360" w:lineRule="auto"/>
        <w:jc w:val="both"/>
        <w:rPr>
          <w:rFonts w:ascii="Arial" w:hAnsi="Arial"/>
          <w:rtl/>
        </w:rPr>
      </w:pPr>
      <w:r>
        <w:rPr>
          <w:rFonts w:ascii="Arial" w:hAnsi="Arial"/>
          <w:rtl/>
        </w:rPr>
        <w:t xml:space="preserve">איומים, עבירה לפי </w:t>
      </w:r>
      <w:hyperlink r:id="rId24" w:history="1">
        <w:r w:rsidR="003B0BD8" w:rsidRPr="003B0BD8">
          <w:rPr>
            <w:rFonts w:ascii="Arial" w:hAnsi="Arial"/>
            <w:color w:val="0000FF"/>
            <w:u w:val="single"/>
            <w:rtl/>
          </w:rPr>
          <w:t>סעיף 192</w:t>
        </w:r>
      </w:hyperlink>
      <w:r>
        <w:rPr>
          <w:rFonts w:ascii="Arial" w:hAnsi="Arial"/>
          <w:rtl/>
        </w:rPr>
        <w:t xml:space="preserve"> לחוק הנ"ל [ריבוי עבירות]</w:t>
      </w:r>
      <w:r>
        <w:rPr>
          <w:rFonts w:ascii="Arial" w:hAnsi="Arial" w:hint="cs"/>
          <w:rtl/>
        </w:rPr>
        <w:t>;</w:t>
      </w:r>
    </w:p>
    <w:p w14:paraId="6E1A46E4" w14:textId="77777777" w:rsidR="009A6902" w:rsidRDefault="0026269B" w:rsidP="00E221A8">
      <w:pPr>
        <w:numPr>
          <w:ilvl w:val="0"/>
          <w:numId w:val="2"/>
        </w:numPr>
        <w:spacing w:line="360" w:lineRule="auto"/>
        <w:jc w:val="both"/>
        <w:rPr>
          <w:rFonts w:ascii="Arial" w:hAnsi="Arial"/>
          <w:rtl/>
        </w:rPr>
      </w:pPr>
      <w:r>
        <w:rPr>
          <w:rFonts w:ascii="Arial" w:hAnsi="Arial"/>
          <w:rtl/>
        </w:rPr>
        <w:t xml:space="preserve">הפרת הוראה חוקית לפי </w:t>
      </w:r>
      <w:hyperlink r:id="rId25" w:history="1">
        <w:r w:rsidR="003B0BD8" w:rsidRPr="003B0BD8">
          <w:rPr>
            <w:rFonts w:ascii="Arial" w:hAnsi="Arial"/>
            <w:color w:val="0000FF"/>
            <w:u w:val="single"/>
            <w:rtl/>
          </w:rPr>
          <w:t>סעיף 287(א)</w:t>
        </w:r>
      </w:hyperlink>
      <w:r>
        <w:rPr>
          <w:rFonts w:ascii="Arial" w:hAnsi="Arial"/>
          <w:rtl/>
        </w:rPr>
        <w:t xml:space="preserve"> לחוק הנ"ל</w:t>
      </w:r>
      <w:r>
        <w:rPr>
          <w:rFonts w:ascii="Arial" w:hAnsi="Arial" w:hint="cs"/>
          <w:rtl/>
        </w:rPr>
        <w:t>;</w:t>
      </w:r>
    </w:p>
    <w:p w14:paraId="011E7AB0" w14:textId="77777777" w:rsidR="009A6902" w:rsidRDefault="0026269B" w:rsidP="00E221A8">
      <w:pPr>
        <w:numPr>
          <w:ilvl w:val="0"/>
          <w:numId w:val="2"/>
        </w:numPr>
        <w:spacing w:line="360" w:lineRule="auto"/>
        <w:jc w:val="both"/>
        <w:rPr>
          <w:rFonts w:ascii="Arial" w:hAnsi="Arial"/>
          <w:rtl/>
        </w:rPr>
      </w:pPr>
      <w:r>
        <w:rPr>
          <w:rFonts w:ascii="Arial" w:hAnsi="Arial"/>
          <w:rtl/>
        </w:rPr>
        <w:lastRenderedPageBreak/>
        <w:t xml:space="preserve">שיבוש מהלכי משפט, לפי </w:t>
      </w:r>
      <w:hyperlink r:id="rId26" w:history="1">
        <w:r w:rsidR="003B0BD8" w:rsidRPr="003B0BD8">
          <w:rPr>
            <w:rFonts w:ascii="Arial" w:hAnsi="Arial"/>
            <w:color w:val="0000FF"/>
            <w:u w:val="single"/>
            <w:rtl/>
          </w:rPr>
          <w:t>סעיף 244</w:t>
        </w:r>
      </w:hyperlink>
      <w:r>
        <w:rPr>
          <w:rFonts w:ascii="Arial" w:hAnsi="Arial"/>
          <w:rtl/>
        </w:rPr>
        <w:t xml:space="preserve"> לחוק הנ"ל</w:t>
      </w:r>
      <w:r>
        <w:rPr>
          <w:rFonts w:ascii="Arial" w:hAnsi="Arial" w:hint="cs"/>
          <w:rtl/>
        </w:rPr>
        <w:t>;</w:t>
      </w:r>
    </w:p>
    <w:p w14:paraId="09556E1C" w14:textId="77777777" w:rsidR="009A6902" w:rsidRDefault="0026269B" w:rsidP="00E221A8">
      <w:pPr>
        <w:numPr>
          <w:ilvl w:val="0"/>
          <w:numId w:val="2"/>
        </w:numPr>
        <w:spacing w:line="360" w:lineRule="auto"/>
        <w:jc w:val="both"/>
        <w:rPr>
          <w:rFonts w:ascii="Arial" w:hAnsi="Arial"/>
          <w:rtl/>
        </w:rPr>
      </w:pPr>
      <w:r>
        <w:rPr>
          <w:rFonts w:ascii="Arial" w:hAnsi="Arial"/>
          <w:rtl/>
        </w:rPr>
        <w:t xml:space="preserve">הטרדה באמצעות מתקן בזק לפי </w:t>
      </w:r>
      <w:hyperlink r:id="rId27" w:history="1">
        <w:r w:rsidR="003B0BD8" w:rsidRPr="003B0BD8">
          <w:rPr>
            <w:rFonts w:ascii="Arial" w:hAnsi="Arial"/>
            <w:color w:val="0000FF"/>
            <w:u w:val="single"/>
            <w:rtl/>
          </w:rPr>
          <w:t>סעיף 30</w:t>
        </w:r>
      </w:hyperlink>
      <w:r>
        <w:rPr>
          <w:rFonts w:ascii="Arial" w:hAnsi="Arial"/>
          <w:rtl/>
        </w:rPr>
        <w:t xml:space="preserve"> ל</w:t>
      </w:r>
      <w:hyperlink r:id="rId28" w:history="1">
        <w:r w:rsidR="00A41DCF" w:rsidRPr="00A41DCF">
          <w:rPr>
            <w:rStyle w:val="Hyperlink"/>
            <w:rFonts w:ascii="Arial" w:hAnsi="Arial"/>
            <w:rtl/>
          </w:rPr>
          <w:t>חוק התקשורת (בזק ושידורים)</w:t>
        </w:r>
      </w:hyperlink>
      <w:r>
        <w:rPr>
          <w:rFonts w:ascii="Arial" w:hAnsi="Arial"/>
          <w:rtl/>
        </w:rPr>
        <w:t xml:space="preserve"> תשמ"ב-1982</w:t>
      </w:r>
      <w:r>
        <w:rPr>
          <w:rFonts w:ascii="Arial" w:hAnsi="Arial" w:hint="cs"/>
          <w:rtl/>
        </w:rPr>
        <w:t>;</w:t>
      </w:r>
    </w:p>
    <w:p w14:paraId="2D6DD62E" w14:textId="77777777" w:rsidR="009A6902" w:rsidRDefault="009A6902">
      <w:pPr>
        <w:spacing w:line="360" w:lineRule="auto"/>
        <w:jc w:val="both"/>
        <w:rPr>
          <w:rFonts w:ascii="Arial" w:hAnsi="Arial"/>
          <w:rtl/>
        </w:rPr>
      </w:pPr>
      <w:bookmarkStart w:id="7" w:name="ABSTRACT_END"/>
      <w:bookmarkEnd w:id="7"/>
    </w:p>
    <w:p w14:paraId="69BE75EB" w14:textId="77777777" w:rsidR="009A6902" w:rsidRDefault="0026269B">
      <w:pPr>
        <w:spacing w:line="360" w:lineRule="auto"/>
        <w:jc w:val="both"/>
        <w:rPr>
          <w:rtl/>
        </w:rPr>
      </w:pPr>
      <w:r>
        <w:rPr>
          <w:rFonts w:hint="cs"/>
          <w:rtl/>
        </w:rPr>
        <w:t xml:space="preserve">עבירות אלו ביצע הנאשם נגד המתלוננת גב' מרים נחמני, אותה הכיר בתחילת חודש אפריל 2010. </w:t>
      </w:r>
    </w:p>
    <w:p w14:paraId="4ABE9A57" w14:textId="77777777" w:rsidR="009A6902" w:rsidRDefault="0026269B">
      <w:pPr>
        <w:spacing w:line="360" w:lineRule="auto"/>
        <w:jc w:val="both"/>
        <w:rPr>
          <w:rtl/>
        </w:rPr>
      </w:pPr>
      <w:r>
        <w:rPr>
          <w:rFonts w:hint="cs"/>
          <w:rtl/>
        </w:rPr>
        <w:t xml:space="preserve">ביום 9.4.10 הגיע הנאשם בשעת בוקר לבית מגורי המתלוננת בהיותו בגילופין וצעק לה שתצא. כשיצאה המתלוננת וביקשה ממנו לעזוב את המקום, משך בשיערה ואיים עליה כי יפגע בה וכשישתחרר מהמשטרה </w:t>
      </w:r>
      <w:r>
        <w:rPr>
          <w:rtl/>
        </w:rPr>
        <w:t>–</w:t>
      </w:r>
      <w:r>
        <w:rPr>
          <w:rFonts w:hint="cs"/>
          <w:rtl/>
        </w:rPr>
        <w:t xml:space="preserve"> יבוא אליה ויהרוג אותה והיא לא תהיה עם אף אחד אחר.</w:t>
      </w:r>
    </w:p>
    <w:p w14:paraId="0D33D539" w14:textId="77777777" w:rsidR="009A6902" w:rsidRDefault="0026269B">
      <w:pPr>
        <w:spacing w:line="360" w:lineRule="auto"/>
        <w:jc w:val="both"/>
        <w:rPr>
          <w:rtl/>
        </w:rPr>
      </w:pPr>
      <w:r>
        <w:rPr>
          <w:rFonts w:hint="cs"/>
          <w:rtl/>
        </w:rPr>
        <w:t xml:space="preserve">הנאשם נעצר ושחרר בו-ביום בבית המשפט, כשבין תנאי שחרורו נאסר עליו להתקרב למתלוננת וליצור קשר עימה בכל דרך, אך כבר ביום 12.4.10 הטריד הנאשם את המתלוננת כשהתקשר אליה שמונה פעמים בשעות לילה מאוחרות. </w:t>
      </w:r>
    </w:p>
    <w:p w14:paraId="1887A87A" w14:textId="77777777" w:rsidR="009A6902" w:rsidRDefault="0026269B">
      <w:pPr>
        <w:spacing w:line="360" w:lineRule="auto"/>
        <w:jc w:val="both"/>
        <w:rPr>
          <w:rtl/>
        </w:rPr>
      </w:pPr>
      <w:r>
        <w:rPr>
          <w:rFonts w:hint="cs"/>
          <w:rtl/>
        </w:rPr>
        <w:t xml:space="preserve">ביום 17.4.10 התקשר הנאשם שוב אל המתלוננת באמצע הלילה ואיים עליה בפגיעה בה ובמשפחתה. אז הגיע הנאשם לבית המתלוננת וביקש ממנה לצאת אליו, וכשסירבה </w:t>
      </w:r>
      <w:r>
        <w:rPr>
          <w:rtl/>
        </w:rPr>
        <w:t>–</w:t>
      </w:r>
      <w:r>
        <w:rPr>
          <w:rFonts w:hint="cs"/>
          <w:rtl/>
        </w:rPr>
        <w:t xml:space="preserve"> שב לאיים עליה באמרו שיתנקם בה. כל זאת עשה הנאשם תוך הפרת ההוראה החוקית של בית המשפט.</w:t>
      </w:r>
    </w:p>
    <w:p w14:paraId="27570FB6" w14:textId="77777777" w:rsidR="009A6902" w:rsidRDefault="0026269B">
      <w:pPr>
        <w:spacing w:line="360" w:lineRule="auto"/>
        <w:jc w:val="both"/>
        <w:rPr>
          <w:rtl/>
        </w:rPr>
      </w:pPr>
      <w:r>
        <w:rPr>
          <w:rFonts w:hint="cs"/>
          <w:rtl/>
        </w:rPr>
        <w:t>הנאשם נעצר במקום, אך גם מתוך תחנת המשטרה התקשר אל המתלוננת ושיבש מהלכי החקירה בכך שביקש ממנה לבטל את התלונה.</w:t>
      </w:r>
    </w:p>
    <w:p w14:paraId="52028638" w14:textId="77777777" w:rsidR="009A6902" w:rsidRDefault="009A6902">
      <w:pPr>
        <w:spacing w:line="360" w:lineRule="auto"/>
        <w:jc w:val="both"/>
        <w:rPr>
          <w:rtl/>
        </w:rPr>
      </w:pPr>
    </w:p>
    <w:p w14:paraId="45E3E8A9" w14:textId="77777777" w:rsidR="009A6902" w:rsidRDefault="0026269B">
      <w:pPr>
        <w:spacing w:line="360" w:lineRule="auto"/>
        <w:jc w:val="both"/>
        <w:rPr>
          <w:rFonts w:ascii="Arial" w:hAnsi="Arial"/>
          <w:b/>
          <w:bCs/>
          <w:rtl/>
        </w:rPr>
      </w:pPr>
      <w:r>
        <w:rPr>
          <w:rFonts w:hint="cs"/>
          <w:b/>
          <w:bCs/>
          <w:rtl/>
        </w:rPr>
        <w:t xml:space="preserve">בתיק 29947-06-12 הורשע הנאשם בעבירה של </w:t>
      </w:r>
      <w:r>
        <w:rPr>
          <w:rFonts w:ascii="Arial" w:hAnsi="Arial"/>
          <w:b/>
          <w:bCs/>
          <w:rtl/>
        </w:rPr>
        <w:t>תקיפה</w:t>
      </w:r>
      <w:r>
        <w:rPr>
          <w:rFonts w:ascii="Arial" w:hAnsi="Arial" w:hint="cs"/>
          <w:b/>
          <w:bCs/>
          <w:rtl/>
        </w:rPr>
        <w:t xml:space="preserve"> חובלנית</w:t>
      </w:r>
      <w:r>
        <w:rPr>
          <w:rFonts w:ascii="Arial" w:hAnsi="Arial"/>
          <w:b/>
          <w:bCs/>
          <w:rtl/>
        </w:rPr>
        <w:t xml:space="preserve">, לפי </w:t>
      </w:r>
      <w:hyperlink r:id="rId29" w:history="1">
        <w:r w:rsidR="003B0BD8" w:rsidRPr="003B0BD8">
          <w:rPr>
            <w:rFonts w:ascii="Arial" w:hAnsi="Arial"/>
            <w:b/>
            <w:bCs/>
            <w:color w:val="0000FF"/>
            <w:u w:val="single"/>
            <w:rtl/>
          </w:rPr>
          <w:t>סעיף 380</w:t>
        </w:r>
      </w:hyperlink>
      <w:r>
        <w:rPr>
          <w:rFonts w:ascii="Arial" w:hAnsi="Arial"/>
          <w:b/>
          <w:bCs/>
          <w:rtl/>
        </w:rPr>
        <w:t xml:space="preserve"> ל</w:t>
      </w:r>
      <w:hyperlink r:id="rId30" w:history="1">
        <w:r w:rsidR="00A41DCF" w:rsidRPr="00A41DCF">
          <w:rPr>
            <w:rStyle w:val="Hyperlink"/>
            <w:rFonts w:ascii="Arial" w:hAnsi="Arial"/>
            <w:b/>
            <w:bCs/>
            <w:rtl/>
          </w:rPr>
          <w:t>חוק העונשין</w:t>
        </w:r>
      </w:hyperlink>
      <w:r>
        <w:rPr>
          <w:rFonts w:ascii="Arial" w:hAnsi="Arial"/>
          <w:b/>
          <w:bCs/>
          <w:rtl/>
        </w:rPr>
        <w:t xml:space="preserve"> תשל"ז-1977</w:t>
      </w:r>
      <w:r>
        <w:rPr>
          <w:rFonts w:ascii="Arial" w:hAnsi="Arial" w:hint="cs"/>
          <w:b/>
          <w:bCs/>
          <w:rtl/>
        </w:rPr>
        <w:t>:</w:t>
      </w:r>
    </w:p>
    <w:p w14:paraId="53617ED3" w14:textId="77777777" w:rsidR="009A6902" w:rsidRDefault="009A6902">
      <w:pPr>
        <w:spacing w:line="360" w:lineRule="auto"/>
        <w:jc w:val="both"/>
        <w:rPr>
          <w:rFonts w:ascii="Arial" w:hAnsi="Arial"/>
          <w:rtl/>
        </w:rPr>
      </w:pPr>
    </w:p>
    <w:p w14:paraId="5E4B3FEA" w14:textId="77777777" w:rsidR="009A6902" w:rsidRDefault="0026269B">
      <w:pPr>
        <w:spacing w:line="360" w:lineRule="auto"/>
        <w:jc w:val="both"/>
        <w:rPr>
          <w:rFonts w:ascii="Arial" w:hAnsi="Arial"/>
          <w:rtl/>
        </w:rPr>
      </w:pPr>
      <w:r>
        <w:rPr>
          <w:rFonts w:ascii="Arial" w:hAnsi="Arial" w:hint="cs"/>
          <w:rtl/>
        </w:rPr>
        <w:t xml:space="preserve">ב-17.12.11 אחר חצות, במועדון בתל-אביב, פנה למתלוננת גב' נטלי הרוש ששוחחה עם אחר במקום, אמר לה ש"אמרתי לך לא לדבר עם אף אחד" ואז משך בשיערה וסטר לה על לחיה. הנאשם אמר למתלוננת שישפיל אותה ושב ותקף אותה על-ידי משיכה חזקה בשיערה ודרש ממנה לומר לאותו אחר שהוא מכוער. הנאשם המשיך לתקוף את המתלוננת וחנק אותה בידיו במשך מספר שניות בהן התקשתה לנשום </w:t>
      </w:r>
      <w:r>
        <w:rPr>
          <w:rFonts w:ascii="Arial" w:hAnsi="Arial"/>
          <w:rtl/>
        </w:rPr>
        <w:t>–</w:t>
      </w:r>
      <w:r>
        <w:rPr>
          <w:rFonts w:ascii="Arial" w:hAnsi="Arial" w:hint="cs"/>
          <w:rtl/>
        </w:rPr>
        <w:t xml:space="preserve"> וכל זאת לעיני כל הנוכחים במקום. עקב מעשיו של הנאשם נגרמו למתלוננת כאבים, שריטות ושטפי דם בצווארה.</w:t>
      </w:r>
    </w:p>
    <w:p w14:paraId="07DFD6FE" w14:textId="77777777" w:rsidR="009A6902" w:rsidRDefault="009A6902">
      <w:pPr>
        <w:spacing w:line="360" w:lineRule="auto"/>
        <w:jc w:val="both"/>
        <w:rPr>
          <w:rFonts w:ascii="Arial" w:hAnsi="Arial"/>
          <w:rtl/>
        </w:rPr>
      </w:pPr>
    </w:p>
    <w:p w14:paraId="31477FBA" w14:textId="77777777" w:rsidR="009A6902" w:rsidRDefault="0026269B">
      <w:pPr>
        <w:spacing w:line="360" w:lineRule="auto"/>
        <w:jc w:val="both"/>
        <w:rPr>
          <w:rFonts w:ascii="Arial" w:hAnsi="Arial"/>
          <w:rtl/>
        </w:rPr>
      </w:pPr>
      <w:r>
        <w:rPr>
          <w:rFonts w:ascii="Arial" w:hAnsi="Arial" w:hint="cs"/>
          <w:b/>
          <w:bCs/>
          <w:rtl/>
        </w:rPr>
        <w:t xml:space="preserve">בתיק 40986-02-13 הורשע הנאשם בעבירה של החזקת סם לצריכה עצמית, לפי </w:t>
      </w:r>
      <w:hyperlink r:id="rId31" w:history="1">
        <w:r w:rsidR="003B0BD8" w:rsidRPr="003B0BD8">
          <w:rPr>
            <w:rFonts w:ascii="Arial" w:hAnsi="Arial"/>
            <w:b/>
            <w:bCs/>
            <w:color w:val="0000FF"/>
            <w:u w:val="single"/>
            <w:rtl/>
          </w:rPr>
          <w:t>סעיפים 7(א)</w:t>
        </w:r>
      </w:hyperlink>
      <w:r>
        <w:rPr>
          <w:rFonts w:ascii="Arial" w:hAnsi="Arial" w:hint="cs"/>
          <w:b/>
          <w:bCs/>
          <w:rtl/>
        </w:rPr>
        <w:t xml:space="preserve"> ו-</w:t>
      </w:r>
      <w:hyperlink r:id="rId32" w:history="1">
        <w:r w:rsidR="003B0BD8" w:rsidRPr="003B0BD8">
          <w:rPr>
            <w:rFonts w:ascii="Arial" w:hAnsi="Arial"/>
            <w:b/>
            <w:bCs/>
            <w:color w:val="0000FF"/>
            <w:u w:val="single"/>
            <w:rtl/>
          </w:rPr>
          <w:t>7(ג)</w:t>
        </w:r>
      </w:hyperlink>
      <w:r>
        <w:rPr>
          <w:rFonts w:ascii="Arial" w:hAnsi="Arial" w:hint="cs"/>
          <w:b/>
          <w:bCs/>
          <w:rtl/>
        </w:rPr>
        <w:t xml:space="preserve"> סיפא ל</w:t>
      </w:r>
      <w:hyperlink r:id="rId33" w:history="1">
        <w:r w:rsidR="00A41DCF" w:rsidRPr="00A41DCF">
          <w:rPr>
            <w:rStyle w:val="Hyperlink"/>
            <w:rFonts w:ascii="Arial" w:hAnsi="Arial"/>
            <w:b/>
            <w:bCs/>
            <w:rtl/>
          </w:rPr>
          <w:t>פקודת הסמים המסוכנים</w:t>
        </w:r>
      </w:hyperlink>
      <w:r>
        <w:rPr>
          <w:rFonts w:ascii="Arial" w:hAnsi="Arial" w:hint="cs"/>
          <w:rtl/>
        </w:rPr>
        <w:t xml:space="preserve"> בגין החזקת קנביס במשקל 0.2804 גרם נטו ביום 28.8.11 .</w:t>
      </w:r>
    </w:p>
    <w:p w14:paraId="1EFBD7EA" w14:textId="77777777" w:rsidR="009A6902" w:rsidRDefault="009A6902">
      <w:pPr>
        <w:spacing w:line="360" w:lineRule="auto"/>
        <w:jc w:val="both"/>
        <w:rPr>
          <w:rFonts w:ascii="Arial" w:hAnsi="Arial"/>
          <w:rtl/>
        </w:rPr>
      </w:pPr>
    </w:p>
    <w:p w14:paraId="3E970194" w14:textId="77777777" w:rsidR="009A6902" w:rsidRDefault="0026269B">
      <w:pPr>
        <w:spacing w:line="360" w:lineRule="auto"/>
        <w:jc w:val="both"/>
        <w:rPr>
          <w:rFonts w:ascii="Arial" w:hAnsi="Arial"/>
        </w:rPr>
      </w:pPr>
      <w:r>
        <w:rPr>
          <w:rFonts w:ascii="Arial" w:hAnsi="Arial" w:hint="cs"/>
          <w:b/>
          <w:bCs/>
          <w:rtl/>
        </w:rPr>
        <w:t xml:space="preserve">בעניין תיק </w:t>
      </w:r>
      <w:r w:rsidRPr="00FD71CC">
        <w:rPr>
          <w:rFonts w:ascii="Arial" w:hAnsi="Arial"/>
          <w:b/>
          <w:bCs/>
          <w:color w:val="000000"/>
          <w:rtl/>
        </w:rPr>
        <w:t>פ.א 107103/13</w:t>
      </w:r>
      <w:r>
        <w:rPr>
          <w:rFonts w:ascii="Arial" w:hAnsi="Arial" w:hint="cs"/>
          <w:b/>
          <w:bCs/>
          <w:rtl/>
        </w:rPr>
        <w:t xml:space="preserve"> של תחנת איילון הורשע הנאשם בעבירה של החזקת סם לצריכה עצמית, לפי </w:t>
      </w:r>
      <w:hyperlink r:id="rId34" w:history="1">
        <w:r w:rsidR="003B0BD8" w:rsidRPr="003B0BD8">
          <w:rPr>
            <w:rFonts w:ascii="Arial" w:hAnsi="Arial"/>
            <w:b/>
            <w:bCs/>
            <w:color w:val="0000FF"/>
            <w:u w:val="single"/>
            <w:rtl/>
          </w:rPr>
          <w:t>סעיפים 7(א)</w:t>
        </w:r>
      </w:hyperlink>
      <w:r>
        <w:rPr>
          <w:rFonts w:ascii="Arial" w:hAnsi="Arial" w:hint="cs"/>
          <w:b/>
          <w:bCs/>
          <w:rtl/>
        </w:rPr>
        <w:t xml:space="preserve"> ו-</w:t>
      </w:r>
      <w:hyperlink r:id="rId35" w:history="1">
        <w:r w:rsidR="003B0BD8" w:rsidRPr="003B0BD8">
          <w:rPr>
            <w:rFonts w:ascii="Arial" w:hAnsi="Arial"/>
            <w:b/>
            <w:bCs/>
            <w:color w:val="0000FF"/>
            <w:u w:val="single"/>
            <w:rtl/>
          </w:rPr>
          <w:t>7(ג)</w:t>
        </w:r>
      </w:hyperlink>
      <w:r>
        <w:rPr>
          <w:rFonts w:ascii="Arial" w:hAnsi="Arial" w:hint="cs"/>
          <w:b/>
          <w:bCs/>
          <w:rtl/>
        </w:rPr>
        <w:t xml:space="preserve"> סיפא ל</w:t>
      </w:r>
      <w:hyperlink r:id="rId36" w:history="1">
        <w:r w:rsidR="00A41DCF" w:rsidRPr="00A41DCF">
          <w:rPr>
            <w:rStyle w:val="Hyperlink"/>
            <w:rFonts w:ascii="Arial" w:hAnsi="Arial"/>
            <w:b/>
            <w:bCs/>
            <w:rtl/>
          </w:rPr>
          <w:t>פקודת הסמים המסוכנים</w:t>
        </w:r>
      </w:hyperlink>
      <w:r>
        <w:rPr>
          <w:rFonts w:ascii="Arial" w:hAnsi="Arial" w:hint="cs"/>
          <w:b/>
          <w:bCs/>
          <w:rtl/>
        </w:rPr>
        <w:t xml:space="preserve"> </w:t>
      </w:r>
      <w:r>
        <w:rPr>
          <w:rFonts w:ascii="Arial" w:hAnsi="Arial" w:hint="cs"/>
          <w:rtl/>
        </w:rPr>
        <w:t xml:space="preserve">בגין החזקת שלוש קפסולות של "חגיגת" ביום 9.3.13 </w:t>
      </w:r>
      <w:r>
        <w:rPr>
          <w:rFonts w:ascii="Arial" w:hAnsi="Arial"/>
          <w:rtl/>
        </w:rPr>
        <w:t>–</w:t>
      </w:r>
      <w:r>
        <w:rPr>
          <w:rFonts w:ascii="Arial" w:hAnsi="Arial" w:hint="cs"/>
          <w:rtl/>
        </w:rPr>
        <w:t xml:space="preserve"> בעודו בטיפול במסגרת עמותת אפש"ר. </w:t>
      </w:r>
    </w:p>
    <w:p w14:paraId="42244EE0" w14:textId="77777777" w:rsidR="009A6902" w:rsidRDefault="009A6902">
      <w:pPr>
        <w:spacing w:line="360" w:lineRule="auto"/>
        <w:jc w:val="both"/>
        <w:rPr>
          <w:rFonts w:ascii="Arial" w:hAnsi="Arial"/>
          <w:rtl/>
        </w:rPr>
      </w:pPr>
    </w:p>
    <w:p w14:paraId="05F2C57D" w14:textId="77777777" w:rsidR="009A6902" w:rsidRDefault="0026269B">
      <w:pPr>
        <w:spacing w:line="360" w:lineRule="auto"/>
        <w:jc w:val="both"/>
        <w:rPr>
          <w:rFonts w:ascii="Arial" w:hAnsi="Arial"/>
          <w:rtl/>
        </w:rPr>
      </w:pPr>
      <w:r>
        <w:rPr>
          <w:rFonts w:ascii="Arial" w:hAnsi="Arial" w:hint="cs"/>
          <w:b/>
          <w:bCs/>
          <w:u w:val="single"/>
          <w:rtl/>
        </w:rPr>
        <w:t>קביעת מתחמי ענישה בתיק העיקרי:</w:t>
      </w:r>
    </w:p>
    <w:p w14:paraId="4D8F0548" w14:textId="77777777" w:rsidR="009A6902" w:rsidRDefault="009A6902">
      <w:pPr>
        <w:spacing w:line="360" w:lineRule="auto"/>
        <w:jc w:val="both"/>
        <w:rPr>
          <w:rFonts w:ascii="Arial" w:hAnsi="Arial"/>
          <w:rtl/>
        </w:rPr>
      </w:pPr>
    </w:p>
    <w:p w14:paraId="02CA6FD4" w14:textId="77777777" w:rsidR="009A6902" w:rsidRDefault="0026269B">
      <w:pPr>
        <w:spacing w:line="360" w:lineRule="auto"/>
        <w:jc w:val="both"/>
        <w:rPr>
          <w:rFonts w:ascii="Arial" w:hAnsi="Arial"/>
          <w:rtl/>
        </w:rPr>
      </w:pPr>
      <w:r>
        <w:rPr>
          <w:rFonts w:ascii="Arial" w:hAnsi="Arial" w:hint="cs"/>
          <w:rtl/>
        </w:rPr>
        <w:t>הערך המוגן בעבירת התקיפה הינו הערך המרכזי של שלמות הגוף והבריאות, וכן הערך של האוטונומיה הפיזית של האדם. ערכים אלו הינם כה בסיסיים במארג הערכים, שאין להרחיב עליהם את הדיבור. פגיעת הנאשם בערכים אלו היתה מהותית ומשמעותית, כשמשך בשיערה של המתלוננת, פעולה מכאיבה, משפילה ומבזה.</w:t>
      </w:r>
    </w:p>
    <w:p w14:paraId="2B30D53C" w14:textId="77777777" w:rsidR="009A6902" w:rsidRDefault="009A6902">
      <w:pPr>
        <w:spacing w:line="360" w:lineRule="auto"/>
        <w:jc w:val="both"/>
        <w:rPr>
          <w:rFonts w:ascii="Arial" w:hAnsi="Arial"/>
          <w:rtl/>
        </w:rPr>
      </w:pPr>
    </w:p>
    <w:p w14:paraId="0B7121A4" w14:textId="77777777" w:rsidR="009A6902" w:rsidRDefault="0026269B">
      <w:pPr>
        <w:spacing w:line="360" w:lineRule="auto"/>
        <w:jc w:val="both"/>
        <w:rPr>
          <w:rFonts w:ascii="Arial" w:hAnsi="Arial"/>
          <w:rtl/>
        </w:rPr>
      </w:pPr>
      <w:r>
        <w:rPr>
          <w:rFonts w:ascii="Arial" w:hAnsi="Arial" w:hint="cs"/>
          <w:rtl/>
        </w:rPr>
        <w:t xml:space="preserve">עבירת האיומים באה להגן על שלוות הנפש של האדם ולאפשר לו חיים חופשיים מלחצים אסורים. בנוסף, מגנה עבירה זו בעקיפין על ערך נוסף </w:t>
      </w:r>
      <w:r>
        <w:rPr>
          <w:rFonts w:ascii="Arial" w:hAnsi="Arial"/>
          <w:rtl/>
        </w:rPr>
        <w:t>–</w:t>
      </w:r>
      <w:r>
        <w:rPr>
          <w:rFonts w:ascii="Arial" w:hAnsi="Arial" w:hint="cs"/>
          <w:rtl/>
        </w:rPr>
        <w:t xml:space="preserve"> האוטונומיה של האדם, חופש הפעולה והבחירה שלו. זאת, כיון שלעתים קרובות נלווית לאיום מטרה של הנעת אדם לפעולה או למחדל, כמסר מוסווה שאינו מגיע לסחיטה גלויה [</w:t>
      </w:r>
      <w:hyperlink r:id="rId37" w:history="1">
        <w:r w:rsidR="00A41DCF" w:rsidRPr="00A41DCF">
          <w:rPr>
            <w:rStyle w:val="Hyperlink"/>
            <w:rFonts w:ascii="Arial" w:hAnsi="Arial"/>
            <w:rtl/>
          </w:rPr>
          <w:t>ע"פ 103/88 ליכטמן נ' מ.י., פ"ד מג</w:t>
        </w:r>
      </w:hyperlink>
      <w:r>
        <w:rPr>
          <w:rFonts w:ascii="Arial" w:hAnsi="Arial" w:hint="cs"/>
          <w:rtl/>
        </w:rPr>
        <w:t>(3) 373, 378]. כך גם במקרה דנן, שבו הנאשם איים על המתלוננת שוב ושוב, בכוונה לאלץ אותה להיכנע לרצונו.</w:t>
      </w:r>
    </w:p>
    <w:p w14:paraId="0E243599" w14:textId="77777777" w:rsidR="009A6902" w:rsidRDefault="009A6902">
      <w:pPr>
        <w:spacing w:line="360" w:lineRule="auto"/>
        <w:jc w:val="both"/>
        <w:rPr>
          <w:rFonts w:ascii="Arial" w:hAnsi="Arial"/>
          <w:rtl/>
        </w:rPr>
      </w:pPr>
    </w:p>
    <w:p w14:paraId="1E28D7B8" w14:textId="77777777" w:rsidR="009A6902" w:rsidRDefault="0026269B">
      <w:pPr>
        <w:spacing w:line="360" w:lineRule="auto"/>
        <w:jc w:val="both"/>
        <w:rPr>
          <w:rFonts w:ascii="Arial" w:hAnsi="Arial"/>
          <w:rtl/>
        </w:rPr>
      </w:pPr>
      <w:r>
        <w:rPr>
          <w:rFonts w:ascii="Arial" w:hAnsi="Arial" w:hint="cs"/>
          <w:rtl/>
        </w:rPr>
        <w:t>ההגנה על שלוות הנפש ומנוחת הדעת הינה גם עניינה של העבירה האוסרת הטרדה באמצעות מתקן בזק, ואף כאן היתה הפגיעה ממשית וקשה, כשמדובר בהתקשרויות חוזרות באישון לילה.</w:t>
      </w:r>
    </w:p>
    <w:p w14:paraId="1FE87CF8" w14:textId="77777777" w:rsidR="009A6902" w:rsidRDefault="009A6902">
      <w:pPr>
        <w:spacing w:line="360" w:lineRule="auto"/>
        <w:jc w:val="both"/>
        <w:rPr>
          <w:rFonts w:ascii="Arial" w:hAnsi="Arial"/>
          <w:rtl/>
        </w:rPr>
      </w:pPr>
    </w:p>
    <w:p w14:paraId="350F08BE" w14:textId="77777777" w:rsidR="009A6902" w:rsidRDefault="0026269B">
      <w:pPr>
        <w:spacing w:line="360" w:lineRule="auto"/>
        <w:jc w:val="both"/>
        <w:rPr>
          <w:rtl/>
        </w:rPr>
      </w:pPr>
      <w:r>
        <w:rPr>
          <w:rFonts w:hint="cs"/>
          <w:rtl/>
        </w:rPr>
        <w:t>הפרת ההוראה החוקית, במקרה דנן, פגעה בערך של הגנת האדם באמצעות צווי בית המשפט, באופן בוטה וקשה.</w:t>
      </w:r>
    </w:p>
    <w:p w14:paraId="1CCF21EA" w14:textId="77777777" w:rsidR="009A6902" w:rsidRDefault="009A6902">
      <w:pPr>
        <w:spacing w:line="360" w:lineRule="auto"/>
        <w:jc w:val="both"/>
        <w:rPr>
          <w:rtl/>
        </w:rPr>
      </w:pPr>
    </w:p>
    <w:p w14:paraId="5154CD06" w14:textId="77777777" w:rsidR="009A6902" w:rsidRDefault="0026269B">
      <w:pPr>
        <w:spacing w:line="360" w:lineRule="auto"/>
        <w:jc w:val="both"/>
        <w:rPr>
          <w:rtl/>
        </w:rPr>
      </w:pPr>
      <w:r>
        <w:rPr>
          <w:rFonts w:hint="cs"/>
          <w:rtl/>
        </w:rPr>
        <w:t xml:space="preserve">הנאשם לא נרתע מלהתקשר שוב למתלוננת מתוך תחנת המשטרה במטרה להניע אותה לבטל את תלונתה נגדו, ובכך פגע חמורות בערך של טוהר החקירה </w:t>
      </w:r>
      <w:r>
        <w:rPr>
          <w:rtl/>
        </w:rPr>
        <w:t>–</w:t>
      </w:r>
      <w:r>
        <w:rPr>
          <w:rFonts w:hint="cs"/>
          <w:rtl/>
        </w:rPr>
        <w:t xml:space="preserve"> יכולת המשטרה לבצע חקירה בלתי-מופרעת ולרדת לחקר האמת. מדיניות ענישה ראויה חייבת לגמול על מעשים שכאלה בענישה הולמת, שתמחיש חשיבותו של ערך זה.</w:t>
      </w:r>
    </w:p>
    <w:p w14:paraId="3D4A2FCE" w14:textId="77777777" w:rsidR="009A6902" w:rsidRDefault="009A6902">
      <w:pPr>
        <w:spacing w:line="360" w:lineRule="auto"/>
        <w:jc w:val="both"/>
        <w:rPr>
          <w:rtl/>
        </w:rPr>
      </w:pPr>
    </w:p>
    <w:p w14:paraId="6218B665" w14:textId="77777777" w:rsidR="009A6902" w:rsidRDefault="0026269B">
      <w:pPr>
        <w:spacing w:line="360" w:lineRule="auto"/>
        <w:jc w:val="both"/>
        <w:rPr>
          <w:rtl/>
        </w:rPr>
      </w:pPr>
      <w:r>
        <w:rPr>
          <w:rFonts w:hint="cs"/>
          <w:rtl/>
        </w:rPr>
        <w:t>את המעשה הראשון ביצע הנאשם כשהיה בגילופין. כמובן שאין בכך הסבר להתנהגותו הפרועה, בשלושה מועדים שונים, ונראה כי מדובר בנטייה לשתלטנות ואלימות שאינה תלויה דווקא באלכוהול.</w:t>
      </w:r>
    </w:p>
    <w:p w14:paraId="691A223F" w14:textId="77777777" w:rsidR="009A6902" w:rsidRDefault="009A6902">
      <w:pPr>
        <w:spacing w:line="360" w:lineRule="auto"/>
        <w:jc w:val="both"/>
        <w:rPr>
          <w:rtl/>
        </w:rPr>
      </w:pPr>
    </w:p>
    <w:p w14:paraId="2AA0B7C2" w14:textId="77777777" w:rsidR="009A6902" w:rsidRDefault="0026269B">
      <w:pPr>
        <w:spacing w:line="360" w:lineRule="auto"/>
        <w:jc w:val="both"/>
        <w:rPr>
          <w:rtl/>
        </w:rPr>
      </w:pPr>
      <w:r>
        <w:rPr>
          <w:rFonts w:hint="cs"/>
          <w:rtl/>
        </w:rPr>
        <w:t>המדיניות העונשית המוכתבת והנוהגת מצביעה על קביעתם של מתחמי ענישה גמישים ולא מחמירים, כמפורט להלן, כל אירוע עבירה ומשקלו-הוא.</w:t>
      </w:r>
    </w:p>
    <w:p w14:paraId="72B66464" w14:textId="77777777" w:rsidR="009A6902" w:rsidRDefault="009A6902">
      <w:pPr>
        <w:spacing w:line="360" w:lineRule="auto"/>
        <w:jc w:val="both"/>
        <w:rPr>
          <w:rtl/>
        </w:rPr>
      </w:pPr>
    </w:p>
    <w:p w14:paraId="5A364524" w14:textId="77777777" w:rsidR="009A6902" w:rsidRDefault="0026269B">
      <w:pPr>
        <w:spacing w:line="360" w:lineRule="auto"/>
        <w:jc w:val="both"/>
        <w:rPr>
          <w:rtl/>
        </w:rPr>
      </w:pPr>
      <w:r>
        <w:rPr>
          <w:rFonts w:hint="cs"/>
          <w:rtl/>
        </w:rPr>
        <w:t>ביחס לאירוע הראשון, ביום 9.4.10, הכולל תקיפה ואיומים, יש לקבוע מתחם עונשי של בין מאסר מותנה, לבין שמונה חודשי מאסר.</w:t>
      </w:r>
    </w:p>
    <w:p w14:paraId="6F0756CF" w14:textId="77777777" w:rsidR="009A6902" w:rsidRDefault="009A6902">
      <w:pPr>
        <w:spacing w:line="360" w:lineRule="auto"/>
        <w:jc w:val="both"/>
        <w:rPr>
          <w:rtl/>
        </w:rPr>
      </w:pPr>
    </w:p>
    <w:p w14:paraId="079A3026" w14:textId="77777777" w:rsidR="009A6902" w:rsidRDefault="0026269B">
      <w:pPr>
        <w:spacing w:line="360" w:lineRule="auto"/>
        <w:jc w:val="both"/>
        <w:rPr>
          <w:rtl/>
        </w:rPr>
      </w:pPr>
      <w:r>
        <w:rPr>
          <w:rFonts w:hint="cs"/>
          <w:rtl/>
        </w:rPr>
        <w:t>ביחס להפרת ההוראה החוקית וההטרדות הטלפוניות ביום 12.4.10, יש לקבוע מתחם עונשי שבין מאסר מותנה לבין שישה חודשי מאסר (שיכול וירוצו גם בעבודות שירות).</w:t>
      </w:r>
    </w:p>
    <w:p w14:paraId="4135D97A" w14:textId="77777777" w:rsidR="009A6902" w:rsidRDefault="009A6902">
      <w:pPr>
        <w:spacing w:line="360" w:lineRule="auto"/>
        <w:jc w:val="both"/>
        <w:rPr>
          <w:rtl/>
        </w:rPr>
      </w:pPr>
    </w:p>
    <w:p w14:paraId="49E4F596" w14:textId="77777777" w:rsidR="009A6902" w:rsidRDefault="0026269B">
      <w:pPr>
        <w:spacing w:line="360" w:lineRule="auto"/>
        <w:jc w:val="both"/>
        <w:rPr>
          <w:rtl/>
        </w:rPr>
      </w:pPr>
      <w:r>
        <w:rPr>
          <w:rFonts w:hint="cs"/>
          <w:rtl/>
        </w:rPr>
        <w:t>ביחס להפרת ההוראה החוקית והאיומים ביום 17.4.10, בהתחשב בנסיבות הנוספות של התמשכות המעשים, יש לקבוע מתחם עונשי שבין מאסר מותנה לבין שישה חודשי מאסר (שיכול וירוצו גם בעבודות שירות).</w:t>
      </w:r>
    </w:p>
    <w:p w14:paraId="6FAE5448" w14:textId="77777777" w:rsidR="009A6902" w:rsidRDefault="009A6902">
      <w:pPr>
        <w:spacing w:line="360" w:lineRule="auto"/>
        <w:jc w:val="both"/>
        <w:rPr>
          <w:rtl/>
        </w:rPr>
      </w:pPr>
    </w:p>
    <w:p w14:paraId="0DE4315D" w14:textId="77777777" w:rsidR="009A6902" w:rsidRDefault="0026269B">
      <w:pPr>
        <w:spacing w:line="360" w:lineRule="auto"/>
        <w:jc w:val="both"/>
        <w:rPr>
          <w:rtl/>
        </w:rPr>
      </w:pPr>
      <w:r>
        <w:rPr>
          <w:rFonts w:hint="cs"/>
          <w:rtl/>
        </w:rPr>
        <w:t>ביחס לשיבוש מהלכי החקירה ביום 17.4.10, יש לקבוע מתחם עונשי בין שלושה לבין שישה חודשי מאסר (שיכול וירוצו גם בעבודות שירות).</w:t>
      </w:r>
    </w:p>
    <w:p w14:paraId="06468326" w14:textId="77777777" w:rsidR="009A6902" w:rsidRDefault="009A6902">
      <w:pPr>
        <w:spacing w:line="360" w:lineRule="auto"/>
        <w:jc w:val="both"/>
        <w:rPr>
          <w:rtl/>
        </w:rPr>
      </w:pPr>
    </w:p>
    <w:p w14:paraId="5A21EB6C" w14:textId="77777777" w:rsidR="009A6902" w:rsidRDefault="009A6902">
      <w:pPr>
        <w:spacing w:line="360" w:lineRule="auto"/>
        <w:jc w:val="both"/>
        <w:rPr>
          <w:rtl/>
        </w:rPr>
      </w:pPr>
    </w:p>
    <w:p w14:paraId="625164ED" w14:textId="77777777" w:rsidR="009A6902" w:rsidRDefault="009A6902">
      <w:pPr>
        <w:spacing w:line="360" w:lineRule="auto"/>
        <w:jc w:val="both"/>
        <w:rPr>
          <w:rtl/>
        </w:rPr>
      </w:pPr>
    </w:p>
    <w:p w14:paraId="6799B801" w14:textId="77777777" w:rsidR="009A6902" w:rsidRDefault="009A6902">
      <w:pPr>
        <w:spacing w:line="360" w:lineRule="auto"/>
        <w:jc w:val="both"/>
        <w:rPr>
          <w:rtl/>
        </w:rPr>
      </w:pPr>
    </w:p>
    <w:p w14:paraId="0F34EB63" w14:textId="77777777" w:rsidR="009A6902" w:rsidRDefault="0026269B">
      <w:pPr>
        <w:spacing w:line="360" w:lineRule="auto"/>
        <w:jc w:val="both"/>
        <w:rPr>
          <w:rFonts w:ascii="Arial" w:hAnsi="Arial"/>
          <w:rtl/>
        </w:rPr>
      </w:pPr>
      <w:r>
        <w:rPr>
          <w:rFonts w:ascii="Arial" w:hAnsi="Arial" w:hint="cs"/>
          <w:b/>
          <w:bCs/>
          <w:u w:val="single"/>
          <w:rtl/>
        </w:rPr>
        <w:t>קביעת מתחמי ענישה ב</w:t>
      </w:r>
      <w:r w:rsidRPr="00FD71CC">
        <w:rPr>
          <w:rFonts w:ascii="Arial" w:hAnsi="Arial"/>
          <w:b/>
          <w:bCs/>
          <w:color w:val="000000"/>
          <w:rtl/>
        </w:rPr>
        <w:t>ת"פ 23947-06-12</w:t>
      </w:r>
      <w:r>
        <w:rPr>
          <w:rFonts w:ascii="Arial" w:hAnsi="Arial" w:hint="cs"/>
          <w:b/>
          <w:bCs/>
          <w:u w:val="single"/>
          <w:rtl/>
        </w:rPr>
        <w:t>:</w:t>
      </w:r>
    </w:p>
    <w:p w14:paraId="7C36F374" w14:textId="77777777" w:rsidR="009A6902" w:rsidRDefault="009A6902">
      <w:pPr>
        <w:spacing w:line="360" w:lineRule="auto"/>
        <w:jc w:val="both"/>
        <w:rPr>
          <w:rtl/>
        </w:rPr>
      </w:pPr>
    </w:p>
    <w:p w14:paraId="632695B6" w14:textId="77777777" w:rsidR="009A6902" w:rsidRDefault="0026269B">
      <w:pPr>
        <w:spacing w:line="360" w:lineRule="auto"/>
        <w:jc w:val="both"/>
        <w:rPr>
          <w:rtl/>
        </w:rPr>
      </w:pPr>
      <w:r>
        <w:rPr>
          <w:rFonts w:hint="cs"/>
          <w:rtl/>
        </w:rPr>
        <w:t xml:space="preserve">העבירה של תקיפה חובלנית מגנה על שלמות הגוף והבריאות ועל האוטונומיה הפיזית של האדם באופן תקיף יותר מזה של עבירה של תקיפה "סתם", בשל גרימתו-בעין של נזק ממשי. במקרה דנן היתה הפגיעה חמורה מאוד, במיוחד כשמדובר בחניקתה של המתלוננת במשך מספר שניות בהן התקשתה לנשום. הנזק הפוטנציאלי יכול היה להיות חמור הרבה יותר, אך גם הנזק הקונקרטי שנגרם אינו קל כלל וכלל </w:t>
      </w:r>
      <w:r>
        <w:rPr>
          <w:rtl/>
        </w:rPr>
        <w:t>–</w:t>
      </w:r>
      <w:r>
        <w:rPr>
          <w:rFonts w:hint="cs"/>
          <w:rtl/>
        </w:rPr>
        <w:t xml:space="preserve"> קל לשער את הכאב והפחד שחוותה המתלוננת כשנחנקה, ואת צערה ובושתה הנמשכים לנוכח הסימנים שהותיר בצווארה הנאשם. לכך יש להוסיף גם את המעשים המכאיבים, המבזים והמשפילים של הסטירה ומשיכת השיער.</w:t>
      </w:r>
    </w:p>
    <w:p w14:paraId="5A4A4899" w14:textId="77777777" w:rsidR="009A6902" w:rsidRDefault="009A6902">
      <w:pPr>
        <w:spacing w:line="360" w:lineRule="auto"/>
        <w:jc w:val="both"/>
        <w:rPr>
          <w:rtl/>
        </w:rPr>
      </w:pPr>
    </w:p>
    <w:p w14:paraId="6ECFFB7B" w14:textId="77777777" w:rsidR="009A6902" w:rsidRDefault="0026269B">
      <w:pPr>
        <w:spacing w:line="360" w:lineRule="auto"/>
        <w:jc w:val="both"/>
        <w:rPr>
          <w:rtl/>
        </w:rPr>
      </w:pPr>
      <w:r>
        <w:rPr>
          <w:rFonts w:hint="cs"/>
          <w:rtl/>
        </w:rPr>
        <w:t xml:space="preserve">למעשהו של הנאשם נילווה תו מיוחד של השפלה, כמעט סאדיזם, כאשר לא הסתפק בתקיפתה המבזה של המתלוננת לנוכח כל באי המועדון, אלא גם הכריח אותה להעליב את האחר איתו שוחחה. מדובר בנסיבות נוספות שיש לקחתן בחשבון, לפי </w:t>
      </w:r>
      <w:hyperlink r:id="rId38" w:history="1">
        <w:r w:rsidR="003B0BD8" w:rsidRPr="003B0BD8">
          <w:rPr>
            <w:color w:val="0000FF"/>
            <w:u w:val="single"/>
            <w:rtl/>
          </w:rPr>
          <w:t>סעיף 40יב</w:t>
        </w:r>
      </w:hyperlink>
      <w:r>
        <w:rPr>
          <w:rFonts w:hint="cs"/>
          <w:rtl/>
        </w:rPr>
        <w:t xml:space="preserve"> ל</w:t>
      </w:r>
      <w:hyperlink r:id="rId39" w:history="1">
        <w:r w:rsidR="00A41DCF" w:rsidRPr="00A41DCF">
          <w:rPr>
            <w:rStyle w:val="Hyperlink"/>
            <w:rtl/>
          </w:rPr>
          <w:t>חוק העונשין</w:t>
        </w:r>
      </w:hyperlink>
      <w:r>
        <w:rPr>
          <w:rFonts w:hint="cs"/>
          <w:rtl/>
        </w:rPr>
        <w:t>, שהנאשם הודה בהן בכתב האישום ושמחייבות התייחסות מחמירה.</w:t>
      </w:r>
    </w:p>
    <w:p w14:paraId="3BEF9F16" w14:textId="77777777" w:rsidR="009A6902" w:rsidRDefault="009A6902">
      <w:pPr>
        <w:spacing w:line="360" w:lineRule="auto"/>
        <w:jc w:val="both"/>
        <w:rPr>
          <w:rtl/>
        </w:rPr>
      </w:pPr>
    </w:p>
    <w:p w14:paraId="72B6DD24" w14:textId="77777777" w:rsidR="009A6902" w:rsidRDefault="0026269B">
      <w:pPr>
        <w:spacing w:line="360" w:lineRule="auto"/>
        <w:jc w:val="both"/>
        <w:rPr>
          <w:rtl/>
        </w:rPr>
      </w:pPr>
      <w:r>
        <w:rPr>
          <w:rFonts w:hint="cs"/>
          <w:rtl/>
        </w:rPr>
        <w:t>נסיבה נוספת שיש לקחת בחשבון היא ביצועו של מעשה זה כאשר ההליך הפלילי בתיק העיקרי כבר מרחף מעל ראשו של הנאשם, אך גם עניין מוחשי זה לא יכול היה להרתיעו.</w:t>
      </w:r>
    </w:p>
    <w:p w14:paraId="6C4E9939" w14:textId="77777777" w:rsidR="009A6902" w:rsidRDefault="009A6902">
      <w:pPr>
        <w:spacing w:line="360" w:lineRule="auto"/>
        <w:jc w:val="both"/>
        <w:rPr>
          <w:rtl/>
        </w:rPr>
      </w:pPr>
    </w:p>
    <w:p w14:paraId="1E591652" w14:textId="77777777" w:rsidR="009A6902" w:rsidRDefault="0026269B">
      <w:pPr>
        <w:spacing w:line="360" w:lineRule="auto"/>
        <w:jc w:val="both"/>
        <w:rPr>
          <w:rtl/>
        </w:rPr>
      </w:pPr>
      <w:r>
        <w:rPr>
          <w:rFonts w:hint="cs"/>
          <w:rtl/>
        </w:rPr>
        <w:t>לפיכך, יש לקבוע למעשה זה מתחם עונשי מחמיר שבין שישה חודשי מאסר (שיכול וירוצו גם בעבודות שירות) לבין שנת מאסר.</w:t>
      </w:r>
    </w:p>
    <w:p w14:paraId="5ABA0FF2" w14:textId="77777777" w:rsidR="009A6902" w:rsidRDefault="009A6902">
      <w:pPr>
        <w:spacing w:line="360" w:lineRule="auto"/>
        <w:jc w:val="both"/>
        <w:rPr>
          <w:rtl/>
        </w:rPr>
      </w:pPr>
    </w:p>
    <w:p w14:paraId="2F028DAF" w14:textId="77777777" w:rsidR="009A6902" w:rsidRDefault="0026269B">
      <w:pPr>
        <w:spacing w:line="360" w:lineRule="auto"/>
        <w:jc w:val="both"/>
        <w:rPr>
          <w:rFonts w:ascii="Arial" w:hAnsi="Arial"/>
          <w:rtl/>
        </w:rPr>
      </w:pPr>
      <w:r>
        <w:rPr>
          <w:rFonts w:ascii="Arial" w:hAnsi="Arial" w:hint="cs"/>
          <w:b/>
          <w:bCs/>
          <w:u w:val="single"/>
          <w:rtl/>
        </w:rPr>
        <w:t>קביעת מתחמי ענישה בתיקי הסמים:</w:t>
      </w:r>
    </w:p>
    <w:p w14:paraId="10023317" w14:textId="77777777" w:rsidR="009A6902" w:rsidRDefault="009A6902">
      <w:pPr>
        <w:spacing w:line="360" w:lineRule="auto"/>
        <w:jc w:val="both"/>
        <w:rPr>
          <w:rtl/>
        </w:rPr>
      </w:pPr>
    </w:p>
    <w:p w14:paraId="3F6EBBE4" w14:textId="77777777" w:rsidR="009A6902" w:rsidRDefault="0026269B">
      <w:pPr>
        <w:spacing w:line="360" w:lineRule="auto"/>
        <w:jc w:val="both"/>
        <w:rPr>
          <w:rtl/>
        </w:rPr>
      </w:pPr>
      <w:r>
        <w:rPr>
          <w:rFonts w:hint="cs"/>
          <w:rtl/>
        </w:rPr>
        <w:t>בשני התיקים ענייננו בהחזקת כמות לא-גדולה של סמים לשימוש עצמי, ללא נסיבות מיוחדות לחומרה. ניתן לקבוע אפוא מתחם עונשי שבין מאסר על-תנאי לבין שלושה חודשי מאסר (שיכול וירוצו בעבודות שירות) לגבי כל אחד מהתיקים.</w:t>
      </w:r>
    </w:p>
    <w:p w14:paraId="162AFF0F" w14:textId="77777777" w:rsidR="009A6902" w:rsidRDefault="009A6902">
      <w:pPr>
        <w:spacing w:line="360" w:lineRule="auto"/>
        <w:jc w:val="both"/>
        <w:rPr>
          <w:rtl/>
        </w:rPr>
      </w:pPr>
    </w:p>
    <w:p w14:paraId="0A87A524" w14:textId="77777777" w:rsidR="009A6902" w:rsidRDefault="0026269B">
      <w:pPr>
        <w:spacing w:line="360" w:lineRule="auto"/>
        <w:jc w:val="both"/>
        <w:rPr>
          <w:b/>
          <w:bCs/>
          <w:u w:val="single"/>
          <w:rtl/>
        </w:rPr>
      </w:pPr>
      <w:r>
        <w:rPr>
          <w:rFonts w:hint="cs"/>
          <w:b/>
          <w:bCs/>
          <w:u w:val="single"/>
          <w:rtl/>
        </w:rPr>
        <w:t>נסיבות אישיות של הנאשם ושיקולי שיקום:</w:t>
      </w:r>
    </w:p>
    <w:p w14:paraId="10D6FC85" w14:textId="77777777" w:rsidR="009A6902" w:rsidRDefault="009A6902">
      <w:pPr>
        <w:spacing w:line="360" w:lineRule="auto"/>
        <w:jc w:val="both"/>
        <w:rPr>
          <w:rtl/>
        </w:rPr>
      </w:pPr>
    </w:p>
    <w:p w14:paraId="22A234C3" w14:textId="77777777" w:rsidR="009A6902" w:rsidRDefault="0026269B">
      <w:pPr>
        <w:spacing w:line="360" w:lineRule="auto"/>
        <w:jc w:val="both"/>
        <w:rPr>
          <w:rtl/>
        </w:rPr>
      </w:pPr>
      <w:r>
        <w:rPr>
          <w:rFonts w:hint="cs"/>
          <w:rtl/>
        </w:rPr>
        <w:t>הנאשם יליד 1983, המתגורר עם הוריו ולחובתו עבר מכביד ורלוונטי, ביחס לגילו:</w:t>
      </w:r>
    </w:p>
    <w:p w14:paraId="43CEEA64" w14:textId="77777777" w:rsidR="009A6902" w:rsidRDefault="0026269B">
      <w:pPr>
        <w:spacing w:line="360" w:lineRule="auto"/>
        <w:jc w:val="both"/>
        <w:rPr>
          <w:rtl/>
        </w:rPr>
      </w:pPr>
      <w:r>
        <w:rPr>
          <w:rFonts w:hint="cs"/>
          <w:rtl/>
        </w:rPr>
        <w:t xml:space="preserve">כבר בשנת 2005 ביצע עבירות של תקיפת בת-זוג ואיומים, עניין שהסתיים במאסר על-תנאי, קנס ופיצוי בסכומים קטנים, בגזר דין משנת 2007. </w:t>
      </w:r>
    </w:p>
    <w:p w14:paraId="7402D817" w14:textId="77777777" w:rsidR="009A6902" w:rsidRDefault="0026269B">
      <w:pPr>
        <w:spacing w:line="360" w:lineRule="auto"/>
        <w:jc w:val="both"/>
        <w:rPr>
          <w:rtl/>
        </w:rPr>
      </w:pPr>
      <w:r>
        <w:rPr>
          <w:rFonts w:hint="cs"/>
          <w:rtl/>
        </w:rPr>
        <w:t>בשנת 2005 ביצע הנאשם גם עבירת גניבה, עניין שהסתיים במאסר על-תנאי ובהתחייבות.</w:t>
      </w:r>
    </w:p>
    <w:p w14:paraId="2C28DB6C" w14:textId="77777777" w:rsidR="009A6902" w:rsidRDefault="0026269B">
      <w:pPr>
        <w:spacing w:line="360" w:lineRule="auto"/>
        <w:jc w:val="both"/>
        <w:rPr>
          <w:rtl/>
        </w:rPr>
      </w:pPr>
      <w:r>
        <w:rPr>
          <w:rFonts w:hint="cs"/>
          <w:rtl/>
        </w:rPr>
        <w:t>בשנת 2007 ביצע הנאשם עבירות של חבלה ברכב ואיומים, בגינן הורשע ב</w:t>
      </w:r>
      <w:r w:rsidRPr="00FD71CC">
        <w:rPr>
          <w:color w:val="000000"/>
          <w:rtl/>
        </w:rPr>
        <w:t>ת.פ. (ראשל"צ) 4452/07</w:t>
      </w:r>
      <w:r>
        <w:rPr>
          <w:rFonts w:hint="cs"/>
          <w:rtl/>
        </w:rPr>
        <w:t xml:space="preserve"> ודינו נגזר ביום 31.1.08 לקנס, פיצוי ושני מאסרים מותנים </w:t>
      </w:r>
      <w:r>
        <w:rPr>
          <w:rtl/>
        </w:rPr>
        <w:t>–</w:t>
      </w:r>
      <w:r>
        <w:rPr>
          <w:rFonts w:hint="cs"/>
          <w:rtl/>
        </w:rPr>
        <w:t xml:space="preserve"> </w:t>
      </w:r>
    </w:p>
    <w:p w14:paraId="36769BD2" w14:textId="77777777" w:rsidR="009A6902" w:rsidRDefault="0026269B">
      <w:pPr>
        <w:spacing w:line="360" w:lineRule="auto"/>
        <w:jc w:val="both"/>
        <w:rPr>
          <w:rtl/>
        </w:rPr>
      </w:pPr>
      <w:r>
        <w:rPr>
          <w:rFonts w:hint="cs"/>
          <w:rtl/>
        </w:rPr>
        <w:t>מאסר מותנה בן חמישה חודשים, שלא יעבור עבירת אלימות ומאסר מותנה בן שלושה חודשים שלא יעבור עבירת איומים.</w:t>
      </w:r>
    </w:p>
    <w:p w14:paraId="7F449C1B" w14:textId="77777777" w:rsidR="009A6902" w:rsidRDefault="009A6902">
      <w:pPr>
        <w:spacing w:line="360" w:lineRule="auto"/>
        <w:jc w:val="both"/>
        <w:rPr>
          <w:rtl/>
        </w:rPr>
      </w:pPr>
    </w:p>
    <w:p w14:paraId="0625A954" w14:textId="77777777" w:rsidR="009A6902" w:rsidRDefault="0026269B">
      <w:pPr>
        <w:spacing w:line="360" w:lineRule="auto"/>
        <w:jc w:val="both"/>
        <w:rPr>
          <w:rtl/>
        </w:rPr>
      </w:pPr>
      <w:r>
        <w:rPr>
          <w:rFonts w:hint="cs"/>
          <w:rtl/>
        </w:rPr>
        <w:t>התביעה מבקשת להפעיל מאסרים מותנים אלו ואילו ההגנה מבקשת להאריכם.</w:t>
      </w:r>
    </w:p>
    <w:p w14:paraId="6DDDB62F" w14:textId="77777777" w:rsidR="009A6902" w:rsidRDefault="009A6902">
      <w:pPr>
        <w:spacing w:line="360" w:lineRule="auto"/>
        <w:jc w:val="both"/>
        <w:rPr>
          <w:rtl/>
        </w:rPr>
      </w:pPr>
    </w:p>
    <w:p w14:paraId="6DA30B87" w14:textId="77777777" w:rsidR="009A6902" w:rsidRDefault="0026269B">
      <w:pPr>
        <w:spacing w:line="360" w:lineRule="auto"/>
        <w:jc w:val="both"/>
        <w:rPr>
          <w:rtl/>
        </w:rPr>
      </w:pPr>
      <w:r>
        <w:rPr>
          <w:rFonts w:hint="cs"/>
          <w:b/>
          <w:bCs/>
          <w:rtl/>
        </w:rPr>
        <w:t>מתסקירי שירות המבחן, חמישה במספר, עולים הנתונים הבאים:</w:t>
      </w:r>
    </w:p>
    <w:p w14:paraId="22FE2DF6" w14:textId="77777777" w:rsidR="009A6902" w:rsidRDefault="0026269B">
      <w:pPr>
        <w:spacing w:line="360" w:lineRule="auto"/>
        <w:jc w:val="both"/>
        <w:rPr>
          <w:rtl/>
        </w:rPr>
      </w:pPr>
      <w:r>
        <w:rPr>
          <w:rFonts w:hint="cs"/>
          <w:rtl/>
        </w:rPr>
        <w:t>בתסקיר הראשון מיום 6.3.12 תואר הנאשם כאדם אימפולסיבי, המתקשה לשלוט בדחפיו, נוטה לשימוש בחומרים פסיכואקטיביים ומצוי בסיכון להתנהגות אלימה בעתיד. התנהגותו הפרועה של הנאשם החלה עוד בנעוריו, ואת כל העבירות שביצע מאז ומעולם תלה בהשפעת אלכוהול. ניסיונות טיפול קודמים, בשנת 2010, נכשלו עקב אי-שיתוף פעולה מהותי של הנאשם. השירות התרשם כי השילוב בין צרכי השליטה הגבוהים של הנאשם, קשיי שליטתו בדחפיו, האימפולסיביות שלו ונטייתו להשתמש בחומרים פסיכואקטיביים, גורר התנהגות אלימה. מודעותו של הנאשם לבעיותיו ונכונותו לשתף פעולה עם טיפול היו נמוכות.</w:t>
      </w:r>
    </w:p>
    <w:p w14:paraId="0C35E9D9" w14:textId="77777777" w:rsidR="009A6902" w:rsidRDefault="0026269B">
      <w:pPr>
        <w:spacing w:line="360" w:lineRule="auto"/>
        <w:jc w:val="both"/>
        <w:rPr>
          <w:rtl/>
        </w:rPr>
      </w:pPr>
      <w:r>
        <w:rPr>
          <w:rFonts w:hint="cs"/>
          <w:rtl/>
        </w:rPr>
        <w:t xml:space="preserve">בתסקיר השני מיום 9.7.12 נמסר כי הנאשם החל טיפול פרטני שבועי עם עו"ס וכן החל לעבוד באופן קבוע. השירות המליץ לסיים ההליך בהארכת המאסר המותנה וצו מבחן. </w:t>
      </w:r>
    </w:p>
    <w:p w14:paraId="0B58D525" w14:textId="77777777" w:rsidR="009A6902" w:rsidRDefault="0026269B">
      <w:pPr>
        <w:spacing w:line="360" w:lineRule="auto"/>
        <w:jc w:val="both"/>
        <w:rPr>
          <w:rtl/>
        </w:rPr>
      </w:pPr>
      <w:r>
        <w:rPr>
          <w:rFonts w:hint="cs"/>
          <w:rtl/>
        </w:rPr>
        <w:t>בתסקיר השלישי מיום 5.9.12, נמסר כי העו"ס מתרשם שלנאשם נוקשות חשיבתית וצרכי שליטה גבוהים, והוא משתמש לרעה באלכוהול. לנוכח התמדת הנאשם בטיפול ויציבותו בעבודה, שב השירות על המלצתו.</w:t>
      </w:r>
    </w:p>
    <w:p w14:paraId="69F59F77" w14:textId="77777777" w:rsidR="009A6902" w:rsidRDefault="0026269B">
      <w:pPr>
        <w:spacing w:line="360" w:lineRule="auto"/>
        <w:jc w:val="both"/>
        <w:rPr>
          <w:rtl/>
        </w:rPr>
      </w:pPr>
      <w:r>
        <w:rPr>
          <w:rFonts w:hint="cs"/>
          <w:rtl/>
        </w:rPr>
        <w:t xml:space="preserve">בתסקיר הרביעי מיום 13.2.13, דיווח השירות כי הנאשם הפסיק לעבוד וכי בדיקות לגילוי סמים יצאו נקיות. הנאשם שולב בינואר 2013 בקבוצה טיפולית להפסקת שתיית אלכוהול במסגרת עמותת אפש"ר, לצד המשך הטיפול הפרטני ושילוב בקבוצת </w:t>
      </w:r>
      <w:r>
        <w:t>AA</w:t>
      </w:r>
      <w:r>
        <w:rPr>
          <w:rFonts w:hint="cs"/>
          <w:rtl/>
        </w:rPr>
        <w:t>. השירות התרשם כי הטיפול נותן אותותיו לטובה בנאשם, בכל הנוגע לשימוש באלכוהול, אך הסיכון לאלימות נגד בנות-זוג לא פחת ונדרש טיפול גם בתחום זה. טיפול כזה יהיה אפשרי רק לאחר סיום הטיפול בבעיית האלכוהול ובמסגרת צו מבחן. השירות העריך כי הסיכון לאלימות חוזרת הינו ברמה הבינונית, ולנוכח ההתמדה בטיפול והעדר הסתבכויות חדשות, חזר השירות על המלצתו.</w:t>
      </w:r>
    </w:p>
    <w:p w14:paraId="0EF38CD2" w14:textId="77777777" w:rsidR="009A6902" w:rsidRDefault="0026269B">
      <w:pPr>
        <w:spacing w:line="360" w:lineRule="auto"/>
        <w:jc w:val="both"/>
        <w:rPr>
          <w:rtl/>
        </w:rPr>
      </w:pPr>
      <w:r>
        <w:rPr>
          <w:rFonts w:hint="cs"/>
          <w:rtl/>
        </w:rPr>
        <w:t>בתסקיר החמישי מיום 1.7.13, שניתן לאחר צירופם של התיקים הנוספים, הביא השירות את דברי הנאשם לפיהם הוא אלים תחת השפעת אלכוהול. על-אף ההתקדמות בטיפול בהתמכרות לאלכוהול, השירות התרשם כי הסיכון לאלימות חוזרת לא פחת ויש צורך בתהליך טיפולי שיוכל להתחיל לאחר תום הטיפול בהתמכרות לאלכוהול. זאת, כיון שקיימים אצל הנאשם צרכי שליטה גבוהים המשולבים בתפיסות פטריארכליות נוקשות. השירות מסר כי הנאשם לא מתמיד בהגעה לטיפולים בעמותת אפש"ר, הניסיון לשלבו בפרויקט לשיקום תעסוקתי לא צלח והנאשם גם הפסיק עבודה על רקע קשיים בקבלת סמכותו של המעסיק.</w:t>
      </w:r>
    </w:p>
    <w:p w14:paraId="306E200B" w14:textId="77777777" w:rsidR="009A6902" w:rsidRDefault="0026269B">
      <w:pPr>
        <w:spacing w:line="360" w:lineRule="auto"/>
        <w:jc w:val="both"/>
        <w:rPr>
          <w:rtl/>
        </w:rPr>
      </w:pPr>
      <w:r>
        <w:rPr>
          <w:rFonts w:hint="cs"/>
          <w:rtl/>
        </w:rPr>
        <w:t>לנוכח נסיגה משמעותית זו, הגיע השירות למסקנה כי הנאשם לא מתאים לטיפול בו שולב עד-עתה והמליץ לשלבו בקהילה טיפולית סגורה. השירות חזר בו מהמלצתו וביקש לדחות הדיון כדי לבחון השתלבות הנאשם בקהילה הסגורה. איש מהצדדים לא תמך בעמדה חדשה זו של שירות המבחן, לא התבקשה דחיית הדיון, והטיעונים לעונש נשמעו ביום 11.7.13 .</w:t>
      </w:r>
    </w:p>
    <w:p w14:paraId="0BD011FA" w14:textId="77777777" w:rsidR="009A6902" w:rsidRDefault="009A6902">
      <w:pPr>
        <w:spacing w:line="360" w:lineRule="auto"/>
        <w:jc w:val="both"/>
        <w:rPr>
          <w:rtl/>
        </w:rPr>
      </w:pPr>
    </w:p>
    <w:p w14:paraId="484E5E57" w14:textId="77777777" w:rsidR="009A6902" w:rsidRDefault="0026269B">
      <w:pPr>
        <w:spacing w:line="360" w:lineRule="auto"/>
        <w:jc w:val="both"/>
        <w:rPr>
          <w:rtl/>
        </w:rPr>
      </w:pPr>
      <w:r>
        <w:rPr>
          <w:rFonts w:hint="cs"/>
          <w:rtl/>
        </w:rPr>
        <w:t xml:space="preserve">לציין, כי אביו של הנאשם העיד לעונש, אך חלק ניכר מהעובדות שמסר לא עלו בקנה אחד עם מידע שהתקבל משירות המבחן ואף מהנאשם עצמו. </w:t>
      </w:r>
    </w:p>
    <w:p w14:paraId="01860421" w14:textId="77777777" w:rsidR="009A6902" w:rsidRDefault="009A6902">
      <w:pPr>
        <w:spacing w:line="360" w:lineRule="auto"/>
        <w:jc w:val="both"/>
        <w:rPr>
          <w:rtl/>
        </w:rPr>
      </w:pPr>
    </w:p>
    <w:p w14:paraId="0D591545" w14:textId="77777777" w:rsidR="009A6902" w:rsidRDefault="0026269B">
      <w:pPr>
        <w:spacing w:line="360" w:lineRule="auto"/>
        <w:jc w:val="both"/>
        <w:rPr>
          <w:rtl/>
        </w:rPr>
      </w:pPr>
      <w:r>
        <w:rPr>
          <w:rFonts w:hint="cs"/>
          <w:rtl/>
        </w:rPr>
        <w:t>לסיכום יש לומר, כי כעת לא קיימת כל הזדמנות שיקומית ממשית, כששירות המבחן נאלץ לקבוע כי תהליך השיקום בו החל הנאשם נכשל וכששילוב הנאשם בקהילה סגורה לא עומד כלל על הפרק.</w:t>
      </w:r>
    </w:p>
    <w:p w14:paraId="2D91C326" w14:textId="77777777" w:rsidR="009A6902" w:rsidRDefault="009A6902">
      <w:pPr>
        <w:spacing w:line="360" w:lineRule="auto"/>
        <w:jc w:val="both"/>
        <w:rPr>
          <w:rtl/>
        </w:rPr>
      </w:pPr>
    </w:p>
    <w:p w14:paraId="4BF847EE" w14:textId="77777777" w:rsidR="009A6902" w:rsidRDefault="0026269B">
      <w:pPr>
        <w:spacing w:line="360" w:lineRule="auto"/>
        <w:jc w:val="both"/>
        <w:rPr>
          <w:rtl/>
        </w:rPr>
      </w:pPr>
      <w:r>
        <w:rPr>
          <w:rFonts w:hint="cs"/>
          <w:rtl/>
        </w:rPr>
        <w:t>לפיכך, אין כל מקום לחרוג ממתחמי הענישה הראויים.</w:t>
      </w:r>
    </w:p>
    <w:p w14:paraId="0EEC63B9" w14:textId="77777777" w:rsidR="009A6902" w:rsidRDefault="009A6902">
      <w:pPr>
        <w:spacing w:line="360" w:lineRule="auto"/>
        <w:jc w:val="both"/>
        <w:rPr>
          <w:rtl/>
        </w:rPr>
      </w:pPr>
    </w:p>
    <w:p w14:paraId="1DBA5B5E" w14:textId="77777777" w:rsidR="009A6902" w:rsidRDefault="0026269B">
      <w:pPr>
        <w:spacing w:line="360" w:lineRule="auto"/>
        <w:jc w:val="both"/>
        <w:rPr>
          <w:rtl/>
        </w:rPr>
      </w:pPr>
      <w:r>
        <w:rPr>
          <w:rFonts w:hint="cs"/>
          <w:b/>
          <w:bCs/>
          <w:u w:val="single"/>
          <w:rtl/>
        </w:rPr>
        <w:t>קביעת העונש במתחמים:</w:t>
      </w:r>
    </w:p>
    <w:p w14:paraId="114FF09B" w14:textId="77777777" w:rsidR="009A6902" w:rsidRDefault="009A6902">
      <w:pPr>
        <w:spacing w:line="360" w:lineRule="auto"/>
        <w:jc w:val="both"/>
        <w:rPr>
          <w:rtl/>
        </w:rPr>
      </w:pPr>
    </w:p>
    <w:p w14:paraId="42CE1A6A" w14:textId="77777777" w:rsidR="009A6902" w:rsidRDefault="0026269B">
      <w:pPr>
        <w:spacing w:line="360" w:lineRule="auto"/>
        <w:jc w:val="both"/>
        <w:rPr>
          <w:rtl/>
        </w:rPr>
      </w:pPr>
      <w:r>
        <w:rPr>
          <w:rFonts w:hint="cs"/>
          <w:rtl/>
        </w:rPr>
        <w:t>הנאשם כבן שלושים, נטול עבודה והשכלה, נוטה לשימוש לרעה בחומרים ממכרים ונזקק באופן ברור לטיפול שאינו מוכן עדיין לקבל, לפי התוצאות העגומות. ברור, כי במצבו זה הסיכון להישנות העבירות הינו גבוה יותר מהרמה הבינונית שנקבעה בהערכה האופטימית של שירות המבחן, שאינה תקפה עוד.</w:t>
      </w:r>
    </w:p>
    <w:p w14:paraId="77D81F82" w14:textId="77777777" w:rsidR="009A6902" w:rsidRDefault="009A6902">
      <w:pPr>
        <w:spacing w:line="360" w:lineRule="auto"/>
        <w:jc w:val="both"/>
        <w:rPr>
          <w:rtl/>
        </w:rPr>
      </w:pPr>
    </w:p>
    <w:p w14:paraId="393DB79C" w14:textId="77777777" w:rsidR="009A6902" w:rsidRDefault="0026269B">
      <w:pPr>
        <w:spacing w:line="360" w:lineRule="auto"/>
        <w:jc w:val="both"/>
        <w:rPr>
          <w:rtl/>
        </w:rPr>
      </w:pPr>
      <w:r>
        <w:rPr>
          <w:rFonts w:hint="cs"/>
          <w:rtl/>
        </w:rPr>
        <w:t>נטייתו של הנאשם לאלכוהול הינה עניין ישן למדי, לפי דבריו שלו וכעולה מפרוטוקול הדיון ב</w:t>
      </w:r>
      <w:r w:rsidRPr="00FD71CC">
        <w:rPr>
          <w:color w:val="000000"/>
          <w:rtl/>
        </w:rPr>
        <w:t>ת.פ. 4452/07</w:t>
      </w:r>
      <w:r>
        <w:rPr>
          <w:rFonts w:hint="cs"/>
          <w:rtl/>
        </w:rPr>
        <w:t xml:space="preserve"> משנת 2008. למרות זאת, הנאשם לא התמסר לטיפול וגם כיום למעשה הכשיל בהתנהגותו את הטיפול. בנוסף, שירות המבחן התרשם </w:t>
      </w:r>
      <w:r>
        <w:rPr>
          <w:rtl/>
        </w:rPr>
        <w:t>–</w:t>
      </w:r>
      <w:r>
        <w:rPr>
          <w:rFonts w:hint="cs"/>
          <w:rtl/>
        </w:rPr>
        <w:t xml:space="preserve"> וכך מעיד אופי העבירות </w:t>
      </w:r>
      <w:r>
        <w:rPr>
          <w:rtl/>
        </w:rPr>
        <w:t>–</w:t>
      </w:r>
      <w:r>
        <w:rPr>
          <w:rFonts w:hint="cs"/>
          <w:rtl/>
        </w:rPr>
        <w:t xml:space="preserve"> כי לא מדובר רק בהשפעת אלכוהול, אלא בתפיסות "מצ'ואיסטיות" ראויות לכל גנאי, שמובילות את הנאשם לנהוג בידידותיו כברכוש.</w:t>
      </w:r>
    </w:p>
    <w:p w14:paraId="0FB9BF68" w14:textId="77777777" w:rsidR="009A6902" w:rsidRDefault="009A6902">
      <w:pPr>
        <w:spacing w:line="360" w:lineRule="auto"/>
        <w:jc w:val="both"/>
        <w:rPr>
          <w:rtl/>
        </w:rPr>
      </w:pPr>
    </w:p>
    <w:p w14:paraId="63F0A330" w14:textId="77777777" w:rsidR="009A6902" w:rsidRDefault="0026269B">
      <w:pPr>
        <w:spacing w:line="360" w:lineRule="auto"/>
        <w:jc w:val="both"/>
        <w:rPr>
          <w:rtl/>
        </w:rPr>
      </w:pPr>
      <w:r>
        <w:rPr>
          <w:rFonts w:hint="cs"/>
          <w:rtl/>
        </w:rPr>
        <w:t xml:space="preserve">משקל לחומרה יש לתת לעברו הפלילי של הנאשם, הגם שמשקל זה יתמתן בהתחשב בחלוף הזמן מאז ביצוען של העבירות. </w:t>
      </w:r>
    </w:p>
    <w:p w14:paraId="21B1614D" w14:textId="77777777" w:rsidR="009A6902" w:rsidRDefault="009A6902">
      <w:pPr>
        <w:spacing w:line="360" w:lineRule="auto"/>
        <w:jc w:val="both"/>
        <w:rPr>
          <w:rtl/>
        </w:rPr>
      </w:pPr>
    </w:p>
    <w:p w14:paraId="2CEE79ED" w14:textId="77777777" w:rsidR="009A6902" w:rsidRDefault="0026269B">
      <w:pPr>
        <w:spacing w:line="360" w:lineRule="auto"/>
        <w:jc w:val="both"/>
        <w:rPr>
          <w:rtl/>
        </w:rPr>
      </w:pPr>
      <w:r>
        <w:rPr>
          <w:rFonts w:hint="cs"/>
          <w:rtl/>
        </w:rPr>
        <w:t xml:space="preserve">כאמור לעיל, שיקול השיקום אינו עומד עוד על הפרק. עם-זאת, כמצוות </w:t>
      </w:r>
      <w:hyperlink r:id="rId40" w:history="1">
        <w:r w:rsidR="003B0BD8" w:rsidRPr="003B0BD8">
          <w:rPr>
            <w:color w:val="0000FF"/>
            <w:u w:val="single"/>
            <w:rtl/>
          </w:rPr>
          <w:t>סעיף 40ג(ב)</w:t>
        </w:r>
      </w:hyperlink>
      <w:r>
        <w:rPr>
          <w:rFonts w:hint="cs"/>
          <w:rtl/>
        </w:rPr>
        <w:t xml:space="preserve"> ל</w:t>
      </w:r>
      <w:hyperlink r:id="rId41" w:history="1">
        <w:r w:rsidR="00A41DCF" w:rsidRPr="00A41DCF">
          <w:rPr>
            <w:rStyle w:val="Hyperlink"/>
            <w:rtl/>
          </w:rPr>
          <w:t>חוק העונשין</w:t>
        </w:r>
      </w:hyperlink>
      <w:r>
        <w:rPr>
          <w:rFonts w:hint="cs"/>
          <w:rtl/>
        </w:rPr>
        <w:t>, יש לתת משקל לעצם מאמציו של הנאשם לשיקום, ואפילו כשל סוף דבר. כפי שתיאר שירות המבחן, מדובר במאמצים ניכרים, עד שפסה סבלנותו של הנאשם.</w:t>
      </w:r>
    </w:p>
    <w:p w14:paraId="53C8405B" w14:textId="77777777" w:rsidR="009A6902" w:rsidRDefault="009A6902">
      <w:pPr>
        <w:spacing w:line="360" w:lineRule="auto"/>
        <w:jc w:val="both"/>
        <w:rPr>
          <w:rtl/>
        </w:rPr>
      </w:pPr>
    </w:p>
    <w:p w14:paraId="4459B2EF" w14:textId="77777777" w:rsidR="009A6902" w:rsidRDefault="0026269B">
      <w:pPr>
        <w:spacing w:line="360" w:lineRule="auto"/>
        <w:jc w:val="both"/>
        <w:rPr>
          <w:rtl/>
        </w:rPr>
      </w:pPr>
      <w:r>
        <w:rPr>
          <w:rFonts w:hint="cs"/>
          <w:rtl/>
        </w:rPr>
        <w:t>לכף הקולא יש להוסיף את הודיית הנאשם וחרטתו, שהובילו לחסכון ניכר בזמן שיפוטי וחסכון בעדויות המתלוננות. לכך יינתן משקל רב.</w:t>
      </w:r>
    </w:p>
    <w:p w14:paraId="4032466D" w14:textId="77777777" w:rsidR="009A6902" w:rsidRDefault="009A6902">
      <w:pPr>
        <w:spacing w:line="360" w:lineRule="auto"/>
        <w:jc w:val="both"/>
        <w:rPr>
          <w:rtl/>
        </w:rPr>
      </w:pPr>
    </w:p>
    <w:p w14:paraId="63C4A800" w14:textId="77777777" w:rsidR="009A6902" w:rsidRDefault="0026269B">
      <w:pPr>
        <w:spacing w:line="360" w:lineRule="auto"/>
        <w:jc w:val="both"/>
        <w:rPr>
          <w:b/>
          <w:bCs/>
          <w:rtl/>
        </w:rPr>
      </w:pPr>
      <w:r>
        <w:rPr>
          <w:rFonts w:hint="cs"/>
          <w:b/>
          <w:bCs/>
          <w:rtl/>
        </w:rPr>
        <w:t>מאסר:</w:t>
      </w:r>
    </w:p>
    <w:p w14:paraId="0A6DF121" w14:textId="77777777" w:rsidR="009A6902" w:rsidRDefault="009A6902">
      <w:pPr>
        <w:spacing w:line="360" w:lineRule="auto"/>
        <w:jc w:val="both"/>
        <w:rPr>
          <w:rtl/>
        </w:rPr>
      </w:pPr>
    </w:p>
    <w:p w14:paraId="36C82C65" w14:textId="77777777" w:rsidR="009A6902" w:rsidRDefault="0026269B">
      <w:pPr>
        <w:spacing w:line="360" w:lineRule="auto"/>
        <w:jc w:val="both"/>
        <w:rPr>
          <w:rtl/>
        </w:rPr>
      </w:pPr>
      <w:r>
        <w:rPr>
          <w:rFonts w:hint="cs"/>
          <w:rtl/>
        </w:rPr>
        <w:t xml:space="preserve">חומרתו של כל מעשה מצדיקה קביעת העונש במחצית העליונה של כל מתחם, כשלכך יש להוסיף נסיבה מחמירה נוספת </w:t>
      </w:r>
      <w:r>
        <w:rPr>
          <w:rtl/>
        </w:rPr>
        <w:t>–</w:t>
      </w:r>
      <w:r>
        <w:rPr>
          <w:rFonts w:hint="cs"/>
          <w:rtl/>
        </w:rPr>
        <w:t xml:space="preserve"> ביצוען של חלק מהעבירות כאשר התיק העיקרי כבר התנהל. </w:t>
      </w:r>
    </w:p>
    <w:p w14:paraId="385BFB61" w14:textId="77777777" w:rsidR="009A6902" w:rsidRDefault="009A6902">
      <w:pPr>
        <w:spacing w:line="360" w:lineRule="auto"/>
        <w:jc w:val="both"/>
        <w:rPr>
          <w:rtl/>
        </w:rPr>
      </w:pPr>
    </w:p>
    <w:p w14:paraId="3BC7862A" w14:textId="77777777" w:rsidR="009A6902" w:rsidRDefault="0026269B">
      <w:pPr>
        <w:spacing w:line="360" w:lineRule="auto"/>
        <w:jc w:val="both"/>
        <w:rPr>
          <w:rtl/>
        </w:rPr>
      </w:pPr>
      <w:r>
        <w:rPr>
          <w:rFonts w:hint="cs"/>
          <w:rtl/>
        </w:rPr>
        <w:t xml:space="preserve">בנסיבות אלו, ודאי שאין מקום להארכת המאסרים המותנים התלויים ועומדים נגד הנאשם ויש הצדקה מלאה להפעלתם. לפי הדין, ובאין הצדקה לחפיפת העונשים, יופעלו המאסרים המותנים במצטבר לעונש שיוטל, אך בהתחשב בחלוף הזמן </w:t>
      </w:r>
      <w:r>
        <w:rPr>
          <w:rtl/>
        </w:rPr>
        <w:t>–</w:t>
      </w:r>
      <w:r>
        <w:rPr>
          <w:rFonts w:hint="cs"/>
          <w:rtl/>
        </w:rPr>
        <w:t xml:space="preserve"> יופעלו בחופף זה לזה.</w:t>
      </w:r>
    </w:p>
    <w:p w14:paraId="7072CF7F" w14:textId="77777777" w:rsidR="009A6902" w:rsidRDefault="009A6902">
      <w:pPr>
        <w:spacing w:line="360" w:lineRule="auto"/>
        <w:jc w:val="both"/>
        <w:rPr>
          <w:rtl/>
        </w:rPr>
      </w:pPr>
    </w:p>
    <w:p w14:paraId="7F8F3DF5" w14:textId="77777777" w:rsidR="009A6902" w:rsidRDefault="0026269B">
      <w:pPr>
        <w:spacing w:line="360" w:lineRule="auto"/>
        <w:jc w:val="both"/>
        <w:rPr>
          <w:rtl/>
        </w:rPr>
      </w:pPr>
      <w:r>
        <w:rPr>
          <w:rFonts w:hint="cs"/>
          <w:rtl/>
        </w:rPr>
        <w:t xml:space="preserve">בשל העובדה כי מדובר במאסר ראשון ולנוכח הנסיבות לקולא שנמנו לעיל, ייגזר הדין באופן כולל, תוך חפיפה-למעשה (חלקית) של העונשים בגין כל מעשה עבירה. </w:t>
      </w:r>
    </w:p>
    <w:p w14:paraId="3548E5E7" w14:textId="77777777" w:rsidR="009A6902" w:rsidRDefault="009A6902">
      <w:pPr>
        <w:spacing w:line="360" w:lineRule="auto"/>
        <w:jc w:val="both"/>
        <w:rPr>
          <w:rtl/>
        </w:rPr>
      </w:pPr>
    </w:p>
    <w:p w14:paraId="48A8992C" w14:textId="77777777" w:rsidR="009A6902" w:rsidRDefault="0026269B">
      <w:pPr>
        <w:spacing w:line="360" w:lineRule="auto"/>
        <w:jc w:val="both"/>
        <w:rPr>
          <w:b/>
          <w:bCs/>
          <w:rtl/>
        </w:rPr>
      </w:pPr>
      <w:r>
        <w:rPr>
          <w:rFonts w:hint="cs"/>
          <w:b/>
          <w:bCs/>
          <w:rtl/>
        </w:rPr>
        <w:t>רכיבי ענישה נוספים:</w:t>
      </w:r>
    </w:p>
    <w:p w14:paraId="0709070D" w14:textId="77777777" w:rsidR="009A6902" w:rsidRDefault="009A6902">
      <w:pPr>
        <w:spacing w:line="360" w:lineRule="auto"/>
        <w:jc w:val="both"/>
        <w:rPr>
          <w:rtl/>
        </w:rPr>
      </w:pPr>
    </w:p>
    <w:p w14:paraId="00603DF1" w14:textId="77777777" w:rsidR="009A6902" w:rsidRDefault="0026269B">
      <w:pPr>
        <w:spacing w:line="360" w:lineRule="auto"/>
        <w:jc w:val="both"/>
        <w:rPr>
          <w:rtl/>
        </w:rPr>
      </w:pPr>
      <w:r>
        <w:rPr>
          <w:rFonts w:hint="cs"/>
          <w:rtl/>
        </w:rPr>
        <w:t xml:space="preserve">לנוכח תקופת המאסר ומצבו הכלכלי של הנאשם, אמנע מהטלת קנס. לא כך באשר לפיצוי, שכן לפי ההלכה הפסוקה, מצבו הכלכלי של הנאשם ויכולת התשלום שלו אינם משפיעים על קביעתו של פיצוי, כדין פיצוי אזרחי, וראו </w:t>
      </w:r>
      <w:hyperlink r:id="rId42" w:history="1">
        <w:r w:rsidR="00A41DCF" w:rsidRPr="00A41DCF">
          <w:rPr>
            <w:rStyle w:val="Hyperlink"/>
            <w:rtl/>
          </w:rPr>
          <w:t>ע"פ 5761/05</w:t>
        </w:r>
      </w:hyperlink>
      <w:r>
        <w:rPr>
          <w:rFonts w:hint="cs"/>
          <w:rtl/>
        </w:rPr>
        <w:t xml:space="preserve"> </w:t>
      </w:r>
      <w:r>
        <w:rPr>
          <w:rFonts w:hint="cs"/>
          <w:b/>
          <w:bCs/>
          <w:rtl/>
        </w:rPr>
        <w:t xml:space="preserve">מג'דלאוי נ' מ.י. </w:t>
      </w:r>
      <w:r>
        <w:rPr>
          <w:rFonts w:hint="cs"/>
          <w:rtl/>
        </w:rPr>
        <w:t>(2006) ו</w:t>
      </w:r>
      <w:hyperlink r:id="rId43" w:history="1">
        <w:r w:rsidR="00A41DCF" w:rsidRPr="00A41DCF">
          <w:rPr>
            <w:rStyle w:val="Hyperlink"/>
            <w:rtl/>
          </w:rPr>
          <w:t>ע"פ 2661/12</w:t>
        </w:r>
      </w:hyperlink>
      <w:r>
        <w:rPr>
          <w:rFonts w:hint="cs"/>
          <w:rtl/>
        </w:rPr>
        <w:t xml:space="preserve"> </w:t>
      </w:r>
      <w:r>
        <w:rPr>
          <w:rFonts w:hint="cs"/>
          <w:b/>
          <w:bCs/>
          <w:rtl/>
        </w:rPr>
        <w:t xml:space="preserve">פלוני נ' מ.י. </w:t>
      </w:r>
      <w:r>
        <w:rPr>
          <w:rFonts w:hint="cs"/>
          <w:rtl/>
        </w:rPr>
        <w:t xml:space="preserve">(2012). מועד תשלומו של הפיצוי יידחה ואילו דחייה נוספת או פריסה לתשלומים יהיו במידת הצורך עניין לטיפול המרכז לגביית קנסות לפי </w:t>
      </w:r>
      <w:hyperlink r:id="rId44" w:history="1">
        <w:r w:rsidR="003B0BD8" w:rsidRPr="003B0BD8">
          <w:rPr>
            <w:color w:val="0000FF"/>
            <w:u w:val="single"/>
            <w:rtl/>
          </w:rPr>
          <w:t>סעיף 5ב</w:t>
        </w:r>
      </w:hyperlink>
      <w:r>
        <w:rPr>
          <w:rFonts w:hint="cs"/>
          <w:rtl/>
        </w:rPr>
        <w:t>. ל</w:t>
      </w:r>
      <w:hyperlink r:id="rId45" w:history="1">
        <w:r w:rsidR="00A41DCF" w:rsidRPr="00A41DCF">
          <w:rPr>
            <w:rStyle w:val="Hyperlink"/>
            <w:rFonts w:hint="eastAsia"/>
            <w:rtl/>
          </w:rPr>
          <w:t>חוק</w:t>
        </w:r>
        <w:r w:rsidR="00A41DCF" w:rsidRPr="00A41DCF">
          <w:rPr>
            <w:rStyle w:val="Hyperlink"/>
            <w:rtl/>
          </w:rPr>
          <w:t xml:space="preserve"> המרכז לגביית קנסות, אגרות והוצאות</w:t>
        </w:r>
      </w:hyperlink>
      <w:r>
        <w:rPr>
          <w:rFonts w:hint="cs"/>
          <w:rtl/>
        </w:rPr>
        <w:t>, תשנ"ה-1955.</w:t>
      </w:r>
    </w:p>
    <w:p w14:paraId="0734ED38" w14:textId="77777777" w:rsidR="009A6902" w:rsidRDefault="009A6902">
      <w:pPr>
        <w:spacing w:line="360" w:lineRule="auto"/>
        <w:jc w:val="both"/>
        <w:rPr>
          <w:rtl/>
        </w:rPr>
      </w:pPr>
    </w:p>
    <w:p w14:paraId="147D2655" w14:textId="77777777" w:rsidR="009A6902" w:rsidRDefault="0026269B">
      <w:pPr>
        <w:spacing w:line="360" w:lineRule="auto"/>
        <w:jc w:val="both"/>
        <w:rPr>
          <w:rtl/>
        </w:rPr>
      </w:pPr>
      <w:r>
        <w:rPr>
          <w:rFonts w:hint="cs"/>
          <w:rtl/>
        </w:rPr>
        <w:t>על-אף הרשעת הנאשם בעבירות סמים אין מקום לפסילתו מלנהוג, לנוכח חלוף הזמן וניקיונו מסמים ומחמת זאת שהעדר רישיון יקשה מאוד על שיקום תעסוקתי לאחר שחרור הנאשם מהכלא.</w:t>
      </w:r>
    </w:p>
    <w:p w14:paraId="20345A72" w14:textId="77777777" w:rsidR="009A6902" w:rsidRDefault="009A6902">
      <w:pPr>
        <w:spacing w:line="360" w:lineRule="auto"/>
        <w:jc w:val="both"/>
        <w:rPr>
          <w:rtl/>
        </w:rPr>
      </w:pPr>
    </w:p>
    <w:p w14:paraId="137E8E43" w14:textId="77777777" w:rsidR="009A6902" w:rsidRDefault="0026269B">
      <w:pPr>
        <w:rPr>
          <w:b/>
          <w:bCs/>
          <w:u w:val="single"/>
          <w:rtl/>
        </w:rPr>
      </w:pPr>
      <w:r>
        <w:rPr>
          <w:rFonts w:hint="cs"/>
          <w:b/>
          <w:bCs/>
          <w:u w:val="single"/>
          <w:rtl/>
        </w:rPr>
        <w:t>אני גוזר אפוא על הנאשם את העונשים הבאים:</w:t>
      </w:r>
    </w:p>
    <w:p w14:paraId="79245D11" w14:textId="77777777" w:rsidR="009A6902" w:rsidRDefault="009A6902">
      <w:pPr>
        <w:spacing w:line="360" w:lineRule="auto"/>
        <w:ind w:left="720" w:hanging="720"/>
        <w:jc w:val="both"/>
        <w:rPr>
          <w:rtl/>
        </w:rPr>
      </w:pPr>
    </w:p>
    <w:p w14:paraId="03134AA1" w14:textId="77777777" w:rsidR="009A6902" w:rsidRDefault="0026269B">
      <w:pPr>
        <w:spacing w:line="360" w:lineRule="auto"/>
        <w:ind w:left="720" w:hanging="720"/>
        <w:jc w:val="both"/>
        <w:rPr>
          <w:rtl/>
        </w:rPr>
      </w:pPr>
      <w:r>
        <w:rPr>
          <w:rFonts w:hint="cs"/>
          <w:rtl/>
        </w:rPr>
        <w:t>א.</w:t>
      </w:r>
      <w:r>
        <w:rPr>
          <w:rFonts w:hint="cs"/>
          <w:rtl/>
        </w:rPr>
        <w:tab/>
        <w:t>שמונה חודשי מאסר בפועל, בניכוי ימי מעצרו של הנאשם (ככל שהיו) לפי רישומי שב"ס, בתיק העיקרי ובתיקי הצירוף;</w:t>
      </w:r>
    </w:p>
    <w:p w14:paraId="1622BE82" w14:textId="77777777" w:rsidR="009A6902" w:rsidRDefault="009A6902">
      <w:pPr>
        <w:spacing w:line="360" w:lineRule="auto"/>
        <w:ind w:left="720" w:hanging="720"/>
        <w:jc w:val="both"/>
        <w:rPr>
          <w:rtl/>
        </w:rPr>
      </w:pPr>
    </w:p>
    <w:p w14:paraId="4DF347A9" w14:textId="77777777" w:rsidR="009A6902" w:rsidRDefault="0026269B">
      <w:pPr>
        <w:spacing w:line="360" w:lineRule="auto"/>
        <w:ind w:left="720" w:hanging="720"/>
        <w:jc w:val="both"/>
        <w:rPr>
          <w:rtl/>
        </w:rPr>
      </w:pPr>
      <w:r>
        <w:rPr>
          <w:rFonts w:hint="cs"/>
          <w:rtl/>
        </w:rPr>
        <w:t>ב.</w:t>
      </w:r>
      <w:r>
        <w:rPr>
          <w:rFonts w:hint="cs"/>
          <w:rtl/>
        </w:rPr>
        <w:tab/>
        <w:t>אני מפעיל את המאסרים המותנים, בני חמישה חודשים ושלושה חודשים, שהוטלו ביום 31.1.08 ב</w:t>
      </w:r>
      <w:r w:rsidRPr="00FD71CC">
        <w:rPr>
          <w:color w:val="000000"/>
          <w:rtl/>
        </w:rPr>
        <w:t>ת.פ. (ראשל"צ) 4452/07</w:t>
      </w:r>
      <w:r>
        <w:rPr>
          <w:rFonts w:hint="cs"/>
          <w:rtl/>
        </w:rPr>
        <w:t>, בחפיפה זה לזה ובמצטבר לעונש המאסר אותו הטלתי, כך שהנאשם ירצה סך הכל עונש מאסר בן 13 חודשים בניכוי ימי מעצר כאמור;</w:t>
      </w:r>
    </w:p>
    <w:p w14:paraId="0911055A" w14:textId="77777777" w:rsidR="009A6902" w:rsidRDefault="009A6902">
      <w:pPr>
        <w:spacing w:line="360" w:lineRule="auto"/>
        <w:ind w:left="720" w:hanging="720"/>
        <w:jc w:val="both"/>
        <w:rPr>
          <w:rtl/>
        </w:rPr>
      </w:pPr>
    </w:p>
    <w:p w14:paraId="6D06F0D6" w14:textId="77777777" w:rsidR="009A6902" w:rsidRDefault="0026269B">
      <w:pPr>
        <w:spacing w:line="360" w:lineRule="auto"/>
        <w:ind w:left="720" w:hanging="720"/>
        <w:jc w:val="both"/>
        <w:rPr>
          <w:rtl/>
        </w:rPr>
      </w:pPr>
      <w:r>
        <w:rPr>
          <w:rFonts w:hint="cs"/>
          <w:rtl/>
        </w:rPr>
        <w:t>ג.</w:t>
      </w:r>
      <w:r>
        <w:rPr>
          <w:rFonts w:hint="cs"/>
          <w:rtl/>
        </w:rPr>
        <w:tab/>
        <w:t>מאסר על-תנאי בן שישה חודשים למשך שנתיים מיום שחרורו, שלא יעבור כל עבירת אלימות נגד הגוף למעט איומים, וכן עבירה של שיבוש מהלכי חקירה או משפט;</w:t>
      </w:r>
    </w:p>
    <w:p w14:paraId="3E5222DA" w14:textId="77777777" w:rsidR="009A6902" w:rsidRDefault="009A6902">
      <w:pPr>
        <w:spacing w:line="360" w:lineRule="auto"/>
        <w:ind w:left="720" w:hanging="720"/>
        <w:jc w:val="both"/>
        <w:rPr>
          <w:rtl/>
        </w:rPr>
      </w:pPr>
    </w:p>
    <w:p w14:paraId="700FC841" w14:textId="77777777" w:rsidR="009A6902" w:rsidRDefault="0026269B">
      <w:pPr>
        <w:spacing w:line="360" w:lineRule="auto"/>
        <w:ind w:left="720" w:hanging="720"/>
        <w:jc w:val="both"/>
        <w:rPr>
          <w:rtl/>
        </w:rPr>
      </w:pPr>
      <w:r>
        <w:rPr>
          <w:rFonts w:hint="cs"/>
          <w:rtl/>
        </w:rPr>
        <w:t>ד.</w:t>
      </w:r>
      <w:r>
        <w:rPr>
          <w:rFonts w:hint="cs"/>
          <w:rtl/>
        </w:rPr>
        <w:tab/>
        <w:t>מאסר על-תנאי בן שלושה חודשים למשך שנתיים מיום שחרורו, שלא יעבור עבירת איומים או עבירת סמים או עבירה של הטרדה באמצעות מתקן בזק;</w:t>
      </w:r>
    </w:p>
    <w:p w14:paraId="28825542" w14:textId="77777777" w:rsidR="009A6902" w:rsidRDefault="009A6902">
      <w:pPr>
        <w:spacing w:line="360" w:lineRule="auto"/>
        <w:ind w:left="720" w:hanging="720"/>
        <w:jc w:val="both"/>
        <w:rPr>
          <w:rtl/>
        </w:rPr>
      </w:pPr>
    </w:p>
    <w:p w14:paraId="2B0D9155" w14:textId="77777777" w:rsidR="009A6902" w:rsidRDefault="0026269B">
      <w:pPr>
        <w:spacing w:line="360" w:lineRule="auto"/>
        <w:ind w:left="720" w:hanging="720"/>
        <w:jc w:val="both"/>
        <w:rPr>
          <w:rtl/>
        </w:rPr>
      </w:pPr>
      <w:r>
        <w:rPr>
          <w:rFonts w:hint="cs"/>
          <w:rtl/>
        </w:rPr>
        <w:t>ה.</w:t>
      </w:r>
      <w:r>
        <w:rPr>
          <w:rFonts w:hint="cs"/>
          <w:rtl/>
        </w:rPr>
        <w:tab/>
        <w:t xml:space="preserve">פיצוי למתלוננת גב' </w:t>
      </w:r>
      <w:r>
        <w:rPr>
          <w:rFonts w:ascii="Arial" w:hAnsi="Arial" w:hint="cs"/>
          <w:rtl/>
        </w:rPr>
        <w:t xml:space="preserve">מרים נחמני בסך 1,000 ₪ ופיצוי למתלוננת גב' </w:t>
      </w:r>
      <w:r>
        <w:rPr>
          <w:rFonts w:hint="cs"/>
          <w:rtl/>
        </w:rPr>
        <w:t xml:space="preserve"> נטלי הרוש בסך 3,000 ₪. הפיצויים יופקדו בקופת בית המשפט ויועברו למתלוננות, לא יאוחר מיום 1.11.13 אחרת יישאו הפרשי ריבית והצמדה מהיום ועד ליום התשלום בפועל;</w:t>
      </w:r>
    </w:p>
    <w:p w14:paraId="428D20E0" w14:textId="77777777" w:rsidR="009A6902" w:rsidRDefault="009A6902">
      <w:pPr>
        <w:spacing w:line="360" w:lineRule="auto"/>
        <w:ind w:left="720" w:hanging="720"/>
        <w:jc w:val="both"/>
        <w:rPr>
          <w:rtl/>
        </w:rPr>
      </w:pPr>
    </w:p>
    <w:p w14:paraId="3B3317A7" w14:textId="77777777" w:rsidR="009A6902" w:rsidRDefault="0026269B">
      <w:pPr>
        <w:spacing w:line="360" w:lineRule="auto"/>
        <w:jc w:val="both"/>
        <w:rPr>
          <w:rtl/>
        </w:rPr>
      </w:pPr>
      <w:r>
        <w:rPr>
          <w:rFonts w:hint="cs"/>
          <w:b/>
          <w:bCs/>
          <w:u w:val="single"/>
          <w:rtl/>
        </w:rPr>
        <w:t>הוראות נלוות:</w:t>
      </w:r>
    </w:p>
    <w:p w14:paraId="321F392F" w14:textId="77777777" w:rsidR="009A6902" w:rsidRDefault="0026269B">
      <w:pPr>
        <w:spacing w:line="360" w:lineRule="auto"/>
        <w:jc w:val="both"/>
        <w:rPr>
          <w:rtl/>
        </w:rPr>
      </w:pPr>
      <w:r>
        <w:rPr>
          <w:rFonts w:hint="cs"/>
          <w:rtl/>
        </w:rPr>
        <w:t>א.</w:t>
      </w:r>
      <w:r>
        <w:rPr>
          <w:rFonts w:hint="cs"/>
          <w:rtl/>
        </w:rPr>
        <w:tab/>
        <w:t>הסמים יושמדו;</w:t>
      </w:r>
    </w:p>
    <w:p w14:paraId="72E19FE8" w14:textId="77777777" w:rsidR="009A6902" w:rsidRDefault="0026269B">
      <w:pPr>
        <w:spacing w:line="360" w:lineRule="auto"/>
        <w:ind w:left="720" w:hanging="720"/>
        <w:jc w:val="both"/>
        <w:rPr>
          <w:rtl/>
        </w:rPr>
      </w:pPr>
      <w:r>
        <w:rPr>
          <w:rFonts w:hint="cs"/>
          <w:rtl/>
        </w:rPr>
        <w:t>ב.</w:t>
      </w:r>
      <w:r>
        <w:rPr>
          <w:rFonts w:hint="cs"/>
          <w:rtl/>
        </w:rPr>
        <w:tab/>
        <w:t>המזכירות תשלח עותקי גזר הדין לידיעת שירות המבחן וכן לשתי המתלוננות (עדת תביעה 1 ב</w:t>
      </w:r>
      <w:hyperlink r:id="rId46" w:history="1">
        <w:r w:rsidR="00A41DCF" w:rsidRPr="00A41DCF">
          <w:rPr>
            <w:rStyle w:val="Hyperlink"/>
            <w:rFonts w:hint="eastAsia"/>
            <w:rtl/>
          </w:rPr>
          <w:t>ת</w:t>
        </w:r>
        <w:r w:rsidR="00A41DCF" w:rsidRPr="00A41DCF">
          <w:rPr>
            <w:rStyle w:val="Hyperlink"/>
            <w:rtl/>
          </w:rPr>
          <w:t>.פ. 18193-01-11</w:t>
        </w:r>
      </w:hyperlink>
      <w:r>
        <w:rPr>
          <w:rFonts w:hint="cs"/>
          <w:rtl/>
        </w:rPr>
        <w:t xml:space="preserve"> ועדת תביעה 3 ב</w:t>
      </w:r>
      <w:hyperlink r:id="rId47" w:history="1">
        <w:r w:rsidR="00A41DCF" w:rsidRPr="00A41DCF">
          <w:rPr>
            <w:rStyle w:val="Hyperlink"/>
            <w:rtl/>
          </w:rPr>
          <w:t>ת.פ. 29947-06-12</w:t>
        </w:r>
      </w:hyperlink>
      <w:r>
        <w:rPr>
          <w:rFonts w:hint="cs"/>
          <w:rtl/>
        </w:rPr>
        <w:t>);</w:t>
      </w:r>
    </w:p>
    <w:p w14:paraId="54C06D55" w14:textId="77777777" w:rsidR="009A6902" w:rsidRDefault="009A6902">
      <w:pPr>
        <w:spacing w:line="360" w:lineRule="auto"/>
        <w:ind w:left="720" w:hanging="720"/>
        <w:jc w:val="both"/>
        <w:rPr>
          <w:rtl/>
        </w:rPr>
      </w:pPr>
    </w:p>
    <w:p w14:paraId="752F3F00" w14:textId="77777777" w:rsidR="009A6902" w:rsidRDefault="0026269B">
      <w:pPr>
        <w:spacing w:line="360" w:lineRule="auto"/>
        <w:jc w:val="both"/>
        <w:rPr>
          <w:rtl/>
        </w:rPr>
      </w:pPr>
      <w:r>
        <w:rPr>
          <w:rFonts w:hint="cs"/>
          <w:rtl/>
        </w:rPr>
        <w:t>זכות ערעור תוך 45 ימים מהיום.</w:t>
      </w:r>
    </w:p>
    <w:p w14:paraId="3090DD22" w14:textId="77777777" w:rsidR="009A6902" w:rsidRPr="0026269B" w:rsidRDefault="0026269B">
      <w:pPr>
        <w:spacing w:line="360" w:lineRule="auto"/>
        <w:jc w:val="both"/>
        <w:rPr>
          <w:color w:val="FFFFFF"/>
          <w:sz w:val="2"/>
          <w:szCs w:val="2"/>
          <w:rtl/>
        </w:rPr>
      </w:pPr>
      <w:r w:rsidRPr="0026269B">
        <w:rPr>
          <w:color w:val="FFFFFF"/>
          <w:sz w:val="2"/>
          <w:szCs w:val="2"/>
          <w:rtl/>
        </w:rPr>
        <w:t>5129371</w:t>
      </w:r>
    </w:p>
    <w:p w14:paraId="40803E30" w14:textId="77777777" w:rsidR="009A6902" w:rsidRDefault="0026269B">
      <w:pPr>
        <w:rPr>
          <w:rFonts w:cs="FrankRuehl"/>
          <w:sz w:val="28"/>
          <w:szCs w:val="28"/>
          <w:rtl/>
        </w:rPr>
      </w:pPr>
      <w:r w:rsidRPr="0026269B">
        <w:rPr>
          <w:rFonts w:ascii="Arial" w:hAnsi="Arial"/>
          <w:color w:val="FFFFFF"/>
          <w:sz w:val="2"/>
          <w:szCs w:val="2"/>
          <w:rtl/>
        </w:rPr>
        <w:t>54678313</w:t>
      </w:r>
      <w:r>
        <w:rPr>
          <w:rFonts w:ascii="Arial" w:hAnsi="Arial"/>
          <w:rtl/>
        </w:rPr>
        <w:t xml:space="preserve">ניתן היום,  ב' אלול תשע"ג, 08 אוגוסט 2013, במעמד הצדדים. </w:t>
      </w:r>
    </w:p>
    <w:p w14:paraId="12DE934D" w14:textId="77777777" w:rsidR="009A6902" w:rsidRDefault="0026269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FC5BEF8" w14:textId="77777777" w:rsidR="009A6902" w:rsidRDefault="009A6902">
      <w:pPr>
        <w:jc w:val="center"/>
        <w:rPr>
          <w:rFonts w:ascii="Arial" w:hAnsi="Arial" w:cs="FrankRuehl"/>
          <w:sz w:val="28"/>
          <w:szCs w:val="28"/>
          <w:rtl/>
        </w:rPr>
      </w:pPr>
    </w:p>
    <w:p w14:paraId="603C33AB" w14:textId="77777777" w:rsidR="009A6902" w:rsidRDefault="009A6902">
      <w:pPr>
        <w:rPr>
          <w:rFonts w:cs="FrankRuehl"/>
          <w:sz w:val="28"/>
          <w:szCs w:val="28"/>
          <w:rtl/>
        </w:rPr>
      </w:pPr>
    </w:p>
    <w:p w14:paraId="0096FF77" w14:textId="77777777" w:rsidR="009A6902" w:rsidRPr="00E221A8" w:rsidRDefault="00E221A8">
      <w:pPr>
        <w:pStyle w:val="a3"/>
        <w:jc w:val="center"/>
        <w:rPr>
          <w:color w:val="FFFFFF"/>
          <w:sz w:val="2"/>
          <w:szCs w:val="2"/>
          <w:rtl/>
        </w:rPr>
      </w:pPr>
      <w:r w:rsidRPr="00E221A8">
        <w:rPr>
          <w:color w:val="FFFFFF"/>
          <w:sz w:val="2"/>
          <w:szCs w:val="2"/>
          <w:rtl/>
        </w:rPr>
        <w:t>5129371</w:t>
      </w:r>
    </w:p>
    <w:p w14:paraId="3BD331A0" w14:textId="77777777" w:rsidR="0026269B" w:rsidRPr="00E221A8" w:rsidRDefault="00E221A8" w:rsidP="0026269B">
      <w:pPr>
        <w:keepNext/>
        <w:rPr>
          <w:rFonts w:ascii="David" w:hAnsi="David"/>
          <w:color w:val="FFFFFF"/>
          <w:sz w:val="2"/>
          <w:szCs w:val="2"/>
          <w:rtl/>
        </w:rPr>
      </w:pPr>
      <w:r w:rsidRPr="00E221A8">
        <w:rPr>
          <w:rFonts w:ascii="David" w:hAnsi="David"/>
          <w:color w:val="FFFFFF"/>
          <w:sz w:val="2"/>
          <w:szCs w:val="2"/>
          <w:rtl/>
        </w:rPr>
        <w:t>54678313</w:t>
      </w:r>
    </w:p>
    <w:p w14:paraId="3023A636" w14:textId="77777777" w:rsidR="0026269B" w:rsidRDefault="0026269B" w:rsidP="0026269B">
      <w:pPr>
        <w:rPr>
          <w:rtl/>
        </w:rPr>
      </w:pPr>
    </w:p>
    <w:p w14:paraId="62AC37D0" w14:textId="77777777" w:rsidR="0026269B" w:rsidRDefault="0026269B" w:rsidP="0026269B">
      <w:pPr>
        <w:jc w:val="center"/>
        <w:rPr>
          <w:color w:val="0000FF"/>
          <w:u w:val="single"/>
        </w:rPr>
      </w:pPr>
      <w:r w:rsidRPr="00FD71CC">
        <w:rPr>
          <w:color w:val="000000"/>
          <w:rtl/>
        </w:rPr>
        <w:t>בעניין עריכה ושינויים במסמכי פסיקה, חקיקה ועוד באתר נבו – הקש כאן</w:t>
      </w:r>
    </w:p>
    <w:p w14:paraId="03E60A5F" w14:textId="77777777" w:rsidR="00E221A8" w:rsidRPr="00E221A8" w:rsidRDefault="00E221A8" w:rsidP="00E221A8">
      <w:pPr>
        <w:keepNext/>
        <w:rPr>
          <w:rFonts w:ascii="David" w:hAnsi="David"/>
          <w:color w:val="000000"/>
          <w:sz w:val="22"/>
          <w:szCs w:val="22"/>
          <w:rtl/>
        </w:rPr>
      </w:pPr>
    </w:p>
    <w:p w14:paraId="2B288FE4" w14:textId="77777777" w:rsidR="00E221A8" w:rsidRPr="00E221A8" w:rsidRDefault="00E221A8" w:rsidP="00E221A8">
      <w:pPr>
        <w:keepNext/>
        <w:rPr>
          <w:rFonts w:ascii="David" w:hAnsi="David"/>
          <w:color w:val="000000"/>
          <w:sz w:val="22"/>
          <w:szCs w:val="22"/>
          <w:rtl/>
        </w:rPr>
      </w:pPr>
      <w:r w:rsidRPr="00E221A8">
        <w:rPr>
          <w:rFonts w:ascii="David" w:hAnsi="David"/>
          <w:color w:val="000000"/>
          <w:sz w:val="22"/>
          <w:szCs w:val="22"/>
          <w:rtl/>
        </w:rPr>
        <w:t>עידו דרויאן 54678313-/</w:t>
      </w:r>
    </w:p>
    <w:p w14:paraId="4E24EC34" w14:textId="77777777" w:rsidR="009A6902" w:rsidRPr="0026269B" w:rsidRDefault="00E221A8" w:rsidP="00E221A8">
      <w:pPr>
        <w:rPr>
          <w:color w:val="0000FF"/>
          <w:u w:val="single"/>
        </w:rPr>
      </w:pPr>
      <w:r w:rsidRPr="00E221A8">
        <w:rPr>
          <w:color w:val="000000"/>
          <w:u w:val="single"/>
          <w:rtl/>
        </w:rPr>
        <w:t>נוסח מסמך זה כפוף לשינויי ניסוח ועריכה</w:t>
      </w:r>
    </w:p>
    <w:sectPr w:rsidR="009A6902" w:rsidRPr="0026269B" w:rsidSect="00E221A8">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0100E" w14:textId="77777777" w:rsidR="00E82231" w:rsidRPr="00611916" w:rsidRDefault="00E82231">
      <w:pPr>
        <w:rPr>
          <w:rFonts w:cs="Arial"/>
          <w:szCs w:val="20"/>
        </w:rPr>
      </w:pPr>
      <w:r>
        <w:separator/>
      </w:r>
    </w:p>
  </w:endnote>
  <w:endnote w:type="continuationSeparator" w:id="0">
    <w:p w14:paraId="0AC9184F" w14:textId="77777777" w:rsidR="00E82231" w:rsidRPr="00611916" w:rsidRDefault="00E8223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722CF" w14:textId="77777777" w:rsidR="00EC195E" w:rsidRDefault="00EC195E" w:rsidP="00E221A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64F6506" w14:textId="77777777" w:rsidR="00EC195E" w:rsidRPr="00E221A8" w:rsidRDefault="00EC195E" w:rsidP="00E221A8">
    <w:pPr>
      <w:pStyle w:val="a4"/>
      <w:pBdr>
        <w:top w:val="single" w:sz="4" w:space="1" w:color="auto"/>
        <w:between w:val="single" w:sz="4" w:space="0" w:color="auto"/>
      </w:pBdr>
      <w:spacing w:after="60"/>
      <w:jc w:val="center"/>
      <w:rPr>
        <w:rFonts w:ascii="FrankRuehl" w:hAnsi="FrankRuehl" w:cs="FrankRuehl"/>
        <w:color w:val="000000"/>
      </w:rPr>
    </w:pPr>
    <w:r w:rsidRPr="00E221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54549" w14:textId="77777777" w:rsidR="00EC195E" w:rsidRDefault="00EC195E" w:rsidP="00E221A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16310">
      <w:rPr>
        <w:rFonts w:ascii="FrankRuehl" w:hAnsi="FrankRuehl" w:cs="FrankRuehl"/>
        <w:noProof/>
        <w:rtl/>
      </w:rPr>
      <w:t>1</w:t>
    </w:r>
    <w:r>
      <w:rPr>
        <w:rFonts w:ascii="FrankRuehl" w:hAnsi="FrankRuehl" w:cs="FrankRuehl"/>
        <w:rtl/>
      </w:rPr>
      <w:fldChar w:fldCharType="end"/>
    </w:r>
  </w:p>
  <w:p w14:paraId="120FE3C1" w14:textId="77777777" w:rsidR="00EC195E" w:rsidRPr="00E221A8" w:rsidRDefault="00EC195E" w:rsidP="00E221A8">
    <w:pPr>
      <w:pStyle w:val="a4"/>
      <w:pBdr>
        <w:top w:val="single" w:sz="4" w:space="1" w:color="auto"/>
        <w:between w:val="single" w:sz="4" w:space="0" w:color="auto"/>
      </w:pBdr>
      <w:spacing w:after="60"/>
      <w:jc w:val="center"/>
      <w:rPr>
        <w:rFonts w:ascii="FrankRuehl" w:hAnsi="FrankRuehl" w:cs="FrankRuehl"/>
        <w:color w:val="000000"/>
      </w:rPr>
    </w:pPr>
    <w:r w:rsidRPr="00E221A8">
      <w:rPr>
        <w:rFonts w:ascii="FrankRuehl" w:hAnsi="FrankRuehl" w:cs="FrankRuehl"/>
        <w:color w:val="000000"/>
      </w:rPr>
      <w:pict w14:anchorId="1059E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3F7DD" w14:textId="77777777" w:rsidR="00E82231" w:rsidRPr="00611916" w:rsidRDefault="00E82231">
      <w:pPr>
        <w:rPr>
          <w:rFonts w:cs="Arial"/>
          <w:szCs w:val="20"/>
        </w:rPr>
      </w:pPr>
      <w:r>
        <w:separator/>
      </w:r>
    </w:p>
  </w:footnote>
  <w:footnote w:type="continuationSeparator" w:id="0">
    <w:p w14:paraId="28E796D9" w14:textId="77777777" w:rsidR="00E82231" w:rsidRPr="00611916" w:rsidRDefault="00E8223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884D8" w14:textId="77777777" w:rsidR="00EC195E" w:rsidRPr="00E221A8" w:rsidRDefault="00EC195E" w:rsidP="00E221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18193-01-11</w:t>
    </w:r>
    <w:r>
      <w:rPr>
        <w:rFonts w:ascii="David" w:hAnsi="David"/>
        <w:color w:val="000000"/>
        <w:sz w:val="22"/>
        <w:szCs w:val="22"/>
        <w:rtl/>
      </w:rPr>
      <w:tab/>
      <w:t xml:space="preserve"> מדינת ישראל נ' יעקב קובי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336AA" w14:textId="77777777" w:rsidR="00EC195E" w:rsidRPr="00E221A8" w:rsidRDefault="00EC195E" w:rsidP="00E221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18193-01-11</w:t>
    </w:r>
    <w:r>
      <w:rPr>
        <w:rFonts w:ascii="David" w:hAnsi="David"/>
        <w:color w:val="000000"/>
        <w:sz w:val="22"/>
        <w:szCs w:val="22"/>
        <w:rtl/>
      </w:rPr>
      <w:tab/>
      <w:t xml:space="preserve"> מדינת ישראל נ' יעקב קובי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57A2"/>
    <w:multiLevelType w:val="hybridMultilevel"/>
    <w:tmpl w:val="74E63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C91DFE"/>
    <w:multiLevelType w:val="hybridMultilevel"/>
    <w:tmpl w:val="94306D70"/>
    <w:lvl w:ilvl="0" w:tplc="635AE3F4">
      <w:start w:val="1"/>
      <w:numFmt w:val="hebrew1"/>
      <w:lvlText w:val="%1."/>
      <w:lvlJc w:val="left"/>
      <w:pPr>
        <w:tabs>
          <w:tab w:val="num" w:pos="1035"/>
        </w:tabs>
        <w:ind w:left="1035" w:hanging="6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45342324">
    <w:abstractNumId w:val="0"/>
  </w:num>
  <w:num w:numId="2" w16cid:durableId="1392969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6902"/>
    <w:rsid w:val="00016310"/>
    <w:rsid w:val="0011710F"/>
    <w:rsid w:val="001A5A39"/>
    <w:rsid w:val="0026269B"/>
    <w:rsid w:val="003B0BD8"/>
    <w:rsid w:val="007E0754"/>
    <w:rsid w:val="00980BB8"/>
    <w:rsid w:val="009A6902"/>
    <w:rsid w:val="00A41DCF"/>
    <w:rsid w:val="00C421A6"/>
    <w:rsid w:val="00DB5654"/>
    <w:rsid w:val="00E221A8"/>
    <w:rsid w:val="00E82231"/>
    <w:rsid w:val="00EC195E"/>
    <w:rsid w:val="00FD71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0A95F0"/>
  <w15:chartTrackingRefBased/>
  <w15:docId w15:val="{0DCCD81C-4A73-4A6B-85B7-47669543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690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A6902"/>
    <w:pPr>
      <w:tabs>
        <w:tab w:val="center" w:pos="4153"/>
        <w:tab w:val="right" w:pos="8306"/>
      </w:tabs>
    </w:pPr>
  </w:style>
  <w:style w:type="paragraph" w:styleId="a4">
    <w:name w:val="footer"/>
    <w:basedOn w:val="a"/>
    <w:rsid w:val="009A6902"/>
    <w:pPr>
      <w:tabs>
        <w:tab w:val="center" w:pos="4153"/>
        <w:tab w:val="right" w:pos="8306"/>
      </w:tabs>
    </w:pPr>
  </w:style>
  <w:style w:type="character" w:styleId="a5">
    <w:name w:val="page number"/>
    <w:basedOn w:val="a0"/>
    <w:rsid w:val="009A6902"/>
  </w:style>
  <w:style w:type="character" w:styleId="Hyperlink">
    <w:name w:val="Hyperlink"/>
    <w:rsid w:val="00262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0"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24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5003/5b" TargetMode="External"/><Relationship Id="rId34" Type="http://schemas.openxmlformats.org/officeDocument/2006/relationships/hyperlink" Target="http://www.nevo.co.il/law/4216/7.a" TargetMode="External"/><Relationship Id="rId42" Type="http://schemas.openxmlformats.org/officeDocument/2006/relationships/hyperlink" Target="http://www.nevo.co.il/case/6031891" TargetMode="External"/><Relationship Id="rId47" Type="http://schemas.openxmlformats.org/officeDocument/2006/relationships/hyperlink" Target="http://www.nevo.co.il/case/3296432"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420/30" TargetMode="External"/><Relationship Id="rId29" Type="http://schemas.openxmlformats.org/officeDocument/2006/relationships/hyperlink" Target="http://www.nevo.co.il/law/70301/380" TargetMode="External"/><Relationship Id="rId11" Type="http://schemas.openxmlformats.org/officeDocument/2006/relationships/hyperlink" Target="http://www.nevo.co.il/law/70301/287.a" TargetMode="External"/><Relationship Id="rId24" Type="http://schemas.openxmlformats.org/officeDocument/2006/relationships/hyperlink" Target="http://www.nevo.co.il/law/70301/192" TargetMode="External"/><Relationship Id="rId32" Type="http://schemas.openxmlformats.org/officeDocument/2006/relationships/hyperlink" Target="http://www.nevo.co.il/law/4216/7.c" TargetMode="External"/><Relationship Id="rId37" Type="http://schemas.openxmlformats.org/officeDocument/2006/relationships/hyperlink" Target="http://www.nevo.co.il/case/17944047" TargetMode="External"/><Relationship Id="rId40" Type="http://schemas.openxmlformats.org/officeDocument/2006/relationships/hyperlink" Target="http://www.nevo.co.il/law/70301/40c.b" TargetMode="External"/><Relationship Id="rId45" Type="http://schemas.openxmlformats.org/officeDocument/2006/relationships/hyperlink" Target="http://www.nevo.co.il/law/75003"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244"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4216/7.a" TargetMode="External"/><Relationship Id="rId44" Type="http://schemas.openxmlformats.org/officeDocument/2006/relationships/hyperlink" Target="http://www.nevo.co.il/law/75003/5b"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40jb" TargetMode="External"/><Relationship Id="rId22" Type="http://schemas.openxmlformats.org/officeDocument/2006/relationships/hyperlink" Target="http://www.nevo.co.il/law/70301/379" TargetMode="External"/><Relationship Id="rId27" Type="http://schemas.openxmlformats.org/officeDocument/2006/relationships/hyperlink" Target="http://www.nevo.co.il/law/74420/30" TargetMode="External"/><Relationship Id="rId30" Type="http://schemas.openxmlformats.org/officeDocument/2006/relationships/hyperlink" Target="http://www.nevo.co.il/law/70301" TargetMode="External"/><Relationship Id="rId35" Type="http://schemas.openxmlformats.org/officeDocument/2006/relationships/hyperlink" Target="http://www.nevo.co.il/law/4216/7.c" TargetMode="External"/><Relationship Id="rId43" Type="http://schemas.openxmlformats.org/officeDocument/2006/relationships/hyperlink" Target="http://www.nevo.co.il/case/6244398" TargetMode="External"/><Relationship Id="rId48" Type="http://schemas.openxmlformats.org/officeDocument/2006/relationships/header" Target="header1.xml"/><Relationship Id="rId8" Type="http://schemas.openxmlformats.org/officeDocument/2006/relationships/hyperlink" Target="http://www.nevo.co.il/law/70301/40c.b"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79"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287.a"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40jb" TargetMode="External"/><Relationship Id="rId46" Type="http://schemas.openxmlformats.org/officeDocument/2006/relationships/hyperlink" Target="http://www.nevo.co.il/case/3582735" TargetMode="External"/><Relationship Id="rId20" Type="http://schemas.openxmlformats.org/officeDocument/2006/relationships/hyperlink" Target="http://www.nevo.co.il/law/75003"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420"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420" TargetMode="External"/><Relationship Id="rId36" Type="http://schemas.openxmlformats.org/officeDocument/2006/relationships/hyperlink" Target="http://www.nevo.co.il/law/4216"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2520</Words>
  <Characters>12604</Characters>
  <Application>Microsoft Office Word</Application>
  <DocSecurity>0</DocSecurity>
  <Lines>105</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15094</CharactersWithSpaces>
  <SharedDoc>false</SharedDoc>
  <HLinks>
    <vt:vector size="246" baseType="variant">
      <vt:variant>
        <vt:i4>3932275</vt:i4>
      </vt:variant>
      <vt:variant>
        <vt:i4>120</vt:i4>
      </vt:variant>
      <vt:variant>
        <vt:i4>0</vt:i4>
      </vt:variant>
      <vt:variant>
        <vt:i4>5</vt:i4>
      </vt:variant>
      <vt:variant>
        <vt:lpwstr>http://www.nevo.co.il/case/3296432</vt:lpwstr>
      </vt:variant>
      <vt:variant>
        <vt:lpwstr/>
      </vt:variant>
      <vt:variant>
        <vt:i4>3735664</vt:i4>
      </vt:variant>
      <vt:variant>
        <vt:i4>117</vt:i4>
      </vt:variant>
      <vt:variant>
        <vt:i4>0</vt:i4>
      </vt:variant>
      <vt:variant>
        <vt:i4>5</vt:i4>
      </vt:variant>
      <vt:variant>
        <vt:lpwstr>http://www.nevo.co.il/case/3582735</vt:lpwstr>
      </vt:variant>
      <vt:variant>
        <vt:lpwstr/>
      </vt:variant>
      <vt:variant>
        <vt:i4>8323175</vt:i4>
      </vt:variant>
      <vt:variant>
        <vt:i4>114</vt:i4>
      </vt:variant>
      <vt:variant>
        <vt:i4>0</vt:i4>
      </vt:variant>
      <vt:variant>
        <vt:i4>5</vt:i4>
      </vt:variant>
      <vt:variant>
        <vt:lpwstr>http://www.nevo.co.il/law/75003</vt:lpwstr>
      </vt:variant>
      <vt:variant>
        <vt:lpwstr/>
      </vt:variant>
      <vt:variant>
        <vt:i4>3276897</vt:i4>
      </vt:variant>
      <vt:variant>
        <vt:i4>111</vt:i4>
      </vt:variant>
      <vt:variant>
        <vt:i4>0</vt:i4>
      </vt:variant>
      <vt:variant>
        <vt:i4>5</vt:i4>
      </vt:variant>
      <vt:variant>
        <vt:lpwstr>http://www.nevo.co.il/law/75003/5b</vt:lpwstr>
      </vt:variant>
      <vt:variant>
        <vt:lpwstr/>
      </vt:variant>
      <vt:variant>
        <vt:i4>3735675</vt:i4>
      </vt:variant>
      <vt:variant>
        <vt:i4>108</vt:i4>
      </vt:variant>
      <vt:variant>
        <vt:i4>0</vt:i4>
      </vt:variant>
      <vt:variant>
        <vt:i4>5</vt:i4>
      </vt:variant>
      <vt:variant>
        <vt:lpwstr>http://www.nevo.co.il/case/6244398</vt:lpwstr>
      </vt:variant>
      <vt:variant>
        <vt:lpwstr/>
      </vt:variant>
      <vt:variant>
        <vt:i4>3932284</vt:i4>
      </vt:variant>
      <vt:variant>
        <vt:i4>105</vt:i4>
      </vt:variant>
      <vt:variant>
        <vt:i4>0</vt:i4>
      </vt:variant>
      <vt:variant>
        <vt:i4>5</vt:i4>
      </vt:variant>
      <vt:variant>
        <vt:lpwstr>http://www.nevo.co.il/case/6031891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4915202</vt:i4>
      </vt:variant>
      <vt:variant>
        <vt:i4>99</vt:i4>
      </vt:variant>
      <vt:variant>
        <vt:i4>0</vt:i4>
      </vt:variant>
      <vt:variant>
        <vt:i4>5</vt:i4>
      </vt:variant>
      <vt:variant>
        <vt:lpwstr>http://www.nevo.co.il/law/70301/40c.b</vt:lpwstr>
      </vt:variant>
      <vt:variant>
        <vt:lpwstr/>
      </vt:variant>
      <vt:variant>
        <vt:i4>7995492</vt:i4>
      </vt:variant>
      <vt:variant>
        <vt:i4>96</vt:i4>
      </vt:variant>
      <vt:variant>
        <vt:i4>0</vt:i4>
      </vt:variant>
      <vt:variant>
        <vt:i4>5</vt:i4>
      </vt:variant>
      <vt:variant>
        <vt:lpwstr>http://www.nevo.co.il/law/70301</vt:lpwstr>
      </vt:variant>
      <vt:variant>
        <vt:lpwstr/>
      </vt:variant>
      <vt:variant>
        <vt:i4>458763</vt:i4>
      </vt:variant>
      <vt:variant>
        <vt:i4>93</vt:i4>
      </vt:variant>
      <vt:variant>
        <vt:i4>0</vt:i4>
      </vt:variant>
      <vt:variant>
        <vt:i4>5</vt:i4>
      </vt:variant>
      <vt:variant>
        <vt:lpwstr>http://www.nevo.co.il/law/70301/40jb</vt:lpwstr>
      </vt:variant>
      <vt:variant>
        <vt:lpwstr/>
      </vt:variant>
      <vt:variant>
        <vt:i4>3670135</vt:i4>
      </vt:variant>
      <vt:variant>
        <vt:i4>90</vt:i4>
      </vt:variant>
      <vt:variant>
        <vt:i4>0</vt:i4>
      </vt:variant>
      <vt:variant>
        <vt:i4>5</vt:i4>
      </vt:variant>
      <vt:variant>
        <vt:lpwstr>http://www.nevo.co.il/case/17944047</vt:lpwstr>
      </vt:variant>
      <vt:variant>
        <vt:lpwstr/>
      </vt:variant>
      <vt:variant>
        <vt:i4>8257637</vt:i4>
      </vt:variant>
      <vt:variant>
        <vt:i4>87</vt:i4>
      </vt:variant>
      <vt:variant>
        <vt:i4>0</vt:i4>
      </vt:variant>
      <vt:variant>
        <vt:i4>5</vt:i4>
      </vt:variant>
      <vt:variant>
        <vt:lpwstr>http://www.nevo.co.il/law/4216</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8257637</vt:i4>
      </vt:variant>
      <vt:variant>
        <vt:i4>78</vt:i4>
      </vt:variant>
      <vt:variant>
        <vt:i4>0</vt:i4>
      </vt:variant>
      <vt:variant>
        <vt:i4>5</vt:i4>
      </vt:variant>
      <vt:variant>
        <vt:lpwstr>http://www.nevo.co.il/law/4216</vt:lpwstr>
      </vt:variant>
      <vt:variant>
        <vt:lpwstr/>
      </vt:variant>
      <vt:variant>
        <vt:i4>2752612</vt:i4>
      </vt:variant>
      <vt:variant>
        <vt:i4>75</vt:i4>
      </vt:variant>
      <vt:variant>
        <vt:i4>0</vt:i4>
      </vt:variant>
      <vt:variant>
        <vt:i4>5</vt:i4>
      </vt:variant>
      <vt:variant>
        <vt:lpwstr>http://www.nevo.co.il/law/4216/7.c</vt:lpwstr>
      </vt:variant>
      <vt:variant>
        <vt:lpwstr/>
      </vt:variant>
      <vt:variant>
        <vt:i4>2621540</vt:i4>
      </vt:variant>
      <vt:variant>
        <vt:i4>72</vt:i4>
      </vt:variant>
      <vt:variant>
        <vt:i4>0</vt:i4>
      </vt:variant>
      <vt:variant>
        <vt:i4>5</vt:i4>
      </vt:variant>
      <vt:variant>
        <vt:lpwstr>http://www.nevo.co.il/law/4216/7.a</vt:lpwstr>
      </vt:variant>
      <vt:variant>
        <vt:lpwstr/>
      </vt:variant>
      <vt:variant>
        <vt:i4>7995492</vt:i4>
      </vt:variant>
      <vt:variant>
        <vt:i4>69</vt:i4>
      </vt:variant>
      <vt:variant>
        <vt:i4>0</vt:i4>
      </vt:variant>
      <vt:variant>
        <vt:i4>5</vt:i4>
      </vt:variant>
      <vt:variant>
        <vt:lpwstr>http://www.nevo.co.il/law/70301</vt:lpwstr>
      </vt:variant>
      <vt:variant>
        <vt:lpwstr/>
      </vt:variant>
      <vt:variant>
        <vt:i4>7143526</vt:i4>
      </vt:variant>
      <vt:variant>
        <vt:i4>66</vt:i4>
      </vt:variant>
      <vt:variant>
        <vt:i4>0</vt:i4>
      </vt:variant>
      <vt:variant>
        <vt:i4>5</vt:i4>
      </vt:variant>
      <vt:variant>
        <vt:lpwstr>http://www.nevo.co.il/law/70301/380</vt:lpwstr>
      </vt:variant>
      <vt:variant>
        <vt:lpwstr/>
      </vt:variant>
      <vt:variant>
        <vt:i4>8126563</vt:i4>
      </vt:variant>
      <vt:variant>
        <vt:i4>63</vt:i4>
      </vt:variant>
      <vt:variant>
        <vt:i4>0</vt:i4>
      </vt:variant>
      <vt:variant>
        <vt:i4>5</vt:i4>
      </vt:variant>
      <vt:variant>
        <vt:lpwstr>http://www.nevo.co.il/law/74420</vt:lpwstr>
      </vt:variant>
      <vt:variant>
        <vt:lpwstr/>
      </vt:variant>
      <vt:variant>
        <vt:i4>6488160</vt:i4>
      </vt:variant>
      <vt:variant>
        <vt:i4>60</vt:i4>
      </vt:variant>
      <vt:variant>
        <vt:i4>0</vt:i4>
      </vt:variant>
      <vt:variant>
        <vt:i4>5</vt:i4>
      </vt:variant>
      <vt:variant>
        <vt:lpwstr>http://www.nevo.co.il/law/74420/30</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4390992</vt:i4>
      </vt:variant>
      <vt:variant>
        <vt:i4>54</vt:i4>
      </vt:variant>
      <vt:variant>
        <vt:i4>0</vt:i4>
      </vt:variant>
      <vt:variant>
        <vt:i4>5</vt:i4>
      </vt:variant>
      <vt:variant>
        <vt:lpwstr>http://www.nevo.co.il/law/70301/287.a</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3276897</vt:i4>
      </vt:variant>
      <vt:variant>
        <vt:i4>42</vt:i4>
      </vt:variant>
      <vt:variant>
        <vt:i4>0</vt:i4>
      </vt:variant>
      <vt:variant>
        <vt:i4>5</vt:i4>
      </vt:variant>
      <vt:variant>
        <vt:lpwstr>http://www.nevo.co.il/law/75003/5b</vt:lpwstr>
      </vt:variant>
      <vt:variant>
        <vt:lpwstr/>
      </vt:variant>
      <vt:variant>
        <vt:i4>8323175</vt:i4>
      </vt:variant>
      <vt:variant>
        <vt:i4>39</vt:i4>
      </vt:variant>
      <vt:variant>
        <vt:i4>0</vt:i4>
      </vt:variant>
      <vt:variant>
        <vt:i4>5</vt:i4>
      </vt:variant>
      <vt:variant>
        <vt:lpwstr>http://www.nevo.co.il/law/75003</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6488160</vt:i4>
      </vt:variant>
      <vt:variant>
        <vt:i4>27</vt:i4>
      </vt:variant>
      <vt:variant>
        <vt:i4>0</vt:i4>
      </vt:variant>
      <vt:variant>
        <vt:i4>5</vt:i4>
      </vt:variant>
      <vt:variant>
        <vt:lpwstr>http://www.nevo.co.il/law/74420/30</vt:lpwstr>
      </vt:variant>
      <vt:variant>
        <vt:lpwstr/>
      </vt:variant>
      <vt:variant>
        <vt:i4>8126563</vt:i4>
      </vt:variant>
      <vt:variant>
        <vt:i4>24</vt:i4>
      </vt:variant>
      <vt:variant>
        <vt:i4>0</vt:i4>
      </vt:variant>
      <vt:variant>
        <vt:i4>5</vt:i4>
      </vt:variant>
      <vt:variant>
        <vt:lpwstr>http://www.nevo.co.il/law/74420</vt:lpwstr>
      </vt:variant>
      <vt:variant>
        <vt:lpwstr/>
      </vt:variant>
      <vt:variant>
        <vt:i4>458763</vt:i4>
      </vt:variant>
      <vt:variant>
        <vt:i4>21</vt:i4>
      </vt:variant>
      <vt:variant>
        <vt:i4>0</vt:i4>
      </vt:variant>
      <vt:variant>
        <vt:i4>5</vt:i4>
      </vt:variant>
      <vt:variant>
        <vt:lpwstr>http://www.nevo.co.il/law/70301/40jb</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4915202</vt:i4>
      </vt:variant>
      <vt:variant>
        <vt:i4>3</vt:i4>
      </vt:variant>
      <vt:variant>
        <vt:i4>0</vt:i4>
      </vt:variant>
      <vt:variant>
        <vt:i4>5</vt:i4>
      </vt:variant>
      <vt:variant>
        <vt:lpwstr>http://www.nevo.co.il/law/70301/40c.b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2025-04-22T21:37:00Z</dcterms:created>
  <dcterms:modified xsi:type="dcterms:W3CDTF">2025-04-22T21:37:00Z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18193</vt:lpwstr>
  </property>
  <property fmtid="{D5CDD505-2E9C-101B-9397-08002B2CF9AE}" pid="6" name="NEWPARTB">
    <vt:lpwstr>01</vt:lpwstr>
  </property>
  <property fmtid="{D5CDD505-2E9C-101B-9397-08002B2CF9AE}" pid="7" name="NEWPARTC">
    <vt:lpwstr>11</vt:lpwstr>
  </property>
  <property fmtid="{D5CDD505-2E9C-101B-9397-08002B2CF9AE}" pid="8" name="APPELLEE">
    <vt:lpwstr>יעקב קובי כהן</vt:lpwstr>
  </property>
  <property fmtid="{D5CDD505-2E9C-101B-9397-08002B2CF9AE}" pid="9" name="LAWYER">
    <vt:lpwstr>נאוה זרנגר;עזריה זמיר</vt:lpwstr>
  </property>
  <property fmtid="{D5CDD505-2E9C-101B-9397-08002B2CF9AE}" pid="10" name="JUDGE">
    <vt:lpwstr>עידו דרויאן</vt:lpwstr>
  </property>
  <property fmtid="{D5CDD505-2E9C-101B-9397-08002B2CF9AE}" pid="11" name="CITY">
    <vt:lpwstr>ת"א</vt:lpwstr>
  </property>
  <property fmtid="{D5CDD505-2E9C-101B-9397-08002B2CF9AE}" pid="12" name="DATE">
    <vt:lpwstr>20130808</vt:lpwstr>
  </property>
  <property fmtid="{D5CDD505-2E9C-101B-9397-08002B2CF9AE}" pid="13" name="TYPE_N_DATE">
    <vt:lpwstr>38020130808</vt:lpwstr>
  </property>
  <property fmtid="{D5CDD505-2E9C-101B-9397-08002B2CF9AE}" pid="14" name="WORDNUMPAGES">
    <vt:lpwstr>8</vt:lpwstr>
  </property>
  <property fmtid="{D5CDD505-2E9C-101B-9397-08002B2CF9AE}" pid="15" name="TYPE_ABS_DATE">
    <vt:lpwstr>380020130808</vt:lpwstr>
  </property>
  <property fmtid="{D5CDD505-2E9C-101B-9397-08002B2CF9AE}" pid="16" name="ISABSTRACT">
    <vt:lpwstr>Y</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17944047;6031891;6244398;3582735;3296432</vt:lpwstr>
  </property>
  <property fmtid="{D5CDD505-2E9C-101B-9397-08002B2CF9AE}" pid="36" name="LAWLISTTMP1">
    <vt:lpwstr>70301/379;192;287.a;244;380;40jb;040c.b</vt:lpwstr>
  </property>
  <property fmtid="{D5CDD505-2E9C-101B-9397-08002B2CF9AE}" pid="37" name="LAWLISTTMP2">
    <vt:lpwstr>74420/030</vt:lpwstr>
  </property>
  <property fmtid="{D5CDD505-2E9C-101B-9397-08002B2CF9AE}" pid="38" name="LAWLISTTMP3">
    <vt:lpwstr>4216/007.a:2;007.c:2</vt:lpwstr>
  </property>
  <property fmtid="{D5CDD505-2E9C-101B-9397-08002B2CF9AE}" pid="39" name="LAWLISTTMP4">
    <vt:lpwstr>75003/005b</vt:lpwstr>
  </property>
</Properties>
</file>