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0D522F" w:rsidRPr="00924EB7" w14:paraId="5BBF26F5" w14:textId="77777777">
        <w:trPr>
          <w:trHeight w:hRule="exact" w:val="418"/>
          <w:jc w:val="center"/>
        </w:trPr>
        <w:tc>
          <w:tcPr>
            <w:tcW w:w="8721" w:type="dxa"/>
            <w:gridSpan w:val="2"/>
          </w:tcPr>
          <w:p w14:paraId="01134809" w14:textId="77777777" w:rsidR="000D522F" w:rsidRPr="00924EB7" w:rsidRDefault="00924EB7">
            <w:pPr>
              <w:pStyle w:val="a3"/>
              <w:jc w:val="center"/>
              <w:rPr>
                <w:rFonts w:ascii="Tahoma" w:hAnsi="Tahoma" w:cs="Tahoma"/>
                <w:color w:val="000080"/>
                <w:rtl/>
              </w:rPr>
            </w:pPr>
            <w:bookmarkStart w:id="0" w:name="LastJudge"/>
            <w:r w:rsidRPr="00924EB7">
              <w:rPr>
                <w:rFonts w:ascii="Tahoma" w:hAnsi="Tahoma" w:cs="Tahoma"/>
                <w:b/>
                <w:bCs/>
                <w:color w:val="000080"/>
                <w:rtl/>
              </w:rPr>
              <w:t>בית משפט השלום ברמלה</w:t>
            </w:r>
          </w:p>
        </w:tc>
      </w:tr>
      <w:tr w:rsidR="000D522F" w:rsidRPr="00924EB7" w14:paraId="7981B501" w14:textId="77777777">
        <w:trPr>
          <w:trHeight w:val="337"/>
          <w:jc w:val="center"/>
        </w:trPr>
        <w:tc>
          <w:tcPr>
            <w:tcW w:w="5053" w:type="dxa"/>
          </w:tcPr>
          <w:p w14:paraId="4F466CDB" w14:textId="77777777" w:rsidR="000D522F" w:rsidRPr="00924EB7" w:rsidRDefault="00924EB7">
            <w:pPr>
              <w:rPr>
                <w:rFonts w:cs="FrankRuehl"/>
                <w:sz w:val="28"/>
                <w:szCs w:val="28"/>
                <w:rtl/>
              </w:rPr>
            </w:pPr>
            <w:r w:rsidRPr="00924EB7">
              <w:rPr>
                <w:rFonts w:cs="FrankRuehl"/>
                <w:sz w:val="28"/>
                <w:szCs w:val="28"/>
                <w:rtl/>
              </w:rPr>
              <w:t>ת"פ</w:t>
            </w:r>
            <w:r w:rsidRPr="00924EB7">
              <w:rPr>
                <w:rFonts w:cs="FrankRuehl" w:hint="cs"/>
                <w:sz w:val="28"/>
                <w:szCs w:val="28"/>
                <w:rtl/>
              </w:rPr>
              <w:t xml:space="preserve"> </w:t>
            </w:r>
            <w:r w:rsidRPr="00924EB7">
              <w:rPr>
                <w:rFonts w:cs="FrankRuehl"/>
                <w:sz w:val="28"/>
                <w:szCs w:val="28"/>
                <w:rtl/>
              </w:rPr>
              <w:t>21775-02-11</w:t>
            </w:r>
            <w:r w:rsidRPr="00924EB7">
              <w:rPr>
                <w:rFonts w:cs="FrankRuehl" w:hint="cs"/>
                <w:sz w:val="28"/>
                <w:szCs w:val="28"/>
                <w:rtl/>
              </w:rPr>
              <w:t xml:space="preserve"> </w:t>
            </w:r>
            <w:r w:rsidRPr="00924EB7">
              <w:rPr>
                <w:rFonts w:cs="FrankRuehl"/>
                <w:sz w:val="28"/>
                <w:szCs w:val="28"/>
                <w:rtl/>
              </w:rPr>
              <w:t>מדינת ישראל נ' זוארץ</w:t>
            </w:r>
            <w:r w:rsidR="00D83FF5">
              <w:rPr>
                <w:rFonts w:cs="FrankRuehl" w:hint="cs"/>
                <w:sz w:val="28"/>
                <w:szCs w:val="28"/>
                <w:rtl/>
              </w:rPr>
              <w:t xml:space="preserve"> </w:t>
            </w:r>
            <w:r w:rsidRPr="00924EB7">
              <w:rPr>
                <w:rFonts w:cs="FrankRuehl"/>
                <w:sz w:val="28"/>
                <w:szCs w:val="28"/>
                <w:rtl/>
              </w:rPr>
              <w:t>(עציר)</w:t>
            </w:r>
          </w:p>
          <w:p w14:paraId="5BCAE96B" w14:textId="77777777" w:rsidR="000D522F" w:rsidRPr="00924EB7" w:rsidRDefault="000D522F">
            <w:pPr>
              <w:rPr>
                <w:rFonts w:hint="cs"/>
              </w:rPr>
            </w:pPr>
          </w:p>
        </w:tc>
        <w:tc>
          <w:tcPr>
            <w:tcW w:w="3668" w:type="dxa"/>
          </w:tcPr>
          <w:p w14:paraId="1269A23D" w14:textId="77777777" w:rsidR="000D522F" w:rsidRPr="00924EB7" w:rsidRDefault="00924EB7">
            <w:pPr>
              <w:pStyle w:val="a3"/>
              <w:jc w:val="center"/>
              <w:rPr>
                <w:rFonts w:cs="FrankRuehl"/>
                <w:sz w:val="28"/>
                <w:szCs w:val="28"/>
                <w:rtl/>
              </w:rPr>
            </w:pPr>
            <w:r w:rsidRPr="00924EB7">
              <w:rPr>
                <w:rFonts w:cs="FrankRuehl" w:hint="cs"/>
                <w:sz w:val="28"/>
                <w:szCs w:val="28"/>
                <w:rtl/>
              </w:rPr>
              <w:t>10</w:t>
            </w:r>
            <w:r w:rsidRPr="00924EB7">
              <w:rPr>
                <w:rFonts w:cs="FrankRuehl"/>
                <w:sz w:val="28"/>
                <w:szCs w:val="28"/>
                <w:rtl/>
              </w:rPr>
              <w:t xml:space="preserve"> ינואר 2013</w:t>
            </w:r>
          </w:p>
        </w:tc>
      </w:tr>
    </w:tbl>
    <w:p w14:paraId="0009E612" w14:textId="77777777" w:rsidR="000D522F" w:rsidRPr="00924EB7" w:rsidRDefault="00924EB7">
      <w:pPr>
        <w:pStyle w:val="a3"/>
        <w:rPr>
          <w:rtl/>
        </w:rPr>
      </w:pPr>
      <w:r w:rsidRPr="00924EB7">
        <w:rPr>
          <w:rFonts w:hint="cs"/>
          <w:rtl/>
        </w:rPr>
        <w:t xml:space="preserve"> </w:t>
      </w:r>
    </w:p>
    <w:tbl>
      <w:tblPr>
        <w:bidiVisual/>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53"/>
        <w:gridCol w:w="3418"/>
        <w:gridCol w:w="353"/>
      </w:tblGrid>
      <w:tr w:rsidR="000D522F" w:rsidRPr="00924EB7" w14:paraId="77FD104F" w14:textId="77777777">
        <w:trPr>
          <w:gridAfter w:val="1"/>
          <w:wAfter w:w="353" w:type="dxa"/>
          <w:trHeight w:val="295"/>
          <w:jc w:val="center"/>
        </w:trPr>
        <w:tc>
          <w:tcPr>
            <w:tcW w:w="923" w:type="dxa"/>
            <w:tcBorders>
              <w:top w:val="nil"/>
              <w:left w:val="nil"/>
              <w:bottom w:val="nil"/>
              <w:right w:val="nil"/>
            </w:tcBorders>
          </w:tcPr>
          <w:p w14:paraId="16CBFA03" w14:textId="77777777" w:rsidR="000D522F" w:rsidRPr="00924EB7" w:rsidRDefault="00924EB7">
            <w:pPr>
              <w:jc w:val="both"/>
              <w:rPr>
                <w:rFonts w:ascii="Arial" w:hAnsi="Arial" w:cs="FrankRuehl"/>
                <w:sz w:val="28"/>
                <w:szCs w:val="28"/>
              </w:rPr>
            </w:pPr>
            <w:r w:rsidRPr="00924EB7">
              <w:rPr>
                <w:rFonts w:ascii="Arial" w:hAnsi="Arial" w:cs="FrankRuehl" w:hint="cs"/>
                <w:sz w:val="28"/>
                <w:szCs w:val="28"/>
                <w:rtl/>
              </w:rPr>
              <w:t>ב</w:t>
            </w:r>
            <w:r w:rsidRPr="00924EB7">
              <w:rPr>
                <w:rFonts w:ascii="Arial" w:hAnsi="Arial" w:cs="FrankRuehl"/>
                <w:sz w:val="28"/>
                <w:szCs w:val="28"/>
                <w:rtl/>
              </w:rPr>
              <w:t xml:space="preserve">פני </w:t>
            </w:r>
          </w:p>
        </w:tc>
        <w:tc>
          <w:tcPr>
            <w:tcW w:w="7897" w:type="dxa"/>
            <w:gridSpan w:val="3"/>
            <w:tcBorders>
              <w:top w:val="nil"/>
              <w:left w:val="nil"/>
              <w:bottom w:val="nil"/>
              <w:right w:val="nil"/>
            </w:tcBorders>
          </w:tcPr>
          <w:p w14:paraId="2A4304C8" w14:textId="77777777" w:rsidR="000D522F" w:rsidRPr="00924EB7" w:rsidRDefault="00924EB7" w:rsidP="00D83FF5">
            <w:pPr>
              <w:rPr>
                <w:sz w:val="28"/>
                <w:szCs w:val="28"/>
                <w:rtl/>
              </w:rPr>
            </w:pPr>
            <w:r w:rsidRPr="00924EB7">
              <w:rPr>
                <w:rFonts w:ascii="Arial" w:hAnsi="Arial" w:hint="cs"/>
                <w:b/>
                <w:bCs/>
                <w:sz w:val="28"/>
                <w:szCs w:val="28"/>
                <w:rtl/>
              </w:rPr>
              <w:t>כב' ה</w:t>
            </w:r>
            <w:r w:rsidRPr="00924EB7">
              <w:rPr>
                <w:rFonts w:hint="cs"/>
                <w:sz w:val="28"/>
                <w:szCs w:val="28"/>
                <w:rtl/>
              </w:rPr>
              <w:t>שופט</w:t>
            </w:r>
            <w:r w:rsidRPr="00924EB7">
              <w:rPr>
                <w:rFonts w:ascii="Arial" w:hAnsi="Arial" w:hint="cs"/>
                <w:b/>
                <w:bCs/>
                <w:sz w:val="28"/>
                <w:szCs w:val="28"/>
                <w:rtl/>
              </w:rPr>
              <w:t xml:space="preserve">  </w:t>
            </w:r>
            <w:r w:rsidRPr="00924EB7">
              <w:rPr>
                <w:rFonts w:hint="cs"/>
                <w:sz w:val="28"/>
                <w:szCs w:val="28"/>
                <w:rtl/>
              </w:rPr>
              <w:t>הישאם  אבו שחאדה</w:t>
            </w:r>
          </w:p>
          <w:p w14:paraId="681B3CEC" w14:textId="77777777" w:rsidR="000D522F" w:rsidRPr="00924EB7" w:rsidRDefault="000D522F">
            <w:pPr>
              <w:jc w:val="both"/>
              <w:rPr>
                <w:rFonts w:ascii="Arial" w:hAnsi="Arial" w:cs="FrankRuehl"/>
                <w:sz w:val="28"/>
                <w:szCs w:val="28"/>
              </w:rPr>
            </w:pPr>
          </w:p>
        </w:tc>
      </w:tr>
      <w:tr w:rsidR="000D522F" w:rsidRPr="00924EB7" w14:paraId="72B4AA64" w14:textId="77777777">
        <w:trPr>
          <w:gridAfter w:val="1"/>
          <w:wAfter w:w="353" w:type="dxa"/>
          <w:trHeight w:val="355"/>
          <w:jc w:val="center"/>
        </w:trPr>
        <w:tc>
          <w:tcPr>
            <w:tcW w:w="923" w:type="dxa"/>
            <w:tcBorders>
              <w:top w:val="nil"/>
              <w:left w:val="nil"/>
              <w:bottom w:val="nil"/>
              <w:right w:val="nil"/>
            </w:tcBorders>
          </w:tcPr>
          <w:p w14:paraId="42679A17" w14:textId="77777777" w:rsidR="000D522F" w:rsidRPr="00924EB7" w:rsidRDefault="000D522F">
            <w:pPr>
              <w:jc w:val="both"/>
              <w:rPr>
                <w:rFonts w:ascii="Arial" w:hAnsi="Arial" w:cs="FrankRuehl"/>
                <w:sz w:val="28"/>
                <w:szCs w:val="28"/>
                <w:rtl/>
              </w:rPr>
            </w:pPr>
            <w:bookmarkStart w:id="1" w:name="FirstAppellant"/>
          </w:p>
          <w:p w14:paraId="1B8F33B5" w14:textId="77777777" w:rsidR="000D522F" w:rsidRPr="00924EB7" w:rsidRDefault="00924EB7">
            <w:pPr>
              <w:jc w:val="both"/>
              <w:rPr>
                <w:rFonts w:ascii="Arial" w:hAnsi="Arial" w:cs="FrankRuehl"/>
                <w:sz w:val="28"/>
                <w:szCs w:val="28"/>
              </w:rPr>
            </w:pPr>
            <w:r w:rsidRPr="00924EB7">
              <w:rPr>
                <w:rFonts w:ascii="Arial" w:hAnsi="Arial" w:cs="FrankRuehl" w:hint="cs"/>
                <w:sz w:val="28"/>
                <w:szCs w:val="28"/>
                <w:rtl/>
              </w:rPr>
              <w:t>בעניין:</w:t>
            </w:r>
          </w:p>
        </w:tc>
        <w:tc>
          <w:tcPr>
            <w:tcW w:w="4126" w:type="dxa"/>
            <w:tcBorders>
              <w:top w:val="nil"/>
              <w:left w:val="nil"/>
              <w:bottom w:val="nil"/>
              <w:right w:val="nil"/>
            </w:tcBorders>
          </w:tcPr>
          <w:p w14:paraId="5FBF67F1" w14:textId="77777777" w:rsidR="000D522F" w:rsidRPr="00924EB7" w:rsidRDefault="000D522F">
            <w:pPr>
              <w:jc w:val="both"/>
              <w:rPr>
                <w:rFonts w:ascii="Arial" w:hAnsi="Arial" w:cs="FrankRuehl"/>
                <w:sz w:val="28"/>
                <w:szCs w:val="28"/>
                <w:rtl/>
              </w:rPr>
            </w:pPr>
          </w:p>
          <w:p w14:paraId="4D036370" w14:textId="77777777" w:rsidR="000D522F" w:rsidRPr="00924EB7" w:rsidRDefault="00924EB7">
            <w:pPr>
              <w:rPr>
                <w:b/>
                <w:bCs/>
              </w:rPr>
            </w:pPr>
            <w:r w:rsidRPr="00924EB7">
              <w:rPr>
                <w:rFonts w:hint="cs"/>
                <w:b/>
                <w:bCs/>
                <w:rtl/>
              </w:rPr>
              <w:t>מדינת ישראל</w:t>
            </w:r>
          </w:p>
          <w:p w14:paraId="160AA631" w14:textId="77777777" w:rsidR="000D522F" w:rsidRPr="00924EB7" w:rsidRDefault="000D522F">
            <w:pPr>
              <w:jc w:val="both"/>
              <w:rPr>
                <w:rFonts w:ascii="Arial" w:hAnsi="Arial" w:cs="FrankRuehl"/>
                <w:sz w:val="28"/>
                <w:szCs w:val="28"/>
              </w:rPr>
            </w:pPr>
          </w:p>
        </w:tc>
        <w:tc>
          <w:tcPr>
            <w:tcW w:w="3771" w:type="dxa"/>
            <w:gridSpan w:val="2"/>
            <w:tcBorders>
              <w:top w:val="nil"/>
              <w:left w:val="nil"/>
              <w:bottom w:val="nil"/>
              <w:right w:val="nil"/>
            </w:tcBorders>
          </w:tcPr>
          <w:p w14:paraId="31966BDC" w14:textId="77777777" w:rsidR="000D522F" w:rsidRPr="00924EB7" w:rsidRDefault="000D522F">
            <w:pPr>
              <w:jc w:val="both"/>
              <w:rPr>
                <w:rFonts w:ascii="Arial" w:hAnsi="Arial" w:cs="FrankRuehl"/>
                <w:sz w:val="28"/>
                <w:szCs w:val="28"/>
              </w:rPr>
            </w:pPr>
          </w:p>
        </w:tc>
      </w:tr>
      <w:bookmarkEnd w:id="1"/>
      <w:tr w:rsidR="000D522F" w:rsidRPr="00924EB7" w14:paraId="5F4F2459" w14:textId="77777777">
        <w:trPr>
          <w:gridAfter w:val="4"/>
          <w:wAfter w:w="8250" w:type="dxa"/>
          <w:trHeight w:val="355"/>
          <w:jc w:val="center"/>
        </w:trPr>
        <w:tc>
          <w:tcPr>
            <w:tcW w:w="923" w:type="dxa"/>
            <w:tcBorders>
              <w:top w:val="nil"/>
              <w:left w:val="nil"/>
              <w:bottom w:val="nil"/>
              <w:right w:val="nil"/>
            </w:tcBorders>
          </w:tcPr>
          <w:p w14:paraId="17F9A582" w14:textId="77777777" w:rsidR="000D522F" w:rsidRPr="00924EB7" w:rsidRDefault="000D522F">
            <w:pPr>
              <w:jc w:val="both"/>
              <w:rPr>
                <w:rFonts w:ascii="Arial" w:hAnsi="Arial" w:cs="FrankRuehl"/>
                <w:sz w:val="28"/>
                <w:szCs w:val="28"/>
                <w:rtl/>
              </w:rPr>
            </w:pPr>
          </w:p>
        </w:tc>
      </w:tr>
      <w:tr w:rsidR="000D522F" w:rsidRPr="00924EB7" w14:paraId="6D6CA47E" w14:textId="77777777">
        <w:trPr>
          <w:gridAfter w:val="1"/>
          <w:wAfter w:w="353" w:type="dxa"/>
          <w:trHeight w:val="355"/>
          <w:jc w:val="center"/>
        </w:trPr>
        <w:tc>
          <w:tcPr>
            <w:tcW w:w="923" w:type="dxa"/>
            <w:tcBorders>
              <w:top w:val="nil"/>
              <w:left w:val="nil"/>
              <w:bottom w:val="nil"/>
              <w:right w:val="nil"/>
            </w:tcBorders>
          </w:tcPr>
          <w:p w14:paraId="7A32460B" w14:textId="77777777" w:rsidR="000D522F" w:rsidRPr="00924EB7" w:rsidRDefault="000D522F">
            <w:pPr>
              <w:jc w:val="both"/>
              <w:rPr>
                <w:rFonts w:ascii="Arial" w:hAnsi="Arial" w:cs="FrankRuehl"/>
                <w:sz w:val="28"/>
                <w:szCs w:val="28"/>
                <w:rtl/>
              </w:rPr>
            </w:pPr>
          </w:p>
        </w:tc>
        <w:tc>
          <w:tcPr>
            <w:tcW w:w="7897" w:type="dxa"/>
            <w:gridSpan w:val="3"/>
            <w:tcBorders>
              <w:top w:val="nil"/>
              <w:left w:val="nil"/>
              <w:bottom w:val="nil"/>
              <w:right w:val="nil"/>
            </w:tcBorders>
          </w:tcPr>
          <w:p w14:paraId="75B5FA6C" w14:textId="77777777" w:rsidR="000D522F" w:rsidRPr="00924EB7" w:rsidRDefault="00924EB7">
            <w:pPr>
              <w:rPr>
                <w:rFonts w:ascii="Arial" w:hAnsi="Arial"/>
                <w:b/>
                <w:bCs/>
                <w:sz w:val="28"/>
                <w:szCs w:val="28"/>
                <w:rtl/>
              </w:rPr>
            </w:pPr>
            <w:r w:rsidRPr="00924EB7">
              <w:rPr>
                <w:rFonts w:ascii="Arial" w:hAnsi="Arial" w:hint="cs"/>
                <w:b/>
                <w:bCs/>
                <w:sz w:val="28"/>
                <w:szCs w:val="28"/>
                <w:rtl/>
              </w:rPr>
              <w:t xml:space="preserve"> המאשימה - באמצעות המתמחה הגב' בת-חן משינסקי - אבן</w:t>
            </w:r>
          </w:p>
          <w:p w14:paraId="6154E6C3" w14:textId="77777777" w:rsidR="000D522F" w:rsidRPr="00924EB7" w:rsidRDefault="000D522F">
            <w:pPr>
              <w:rPr>
                <w:rFonts w:ascii="Arial" w:hAnsi="Arial"/>
                <w:b/>
                <w:bCs/>
                <w:sz w:val="28"/>
                <w:szCs w:val="28"/>
                <w:rtl/>
              </w:rPr>
            </w:pPr>
          </w:p>
          <w:p w14:paraId="1125A57A" w14:textId="77777777" w:rsidR="000D522F" w:rsidRPr="00924EB7" w:rsidRDefault="00924EB7">
            <w:pPr>
              <w:jc w:val="center"/>
              <w:rPr>
                <w:rFonts w:ascii="Arial" w:hAnsi="Arial"/>
                <w:b/>
                <w:bCs/>
                <w:sz w:val="28"/>
                <w:szCs w:val="28"/>
                <w:rtl/>
              </w:rPr>
            </w:pPr>
            <w:r w:rsidRPr="00924EB7">
              <w:rPr>
                <w:rFonts w:ascii="Arial" w:hAnsi="Arial"/>
                <w:b/>
                <w:bCs/>
                <w:sz w:val="28"/>
                <w:szCs w:val="28"/>
                <w:rtl/>
              </w:rPr>
              <w:t>נגד</w:t>
            </w:r>
          </w:p>
          <w:p w14:paraId="6C49FC9B" w14:textId="77777777" w:rsidR="000D522F" w:rsidRPr="00924EB7" w:rsidRDefault="000D522F">
            <w:pPr>
              <w:jc w:val="both"/>
              <w:rPr>
                <w:rFonts w:ascii="Arial" w:hAnsi="Arial"/>
                <w:b/>
                <w:bCs/>
                <w:sz w:val="28"/>
                <w:szCs w:val="28"/>
              </w:rPr>
            </w:pPr>
          </w:p>
        </w:tc>
      </w:tr>
      <w:tr w:rsidR="000D522F" w:rsidRPr="00924EB7" w14:paraId="4438BD16" w14:textId="77777777">
        <w:trPr>
          <w:trHeight w:val="355"/>
          <w:jc w:val="center"/>
        </w:trPr>
        <w:tc>
          <w:tcPr>
            <w:tcW w:w="923" w:type="dxa"/>
            <w:tcBorders>
              <w:top w:val="nil"/>
              <w:left w:val="nil"/>
              <w:bottom w:val="nil"/>
              <w:right w:val="nil"/>
            </w:tcBorders>
          </w:tcPr>
          <w:p w14:paraId="7BEF5C0C" w14:textId="77777777" w:rsidR="000D522F" w:rsidRPr="00924EB7" w:rsidRDefault="000D522F">
            <w:pPr>
              <w:jc w:val="both"/>
              <w:rPr>
                <w:rFonts w:ascii="Arial" w:hAnsi="Arial" w:cs="FrankRuehl"/>
                <w:sz w:val="28"/>
                <w:szCs w:val="28"/>
                <w:rtl/>
              </w:rPr>
            </w:pPr>
          </w:p>
        </w:tc>
        <w:tc>
          <w:tcPr>
            <w:tcW w:w="4479" w:type="dxa"/>
            <w:gridSpan w:val="2"/>
            <w:tcBorders>
              <w:top w:val="nil"/>
              <w:left w:val="nil"/>
              <w:bottom w:val="nil"/>
              <w:right w:val="nil"/>
            </w:tcBorders>
          </w:tcPr>
          <w:p w14:paraId="28AB3651" w14:textId="77777777" w:rsidR="000D522F" w:rsidRPr="00924EB7" w:rsidRDefault="00924EB7">
            <w:pPr>
              <w:jc w:val="both"/>
              <w:rPr>
                <w:b/>
                <w:bCs/>
                <w:sz w:val="28"/>
                <w:szCs w:val="28"/>
                <w:rtl/>
              </w:rPr>
            </w:pPr>
            <w:r w:rsidRPr="00924EB7">
              <w:rPr>
                <w:rFonts w:hint="cs"/>
                <w:b/>
                <w:bCs/>
                <w:sz w:val="28"/>
                <w:szCs w:val="28"/>
                <w:rtl/>
              </w:rPr>
              <w:t xml:space="preserve">הנאשם- אילן זוארץ (עציר)– הובא </w:t>
            </w:r>
            <w:r w:rsidRPr="00924EB7">
              <w:rPr>
                <w:rFonts w:hint="cs"/>
                <w:b/>
                <w:bCs/>
                <w:sz w:val="28"/>
                <w:szCs w:val="28"/>
                <w:rtl/>
              </w:rPr>
              <w:br/>
              <w:t xml:space="preserve">באמצעות שב"ס. </w:t>
            </w:r>
          </w:p>
        </w:tc>
        <w:tc>
          <w:tcPr>
            <w:tcW w:w="3771" w:type="dxa"/>
            <w:gridSpan w:val="2"/>
            <w:tcBorders>
              <w:top w:val="nil"/>
              <w:left w:val="nil"/>
              <w:bottom w:val="nil"/>
              <w:right w:val="nil"/>
            </w:tcBorders>
          </w:tcPr>
          <w:p w14:paraId="4B4F81F0" w14:textId="77777777" w:rsidR="000D522F" w:rsidRPr="00924EB7" w:rsidRDefault="000D522F">
            <w:pPr>
              <w:jc w:val="right"/>
              <w:rPr>
                <w:rFonts w:ascii="Arial" w:hAnsi="Arial"/>
                <w:b/>
                <w:bCs/>
                <w:sz w:val="28"/>
                <w:szCs w:val="28"/>
              </w:rPr>
            </w:pPr>
          </w:p>
        </w:tc>
      </w:tr>
      <w:tr w:rsidR="000D522F" w:rsidRPr="00924EB7" w14:paraId="41484C95" w14:textId="77777777">
        <w:trPr>
          <w:trHeight w:val="355"/>
          <w:jc w:val="center"/>
        </w:trPr>
        <w:tc>
          <w:tcPr>
            <w:tcW w:w="923" w:type="dxa"/>
            <w:tcBorders>
              <w:top w:val="nil"/>
              <w:left w:val="nil"/>
              <w:bottom w:val="nil"/>
              <w:right w:val="nil"/>
            </w:tcBorders>
          </w:tcPr>
          <w:p w14:paraId="4FBADA38" w14:textId="77777777" w:rsidR="000D522F" w:rsidRPr="00924EB7" w:rsidRDefault="000D522F">
            <w:pPr>
              <w:jc w:val="both"/>
              <w:rPr>
                <w:rFonts w:ascii="Arial" w:hAnsi="Arial" w:cs="FrankRuehl"/>
                <w:sz w:val="28"/>
                <w:szCs w:val="28"/>
                <w:rtl/>
              </w:rPr>
            </w:pPr>
          </w:p>
        </w:tc>
        <w:tc>
          <w:tcPr>
            <w:tcW w:w="4479" w:type="dxa"/>
            <w:gridSpan w:val="2"/>
            <w:tcBorders>
              <w:top w:val="nil"/>
              <w:left w:val="nil"/>
              <w:bottom w:val="nil"/>
              <w:right w:val="nil"/>
            </w:tcBorders>
          </w:tcPr>
          <w:p w14:paraId="4E527F65" w14:textId="77777777" w:rsidR="000D522F" w:rsidRPr="00924EB7" w:rsidRDefault="00924EB7">
            <w:pPr>
              <w:jc w:val="both"/>
              <w:rPr>
                <w:b/>
                <w:bCs/>
                <w:sz w:val="28"/>
                <w:szCs w:val="28"/>
                <w:rtl/>
              </w:rPr>
            </w:pPr>
            <w:r w:rsidRPr="00924EB7">
              <w:rPr>
                <w:rFonts w:hint="cs"/>
                <w:b/>
                <w:bCs/>
                <w:sz w:val="28"/>
                <w:szCs w:val="28"/>
                <w:rtl/>
              </w:rPr>
              <w:t xml:space="preserve">בא כוח הנאשם עו"ד רותם סרי </w:t>
            </w:r>
          </w:p>
        </w:tc>
        <w:tc>
          <w:tcPr>
            <w:tcW w:w="3771" w:type="dxa"/>
            <w:gridSpan w:val="2"/>
            <w:tcBorders>
              <w:top w:val="nil"/>
              <w:left w:val="nil"/>
              <w:bottom w:val="nil"/>
              <w:right w:val="nil"/>
            </w:tcBorders>
          </w:tcPr>
          <w:p w14:paraId="4DEE127E" w14:textId="77777777" w:rsidR="000D522F" w:rsidRPr="00924EB7" w:rsidRDefault="000D522F">
            <w:pPr>
              <w:jc w:val="right"/>
              <w:rPr>
                <w:rFonts w:ascii="Arial" w:hAnsi="Arial"/>
                <w:b/>
                <w:bCs/>
                <w:sz w:val="28"/>
                <w:szCs w:val="28"/>
              </w:rPr>
            </w:pPr>
          </w:p>
        </w:tc>
      </w:tr>
    </w:tbl>
    <w:p w14:paraId="0DAEBDAF" w14:textId="77777777" w:rsidR="00A77DD1" w:rsidRDefault="00A77DD1">
      <w:pPr>
        <w:rPr>
          <w:rtl/>
        </w:rPr>
      </w:pPr>
      <w:bookmarkStart w:id="2" w:name="LawTable"/>
      <w:bookmarkEnd w:id="2"/>
    </w:p>
    <w:p w14:paraId="03AF95FB" w14:textId="77777777" w:rsidR="00A77DD1" w:rsidRPr="00A77DD1" w:rsidRDefault="00A77DD1" w:rsidP="00A77DD1">
      <w:pPr>
        <w:spacing w:after="120" w:line="240" w:lineRule="exact"/>
        <w:ind w:left="283" w:hanging="283"/>
        <w:jc w:val="both"/>
        <w:rPr>
          <w:rFonts w:ascii="FrankRuehl" w:hAnsi="FrankRuehl" w:cs="FrankRuehl"/>
          <w:rtl/>
        </w:rPr>
      </w:pPr>
    </w:p>
    <w:p w14:paraId="02196287" w14:textId="77777777" w:rsidR="00A77DD1" w:rsidRPr="00A77DD1" w:rsidRDefault="00A77DD1" w:rsidP="00A77DD1">
      <w:pPr>
        <w:spacing w:after="120" w:line="240" w:lineRule="exact"/>
        <w:ind w:left="283" w:hanging="283"/>
        <w:jc w:val="both"/>
        <w:rPr>
          <w:rFonts w:ascii="FrankRuehl" w:hAnsi="FrankRuehl" w:cs="FrankRuehl"/>
          <w:rtl/>
        </w:rPr>
      </w:pPr>
      <w:r w:rsidRPr="00A77DD1">
        <w:rPr>
          <w:rFonts w:ascii="FrankRuehl" w:hAnsi="FrankRuehl" w:cs="FrankRuehl"/>
          <w:rtl/>
        </w:rPr>
        <w:t xml:space="preserve">חקיקה שאוזכרה: </w:t>
      </w:r>
    </w:p>
    <w:p w14:paraId="22E58C31" w14:textId="77777777" w:rsidR="00A77DD1" w:rsidRPr="00A77DD1" w:rsidRDefault="00A77DD1" w:rsidP="00A77DD1">
      <w:pPr>
        <w:spacing w:after="120" w:line="240" w:lineRule="exact"/>
        <w:ind w:left="283" w:hanging="283"/>
        <w:jc w:val="both"/>
        <w:rPr>
          <w:rFonts w:ascii="FrankRuehl" w:hAnsi="FrankRuehl" w:cs="FrankRuehl"/>
          <w:rtl/>
        </w:rPr>
      </w:pPr>
      <w:hyperlink r:id="rId7" w:history="1">
        <w:r w:rsidRPr="00A77DD1">
          <w:rPr>
            <w:rFonts w:ascii="FrankRuehl" w:hAnsi="FrankRuehl" w:cs="FrankRuehl"/>
            <w:color w:val="0000FF"/>
            <w:u w:val="single"/>
            <w:rtl/>
          </w:rPr>
          <w:t>פקודת הסמים המסוכנים [נוסח חדש], תשל"ג-1973</w:t>
        </w:r>
      </w:hyperlink>
      <w:r w:rsidRPr="00A77DD1">
        <w:rPr>
          <w:rFonts w:ascii="FrankRuehl" w:hAnsi="FrankRuehl" w:cs="FrankRuehl"/>
          <w:rtl/>
        </w:rPr>
        <w:t xml:space="preserve">: סע'  </w:t>
      </w:r>
      <w:hyperlink r:id="rId8" w:history="1">
        <w:r w:rsidRPr="00A77DD1">
          <w:rPr>
            <w:rFonts w:ascii="FrankRuehl" w:hAnsi="FrankRuehl" w:cs="FrankRuehl"/>
            <w:color w:val="0000FF"/>
            <w:u w:val="single"/>
            <w:rtl/>
          </w:rPr>
          <w:t>13</w:t>
        </w:r>
      </w:hyperlink>
      <w:r w:rsidRPr="00A77DD1">
        <w:rPr>
          <w:rFonts w:ascii="FrankRuehl" w:hAnsi="FrankRuehl" w:cs="FrankRuehl"/>
          <w:rtl/>
        </w:rPr>
        <w:t xml:space="preserve">, </w:t>
      </w:r>
      <w:hyperlink r:id="rId9" w:history="1">
        <w:r w:rsidRPr="00A77DD1">
          <w:rPr>
            <w:rFonts w:ascii="FrankRuehl" w:hAnsi="FrankRuehl" w:cs="FrankRuehl"/>
            <w:color w:val="0000FF"/>
            <w:u w:val="single"/>
            <w:rtl/>
          </w:rPr>
          <w:t>19א</w:t>
        </w:r>
      </w:hyperlink>
    </w:p>
    <w:p w14:paraId="5B4001A7" w14:textId="77777777" w:rsidR="00A77DD1" w:rsidRPr="00A77DD1" w:rsidRDefault="00A77DD1" w:rsidP="00A77DD1">
      <w:pPr>
        <w:spacing w:after="120" w:line="240" w:lineRule="exact"/>
        <w:ind w:left="283" w:hanging="283"/>
        <w:jc w:val="both"/>
        <w:rPr>
          <w:rFonts w:ascii="FrankRuehl" w:hAnsi="FrankRuehl" w:cs="FrankRuehl"/>
          <w:rtl/>
        </w:rPr>
      </w:pPr>
      <w:hyperlink r:id="rId10" w:history="1">
        <w:r w:rsidRPr="00A77DD1">
          <w:rPr>
            <w:rFonts w:ascii="FrankRuehl" w:hAnsi="FrankRuehl" w:cs="FrankRuehl"/>
            <w:color w:val="0000FF"/>
            <w:u w:val="single"/>
            <w:rtl/>
          </w:rPr>
          <w:t>חוק העונשין, תשל"ז-1977</w:t>
        </w:r>
      </w:hyperlink>
      <w:r w:rsidRPr="00A77DD1">
        <w:rPr>
          <w:rFonts w:ascii="FrankRuehl" w:hAnsi="FrankRuehl" w:cs="FrankRuehl"/>
          <w:rtl/>
        </w:rPr>
        <w:t xml:space="preserve">: סע'  </w:t>
      </w:r>
      <w:hyperlink r:id="rId11" w:history="1">
        <w:r w:rsidRPr="00A77DD1">
          <w:rPr>
            <w:rFonts w:ascii="FrankRuehl" w:hAnsi="FrankRuehl" w:cs="FrankRuehl"/>
            <w:color w:val="0000FF"/>
            <w:u w:val="single"/>
            <w:rtl/>
          </w:rPr>
          <w:t>290</w:t>
        </w:r>
      </w:hyperlink>
      <w:r w:rsidRPr="00A77DD1">
        <w:rPr>
          <w:rFonts w:ascii="FrankRuehl" w:hAnsi="FrankRuehl" w:cs="FrankRuehl"/>
          <w:rtl/>
        </w:rPr>
        <w:t xml:space="preserve">, </w:t>
      </w:r>
      <w:hyperlink r:id="rId12" w:history="1">
        <w:r w:rsidRPr="00A77DD1">
          <w:rPr>
            <w:rFonts w:ascii="FrankRuehl" w:hAnsi="FrankRuehl" w:cs="FrankRuehl"/>
            <w:color w:val="0000FF"/>
            <w:u w:val="single"/>
            <w:rtl/>
          </w:rPr>
          <w:t>291</w:t>
        </w:r>
      </w:hyperlink>
      <w:r w:rsidRPr="00A77DD1">
        <w:rPr>
          <w:rFonts w:ascii="FrankRuehl" w:hAnsi="FrankRuehl" w:cs="FrankRuehl"/>
          <w:rtl/>
        </w:rPr>
        <w:t xml:space="preserve">, </w:t>
      </w:r>
      <w:hyperlink r:id="rId13" w:history="1">
        <w:r w:rsidRPr="00A77DD1">
          <w:rPr>
            <w:rFonts w:ascii="FrankRuehl" w:hAnsi="FrankRuehl" w:cs="FrankRuehl"/>
            <w:color w:val="0000FF"/>
            <w:u w:val="single"/>
            <w:rtl/>
          </w:rPr>
          <w:t>499</w:t>
        </w:r>
      </w:hyperlink>
    </w:p>
    <w:p w14:paraId="418C49F2" w14:textId="77777777" w:rsidR="00A77DD1" w:rsidRPr="00A77DD1" w:rsidRDefault="00A77DD1" w:rsidP="00A77DD1">
      <w:pPr>
        <w:spacing w:after="120" w:line="240" w:lineRule="exact"/>
        <w:ind w:left="283" w:hanging="283"/>
        <w:jc w:val="both"/>
        <w:rPr>
          <w:rFonts w:ascii="FrankRuehl" w:hAnsi="FrankRuehl" w:cs="FrankRuehl"/>
          <w:rtl/>
        </w:rPr>
      </w:pPr>
      <w:hyperlink r:id="rId14" w:history="1">
        <w:r w:rsidRPr="00A77DD1">
          <w:rPr>
            <w:rFonts w:ascii="FrankRuehl" w:hAnsi="FrankRuehl" w:cs="FrankRuehl"/>
            <w:color w:val="0000FF"/>
            <w:u w:val="single"/>
            <w:rtl/>
          </w:rPr>
          <w:t>חוק שחרור על-תנאי ממאסר, תשס"א-2001</w:t>
        </w:r>
      </w:hyperlink>
      <w:r w:rsidRPr="00A77DD1">
        <w:rPr>
          <w:rFonts w:ascii="FrankRuehl" w:hAnsi="FrankRuehl" w:cs="FrankRuehl"/>
          <w:rtl/>
        </w:rPr>
        <w:t xml:space="preserve">: סע'  </w:t>
      </w:r>
      <w:hyperlink r:id="rId15" w:history="1">
        <w:r w:rsidRPr="00A77DD1">
          <w:rPr>
            <w:rFonts w:ascii="FrankRuehl" w:hAnsi="FrankRuehl" w:cs="FrankRuehl"/>
            <w:color w:val="0000FF"/>
            <w:u w:val="single"/>
            <w:rtl/>
          </w:rPr>
          <w:t>29</w:t>
        </w:r>
      </w:hyperlink>
    </w:p>
    <w:p w14:paraId="3DFDA06E" w14:textId="77777777" w:rsidR="00A77DD1" w:rsidRPr="00A77DD1" w:rsidRDefault="00A77DD1" w:rsidP="00A77DD1">
      <w:pPr>
        <w:spacing w:after="120" w:line="240" w:lineRule="exact"/>
        <w:ind w:left="283" w:hanging="283"/>
        <w:jc w:val="both"/>
        <w:rPr>
          <w:rFonts w:ascii="FrankRuehl" w:hAnsi="FrankRuehl" w:cs="FrankRuehl"/>
          <w:rtl/>
        </w:rPr>
      </w:pPr>
    </w:p>
    <w:p w14:paraId="46007BCB" w14:textId="77777777" w:rsidR="00A77DD1" w:rsidRPr="00A77DD1" w:rsidRDefault="00A77DD1">
      <w:pPr>
        <w:rPr>
          <w:rtl/>
        </w:rPr>
      </w:pPr>
      <w:bookmarkStart w:id="3" w:name="LawTable_End"/>
      <w:bookmarkEnd w:id="3"/>
    </w:p>
    <w:p w14:paraId="1B9A00CD" w14:textId="77777777" w:rsidR="00A77DD1" w:rsidRPr="00A77DD1" w:rsidRDefault="00A77DD1">
      <w:pPr>
        <w:rPr>
          <w:rtl/>
        </w:rPr>
      </w:pPr>
    </w:p>
    <w:p w14:paraId="7E1D7B15" w14:textId="77777777" w:rsidR="00CA1D80" w:rsidRPr="00CA1D80" w:rsidRDefault="00CA1D80">
      <w:pPr>
        <w:rPr>
          <w:rtl/>
        </w:rPr>
      </w:pPr>
    </w:p>
    <w:p w14:paraId="4C07C0D3" w14:textId="77777777" w:rsidR="00CA1D80" w:rsidRPr="00CA1D80" w:rsidRDefault="00CA1D80">
      <w:pPr>
        <w:rPr>
          <w:rtl/>
        </w:rPr>
      </w:pPr>
    </w:p>
    <w:p w14:paraId="607D4394" w14:textId="77777777" w:rsidR="000D522F" w:rsidRPr="00CA1D80" w:rsidRDefault="000D522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522F" w14:paraId="6CBA2411" w14:textId="77777777">
        <w:trPr>
          <w:trHeight w:val="355"/>
          <w:jc w:val="center"/>
        </w:trPr>
        <w:tc>
          <w:tcPr>
            <w:tcW w:w="8820" w:type="dxa"/>
            <w:tcBorders>
              <w:top w:val="nil"/>
              <w:left w:val="nil"/>
              <w:bottom w:val="nil"/>
              <w:right w:val="nil"/>
            </w:tcBorders>
          </w:tcPr>
          <w:p w14:paraId="4096784E" w14:textId="77777777" w:rsidR="00924EB7" w:rsidRPr="00924EB7" w:rsidRDefault="00924EB7" w:rsidP="00924EB7">
            <w:pPr>
              <w:jc w:val="center"/>
              <w:rPr>
                <w:rFonts w:ascii="Arial" w:hAnsi="Arial" w:cs="FrankRuehl"/>
                <w:b/>
                <w:bCs/>
                <w:sz w:val="32"/>
                <w:szCs w:val="32"/>
                <w:u w:val="single"/>
                <w:rtl/>
              </w:rPr>
            </w:pPr>
            <w:bookmarkStart w:id="4" w:name="PsakDin" w:colFirst="0" w:colLast="0"/>
            <w:bookmarkEnd w:id="0"/>
            <w:r w:rsidRPr="00924EB7">
              <w:rPr>
                <w:rFonts w:ascii="Arial" w:hAnsi="Arial" w:cs="FrankRuehl"/>
                <w:b/>
                <w:bCs/>
                <w:sz w:val="32"/>
                <w:szCs w:val="32"/>
                <w:u w:val="single"/>
                <w:rtl/>
              </w:rPr>
              <w:t>גזר דין</w:t>
            </w:r>
          </w:p>
          <w:p w14:paraId="6792259F" w14:textId="77777777" w:rsidR="000D522F" w:rsidRPr="00924EB7" w:rsidRDefault="000D522F" w:rsidP="00924EB7">
            <w:pPr>
              <w:jc w:val="center"/>
              <w:rPr>
                <w:rFonts w:ascii="Arial" w:hAnsi="Arial" w:cs="FrankRuehl"/>
                <w:bCs/>
                <w:sz w:val="32"/>
                <w:szCs w:val="32"/>
                <w:u w:val="single"/>
                <w:rtl/>
              </w:rPr>
            </w:pPr>
          </w:p>
        </w:tc>
      </w:tr>
      <w:bookmarkEnd w:id="4"/>
    </w:tbl>
    <w:p w14:paraId="3C06A22D" w14:textId="77777777" w:rsidR="000D522F" w:rsidRDefault="000D522F">
      <w:pPr>
        <w:rPr>
          <w:rFonts w:ascii="Arial" w:hAnsi="Arial" w:cs="FrankRuehl"/>
          <w:sz w:val="28"/>
          <w:szCs w:val="28"/>
          <w:rtl/>
        </w:rPr>
      </w:pPr>
    </w:p>
    <w:p w14:paraId="658877E1" w14:textId="77777777" w:rsidR="000D522F" w:rsidRDefault="00924EB7">
      <w:pPr>
        <w:pStyle w:val="1"/>
        <w:jc w:val="both"/>
        <w:rPr>
          <w:rFonts w:cs="David"/>
          <w:sz w:val="28"/>
          <w:szCs w:val="28"/>
          <w:u w:val="single"/>
          <w:rtl/>
        </w:rPr>
      </w:pPr>
      <w:r>
        <w:rPr>
          <w:rFonts w:cs="David"/>
          <w:sz w:val="28"/>
          <w:szCs w:val="28"/>
          <w:u w:val="single"/>
          <w:rtl/>
        </w:rPr>
        <w:t>עובדות כתב האישום</w:t>
      </w:r>
    </w:p>
    <w:p w14:paraId="3F6BE348" w14:textId="77777777" w:rsidR="000D522F" w:rsidRDefault="000D522F">
      <w:pPr>
        <w:spacing w:line="360" w:lineRule="auto"/>
        <w:jc w:val="both"/>
        <w:rPr>
          <w:rtl/>
        </w:rPr>
      </w:pPr>
    </w:p>
    <w:p w14:paraId="28FB1441" w14:textId="77777777" w:rsidR="000D522F" w:rsidRDefault="00924EB7">
      <w:pPr>
        <w:spacing w:line="360" w:lineRule="auto"/>
        <w:ind w:left="720" w:hanging="720"/>
        <w:jc w:val="both"/>
        <w:rPr>
          <w:rtl/>
        </w:rPr>
      </w:pPr>
      <w:r>
        <w:rPr>
          <w:rFonts w:hint="cs"/>
          <w:rtl/>
        </w:rPr>
        <w:t>1.</w:t>
      </w:r>
      <w:r>
        <w:rPr>
          <w:rFonts w:hint="cs"/>
          <w:rtl/>
        </w:rPr>
        <w:tab/>
      </w:r>
      <w:bookmarkStart w:id="5" w:name="ABSTRACT_START"/>
      <w:bookmarkEnd w:id="5"/>
      <w:r>
        <w:rPr>
          <w:rtl/>
        </w:rPr>
        <w:t>הנאשם הורשע על פי הודאתו ב</w:t>
      </w:r>
      <w:r>
        <w:rPr>
          <w:rFonts w:hint="cs"/>
          <w:rtl/>
        </w:rPr>
        <w:t xml:space="preserve">עובדות </w:t>
      </w:r>
      <w:r>
        <w:rPr>
          <w:rtl/>
        </w:rPr>
        <w:t xml:space="preserve">כתב </w:t>
      </w:r>
      <w:r>
        <w:rPr>
          <w:rFonts w:hint="cs"/>
          <w:rtl/>
        </w:rPr>
        <w:t>ה</w:t>
      </w:r>
      <w:r>
        <w:rPr>
          <w:rtl/>
        </w:rPr>
        <w:t xml:space="preserve">אישום </w:t>
      </w:r>
      <w:r>
        <w:rPr>
          <w:rFonts w:hint="cs"/>
          <w:rtl/>
        </w:rPr>
        <w:t>ה</w:t>
      </w:r>
      <w:r>
        <w:rPr>
          <w:rtl/>
        </w:rPr>
        <w:t xml:space="preserve">מתוקן בעבירות שלהלן: עסקה אחרת בסם מסוכן עבירות לפי </w:t>
      </w:r>
      <w:hyperlink r:id="rId16" w:history="1">
        <w:r w:rsidR="00A77DD1" w:rsidRPr="00A77DD1">
          <w:rPr>
            <w:color w:val="0000FF"/>
            <w:u w:val="single"/>
            <w:rtl/>
          </w:rPr>
          <w:t>סעיף 13</w:t>
        </w:r>
      </w:hyperlink>
      <w:r>
        <w:rPr>
          <w:rtl/>
        </w:rPr>
        <w:t xml:space="preserve"> ו-</w:t>
      </w:r>
      <w:hyperlink r:id="rId17" w:history="1">
        <w:r w:rsidR="00A77DD1" w:rsidRPr="00A77DD1">
          <w:rPr>
            <w:color w:val="0000FF"/>
            <w:u w:val="single"/>
            <w:rtl/>
          </w:rPr>
          <w:t>19א</w:t>
        </w:r>
      </w:hyperlink>
      <w:r>
        <w:rPr>
          <w:rtl/>
        </w:rPr>
        <w:t xml:space="preserve"> </w:t>
      </w:r>
      <w:hyperlink r:id="rId18" w:history="1">
        <w:r w:rsidR="00A77DD1" w:rsidRPr="00A77DD1">
          <w:rPr>
            <w:color w:val="0000FF"/>
            <w:u w:val="single"/>
            <w:rtl/>
          </w:rPr>
          <w:t>לפקודת הסמים המסוכנות [נוסח חדש]</w:t>
        </w:r>
      </w:hyperlink>
      <w:r>
        <w:rPr>
          <w:rtl/>
        </w:rPr>
        <w:t xml:space="preserve"> תשל"ג 1973, מתן שוחד עבירות לפי </w:t>
      </w:r>
      <w:hyperlink r:id="rId19" w:history="1">
        <w:r w:rsidR="00A77DD1" w:rsidRPr="00A77DD1">
          <w:rPr>
            <w:color w:val="0000FF"/>
            <w:u w:val="single"/>
            <w:rtl/>
          </w:rPr>
          <w:t>סעיף 291</w:t>
        </w:r>
      </w:hyperlink>
      <w:r>
        <w:rPr>
          <w:rtl/>
        </w:rPr>
        <w:t xml:space="preserve"> ל</w:t>
      </w:r>
      <w:hyperlink r:id="rId20" w:history="1">
        <w:r w:rsidR="00CA1D80" w:rsidRPr="00CA1D80">
          <w:rPr>
            <w:rStyle w:val="Hyperlink"/>
            <w:rtl/>
          </w:rPr>
          <w:t>חוק העונשין</w:t>
        </w:r>
      </w:hyperlink>
      <w:r>
        <w:rPr>
          <w:rtl/>
        </w:rPr>
        <w:t xml:space="preserve"> תשל"ז-1977 וקשירת קשר לביצוע פשע עבירה לפי </w:t>
      </w:r>
      <w:hyperlink r:id="rId21" w:history="1">
        <w:r w:rsidR="00A77DD1" w:rsidRPr="00A77DD1">
          <w:rPr>
            <w:color w:val="0000FF"/>
            <w:u w:val="single"/>
            <w:rtl/>
          </w:rPr>
          <w:t>סעיף 499</w:t>
        </w:r>
      </w:hyperlink>
      <w:r>
        <w:rPr>
          <w:rtl/>
        </w:rPr>
        <w:t xml:space="preserve"> לחוק העונשין תשל"ז –1977</w:t>
      </w:r>
      <w:bookmarkStart w:id="6" w:name="ABSTRACT_END"/>
      <w:bookmarkEnd w:id="6"/>
      <w:r>
        <w:rPr>
          <w:rtl/>
        </w:rPr>
        <w:t>.</w:t>
      </w:r>
    </w:p>
    <w:p w14:paraId="4344C5F3" w14:textId="77777777" w:rsidR="000D522F" w:rsidRDefault="000D522F">
      <w:pPr>
        <w:spacing w:line="360" w:lineRule="auto"/>
        <w:jc w:val="both"/>
        <w:rPr>
          <w:rtl/>
        </w:rPr>
      </w:pPr>
    </w:p>
    <w:p w14:paraId="406AC7EE" w14:textId="77777777" w:rsidR="000D522F" w:rsidRDefault="00924EB7">
      <w:pPr>
        <w:spacing w:line="360" w:lineRule="auto"/>
        <w:ind w:left="720" w:hanging="720"/>
        <w:jc w:val="both"/>
        <w:rPr>
          <w:rtl/>
        </w:rPr>
      </w:pPr>
      <w:r>
        <w:rPr>
          <w:rFonts w:hint="cs"/>
          <w:rtl/>
        </w:rPr>
        <w:lastRenderedPageBreak/>
        <w:t>2.</w:t>
      </w:r>
      <w:r>
        <w:rPr>
          <w:rFonts w:hint="cs"/>
          <w:rtl/>
        </w:rPr>
        <w:tab/>
      </w:r>
      <w:r>
        <w:rPr>
          <w:rtl/>
        </w:rPr>
        <w:t xml:space="preserve">חברת ד.ד.ש </w:t>
      </w:r>
      <w:r>
        <w:rPr>
          <w:rFonts w:hint="cs"/>
          <w:rtl/>
        </w:rPr>
        <w:t>מ</w:t>
      </w:r>
      <w:r>
        <w:rPr>
          <w:rtl/>
        </w:rPr>
        <w:t>פיצי הדרום בע"מ מפעילה מרכזי מכר לאסיר בשב"ס והינה תאגיד המספק שירות לציבור (להלן:</w:t>
      </w:r>
      <w:r>
        <w:rPr>
          <w:rFonts w:hint="cs"/>
          <w:rtl/>
        </w:rPr>
        <w:t xml:space="preserve"> </w:t>
      </w:r>
      <w:r>
        <w:rPr>
          <w:b/>
          <w:bCs/>
          <w:rtl/>
        </w:rPr>
        <w:t>החברה</w:t>
      </w:r>
      <w:r>
        <w:rPr>
          <w:rtl/>
        </w:rPr>
        <w:t xml:space="preserve">). עובדי החברה עוברים הכשרה בשירות בתי הסוהר, במסגרתה ניתנת הדרכה אודות העבודה בשב"ס מאת קצין ביטחון וקצין מודיעין בשב"ס. במהלך עבודתם נפגשים עובדי החברה מדי חודש עם קצין מודיעין בשב"ס. במרכזי המכר לאסיר, מועסקים גם אסירים לצד עובדי החברה. </w:t>
      </w:r>
    </w:p>
    <w:p w14:paraId="5B84C855" w14:textId="77777777" w:rsidR="000D522F" w:rsidRDefault="000D522F">
      <w:pPr>
        <w:spacing w:line="360" w:lineRule="auto"/>
        <w:jc w:val="both"/>
        <w:rPr>
          <w:rtl/>
        </w:rPr>
      </w:pPr>
    </w:p>
    <w:p w14:paraId="10063AAD" w14:textId="77777777" w:rsidR="000D522F" w:rsidRDefault="000D522F">
      <w:pPr>
        <w:spacing w:line="360" w:lineRule="auto"/>
        <w:jc w:val="both"/>
        <w:rPr>
          <w:rtl/>
        </w:rPr>
      </w:pPr>
    </w:p>
    <w:p w14:paraId="5A05B17F" w14:textId="77777777" w:rsidR="000D522F" w:rsidRDefault="00924EB7">
      <w:pPr>
        <w:spacing w:line="360" w:lineRule="auto"/>
        <w:ind w:left="720" w:hanging="720"/>
        <w:jc w:val="both"/>
        <w:rPr>
          <w:rtl/>
        </w:rPr>
      </w:pPr>
      <w:r>
        <w:rPr>
          <w:rFonts w:hint="cs"/>
          <w:rtl/>
        </w:rPr>
        <w:t>3.</w:t>
      </w:r>
      <w:r>
        <w:rPr>
          <w:rFonts w:hint="cs"/>
          <w:rtl/>
        </w:rPr>
        <w:tab/>
      </w:r>
      <w:r>
        <w:rPr>
          <w:rtl/>
        </w:rPr>
        <w:t xml:space="preserve">אורון גמליאל (להלן: </w:t>
      </w:r>
      <w:r>
        <w:rPr>
          <w:b/>
          <w:bCs/>
          <w:rtl/>
        </w:rPr>
        <w:t>אורון</w:t>
      </w:r>
      <w:r>
        <w:rPr>
          <w:rtl/>
        </w:rPr>
        <w:t xml:space="preserve">) עבד בחברה החל מיום 8.6.09 בתפקיד מפעיל מרכז מכר לאסיר בכלא איילון (להלן: </w:t>
      </w:r>
      <w:r>
        <w:rPr>
          <w:b/>
          <w:bCs/>
          <w:rtl/>
        </w:rPr>
        <w:t>הקנטינה</w:t>
      </w:r>
      <w:r>
        <w:rPr>
          <w:rtl/>
        </w:rPr>
        <w:t xml:space="preserve">) לצורך עבודתו נכנס אורון בין כותלי בית הסוהר ובסיום יום עבודתו היה יוצא לביתו. </w:t>
      </w:r>
    </w:p>
    <w:p w14:paraId="27774D40" w14:textId="77777777" w:rsidR="000D522F" w:rsidRDefault="000D522F">
      <w:pPr>
        <w:spacing w:line="360" w:lineRule="auto"/>
        <w:jc w:val="both"/>
        <w:rPr>
          <w:rtl/>
        </w:rPr>
      </w:pPr>
    </w:p>
    <w:p w14:paraId="26DB4A3F" w14:textId="77777777" w:rsidR="000D522F" w:rsidRDefault="00924EB7">
      <w:pPr>
        <w:spacing w:line="360" w:lineRule="auto"/>
        <w:ind w:left="720" w:hanging="720"/>
        <w:jc w:val="both"/>
        <w:rPr>
          <w:rtl/>
        </w:rPr>
      </w:pPr>
      <w:r>
        <w:rPr>
          <w:rFonts w:hint="cs"/>
          <w:rtl/>
        </w:rPr>
        <w:t>4.</w:t>
      </w:r>
      <w:r>
        <w:rPr>
          <w:rFonts w:hint="cs"/>
          <w:rtl/>
        </w:rPr>
        <w:tab/>
      </w:r>
      <w:r>
        <w:rPr>
          <w:rtl/>
        </w:rPr>
        <w:t xml:space="preserve">אסיר יכול לרכוש בקנטינה אך ורק מוצר שאושר למכירה ע"י שב"ס. מחירי המוצרים בקנטינה נקבעים במכרז ולאסיר מותר לרכוש מוצרים עד סך של 1,500 ₪ בחודש. התשלום בעבור המוצרים שאותם רוכש האסיר בקנטינה נעשה באמצעות חשבון בבנק הדואר. הנאשם היה בתקופה הרלוונטית </w:t>
      </w:r>
      <w:r>
        <w:rPr>
          <w:rFonts w:hint="cs"/>
          <w:rtl/>
        </w:rPr>
        <w:t>ל</w:t>
      </w:r>
      <w:r>
        <w:rPr>
          <w:rtl/>
        </w:rPr>
        <w:t>כתב האישום</w:t>
      </w:r>
      <w:r>
        <w:rPr>
          <w:rFonts w:hint="cs"/>
          <w:rtl/>
        </w:rPr>
        <w:t xml:space="preserve">, </w:t>
      </w:r>
      <w:r>
        <w:rPr>
          <w:rtl/>
        </w:rPr>
        <w:t>אסיר בכלא איילון ועבד בקנטינה עם אורון החל מחודש נובמבר 2010 או בסמוך לכך.</w:t>
      </w:r>
    </w:p>
    <w:p w14:paraId="45BC1CFE" w14:textId="77777777" w:rsidR="000D522F" w:rsidRDefault="000D522F">
      <w:pPr>
        <w:spacing w:line="360" w:lineRule="auto"/>
        <w:jc w:val="both"/>
        <w:rPr>
          <w:rtl/>
        </w:rPr>
      </w:pPr>
    </w:p>
    <w:p w14:paraId="5CB10866" w14:textId="77777777" w:rsidR="000D522F" w:rsidRDefault="00924EB7">
      <w:pPr>
        <w:spacing w:line="360" w:lineRule="auto"/>
        <w:ind w:left="720" w:hanging="720"/>
        <w:jc w:val="both"/>
        <w:rPr>
          <w:rtl/>
        </w:rPr>
      </w:pPr>
      <w:r>
        <w:rPr>
          <w:rFonts w:hint="cs"/>
          <w:rtl/>
        </w:rPr>
        <w:t>5.</w:t>
      </w:r>
      <w:r>
        <w:rPr>
          <w:rFonts w:hint="cs"/>
          <w:rtl/>
        </w:rPr>
        <w:tab/>
      </w:r>
      <w:r>
        <w:rPr>
          <w:rtl/>
        </w:rPr>
        <w:t xml:space="preserve">במהלך חודש נובמבר 2010 קשרו הנאשם ואורון קשר לפיו יכניס אורון דברים שונים אל תוך הכלא עבור הנאשם ובתמורה לתשלום כספי מצידו של הנאשם. במהלך חודש נובמבר 2010 טלפן הנאשם מהכלא לאורון והודיע לו כי בנו יביא לאורון דבר מה עבור הנאשם. באותו מועד בשעות הערב, הביא בנו של הנאשם לאורון חולצה הנושאת המותג "נייק". למחרת היום, הכניס אורון את החולצה לכלא בתיקו עבור הנאשם וזה נטל את החולצה מתיקו של אורון. כשבועיים לאחר מכן, הודיע הנאשם לאורון במהלך עבודתם בקנטינה כי בנו של הנאשם יביא שוב לאורון ציוד עבור הנאשם. הנאשם ביקש מאורון להכניס את הציוד לכלא במספר הזדמנויות. בערבו של אותו מועד, הגיע בנו של הנאשם לאורון ושילם לו, כפי שסוכם מראש בין הנאשם לאורון, סך של 500 ₪ במזומן. באותה הזדמנות, מסר בנו של הנאשם לאורון מספר שקיות אשר הכילו: בקבוק מים </w:t>
      </w:r>
      <w:r>
        <w:rPr>
          <w:rFonts w:hint="cs"/>
          <w:rtl/>
        </w:rPr>
        <w:t>מינרליים</w:t>
      </w:r>
      <w:r>
        <w:rPr>
          <w:rtl/>
        </w:rPr>
        <w:t xml:space="preserve"> ובו משקה אלכוהולי, תרופות וטבליות שונות, נעלי עבודה, שמפו, מרכך לשיער ומוצרי טיפוח שונים. עוד הכילו השקיות מכנסיים, שעון יד, חולצה, מעיל ונעליים הנושאים את המותג "נייק" (להלן: </w:t>
      </w:r>
      <w:r>
        <w:rPr>
          <w:b/>
          <w:bCs/>
          <w:rtl/>
        </w:rPr>
        <w:t>המעיל והנעליים</w:t>
      </w:r>
      <w:r>
        <w:rPr>
          <w:rtl/>
        </w:rPr>
        <w:t xml:space="preserve">). למחרת היום הכניס אורון את החולצה לכלא בתוך תיקו עבור הנאשם וזה נטל את החולצה מתיקו של אורון. </w:t>
      </w:r>
    </w:p>
    <w:p w14:paraId="0E9C1FE1" w14:textId="77777777" w:rsidR="000D522F" w:rsidRDefault="000D522F">
      <w:pPr>
        <w:spacing w:line="360" w:lineRule="auto"/>
        <w:jc w:val="both"/>
        <w:rPr>
          <w:rtl/>
        </w:rPr>
      </w:pPr>
    </w:p>
    <w:p w14:paraId="167FA0A8" w14:textId="77777777" w:rsidR="000D522F" w:rsidRDefault="00924EB7">
      <w:pPr>
        <w:spacing w:line="360" w:lineRule="auto"/>
        <w:ind w:left="720" w:hanging="720"/>
        <w:jc w:val="both"/>
        <w:rPr>
          <w:rtl/>
        </w:rPr>
      </w:pPr>
      <w:r>
        <w:rPr>
          <w:rFonts w:hint="cs"/>
          <w:rtl/>
        </w:rPr>
        <w:t>6.</w:t>
      </w:r>
      <w:r>
        <w:rPr>
          <w:rFonts w:hint="cs"/>
          <w:rtl/>
        </w:rPr>
        <w:tab/>
      </w:r>
      <w:r>
        <w:rPr>
          <w:rtl/>
        </w:rPr>
        <w:t xml:space="preserve">במועד שאינו ידוע במדויק למאשימה, הכניס אורון לכלא עבור הנאשם את שעון היד. בתאריך 30.1.11 הגיע אורון לכלא </w:t>
      </w:r>
      <w:r>
        <w:rPr>
          <w:rFonts w:hint="cs"/>
          <w:rtl/>
        </w:rPr>
        <w:t xml:space="preserve">כאשר </w:t>
      </w:r>
      <w:r>
        <w:rPr>
          <w:rtl/>
        </w:rPr>
        <w:t>הוא לובש את המעיל ונועל את הנעליים על מנת להעבירם לנאשם</w:t>
      </w:r>
      <w:r>
        <w:rPr>
          <w:rFonts w:hint="cs"/>
          <w:rtl/>
        </w:rPr>
        <w:t>.</w:t>
      </w:r>
      <w:r>
        <w:rPr>
          <w:rtl/>
        </w:rPr>
        <w:t xml:space="preserve"> את המעיל והנעליים מסר אורון לנאשם בהיותם בקנטינה ונעל נעליים </w:t>
      </w:r>
      <w:r>
        <w:rPr>
          <w:rtl/>
        </w:rPr>
        <w:lastRenderedPageBreak/>
        <w:t>אחרות שהנאשם נתן לו. אורון הבהיר לנאשם כי הוא אינו מוכן להכניס לכלא את נעלי העבודה ומוצרי הטיפוח שהיו בשקית שקיבל מבנו של הנאשם.</w:t>
      </w:r>
    </w:p>
    <w:p w14:paraId="3942FD10" w14:textId="77777777" w:rsidR="000D522F" w:rsidRDefault="000D522F">
      <w:pPr>
        <w:spacing w:line="360" w:lineRule="auto"/>
        <w:jc w:val="both"/>
        <w:rPr>
          <w:rtl/>
        </w:rPr>
      </w:pPr>
    </w:p>
    <w:p w14:paraId="59F312D9" w14:textId="77777777" w:rsidR="000D522F" w:rsidRDefault="00924EB7">
      <w:pPr>
        <w:spacing w:line="360" w:lineRule="auto"/>
        <w:ind w:left="720" w:hanging="720"/>
        <w:jc w:val="both"/>
        <w:rPr>
          <w:rtl/>
        </w:rPr>
      </w:pPr>
      <w:r>
        <w:rPr>
          <w:rFonts w:hint="cs"/>
          <w:rtl/>
        </w:rPr>
        <w:t>7.</w:t>
      </w:r>
      <w:r>
        <w:rPr>
          <w:rFonts w:hint="cs"/>
          <w:rtl/>
        </w:rPr>
        <w:tab/>
      </w:r>
      <w:r>
        <w:rPr>
          <w:rtl/>
        </w:rPr>
        <w:t xml:space="preserve">בסוף חודש דצמבר 2010 הודיע הנאשם לאורון במהלך עבודתם בקנטינה כי אדם מטעמו יביא לאורון "ארבע אצבעות" של סמים מסוכנים ובתמורה לכך שאורון יכניסם עבור הנאשם לכלא יקבל עבורם סך של 4000 ₪. מספר ימים לאחר מכן, נפגש אורון עם אדם מטעמו של הנאשם, אשר נכנס לרכבו של אורון והניח במאפרה של הרכב "ארבע אצבעות" של סמים מסוכנים עטופות בניילון נצמד ונייר כסף. למחרת היום, הכניס אורון את הסמים המסוכנים לכלא מוטמנים תחת חולצתו. במהלך עבודתם בקנטינה, לבקשתו של הנאשם, נכנס אורון לתא שירותים וזרק את הסמים לרצפת התא. מיד לאחר שיצא, נכנס הנאשם לתא השירותים ולקח את הסמים המסוכנים. בסוף יום העבודה, מחה אורון באוזניו של הנאשם על כך שלא קיבל את התמורה הכספית שהובטחה לו. בערבו של אותו מועד, הגיע בנו של הנאשם לאורון ושילם לו סך של 3500 ₪ במזומן. כאשר התקשר הנאשם מהכלא לאורון אמר אורון לנאשם כי קיבל רק חלק מהתמורה הכספית המובטחת והנאשם אמר לו "יהיה בסדר". </w:t>
      </w:r>
    </w:p>
    <w:p w14:paraId="5D26E5F9" w14:textId="77777777" w:rsidR="000D522F" w:rsidRDefault="000D522F">
      <w:pPr>
        <w:spacing w:line="360" w:lineRule="auto"/>
        <w:jc w:val="both"/>
        <w:rPr>
          <w:rtl/>
        </w:rPr>
      </w:pPr>
    </w:p>
    <w:p w14:paraId="385164D0" w14:textId="77777777" w:rsidR="000D522F" w:rsidRDefault="00924EB7">
      <w:pPr>
        <w:spacing w:line="360" w:lineRule="auto"/>
        <w:ind w:left="720" w:hanging="720"/>
        <w:jc w:val="both"/>
        <w:rPr>
          <w:rtl/>
        </w:rPr>
      </w:pPr>
      <w:r>
        <w:rPr>
          <w:rFonts w:hint="cs"/>
          <w:rtl/>
        </w:rPr>
        <w:t>8.</w:t>
      </w:r>
      <w:r>
        <w:rPr>
          <w:rFonts w:hint="cs"/>
          <w:rtl/>
        </w:rPr>
        <w:tab/>
      </w:r>
      <w:r>
        <w:rPr>
          <w:rtl/>
        </w:rPr>
        <w:t xml:space="preserve">בתאריך 27.1.11, במהלך עבודתו בקנטינה, התקשר לאורון אדם מטעמו של הנאשם, ואמר כי ברצונו להעביר לו דבר מה עבור הנאשם. אורון בירר עם הנאשם את פשר העניין וזה אישר כי מדובר באדם מטעמו ובתמורה למעשיו יקבל אורון סך של 5500 ₪. בתאריך 30.1.11 בשעות הערב, נפגש אורון עם אדם מטעמו של הנאשם, וזה מסר לאורון בקבוק מים מינרליים בנפח של ליטר וחצי ובו אלכוהול, וכן כפפה מגומי ובה סמים מסוכנים כמפורט להלן: הרואין במשקל נטו 58.64 גרם, קוקאין במשקל נטו של 9.27 גרם, </w:t>
      </w:r>
      <w:r>
        <w:t>MDMA</w:t>
      </w:r>
      <w:r>
        <w:rPr>
          <w:rtl/>
        </w:rPr>
        <w:t xml:space="preserve"> במשקל נטו של 9.21 גרם. באותה הזדמנות מסר אותו אדם לאורון סך של 1000 דולר. אורון המיר מיד לאחר מכן את הדולרים לסך של 3,630 ₪. באותו ערב התקשר הנאשם לאורון ובירר עימו אילו דברים הועברו לו ואמר לאורון כי חצי מסך הכסף מיועד עבורו. בתאריך 31.1.11 הכניס אורון לתוך הכלא עבור הנאשם את הסמים המסוכנים בכפפה כאשר </w:t>
      </w:r>
      <w:r>
        <w:rPr>
          <w:rFonts w:hint="cs"/>
          <w:rtl/>
        </w:rPr>
        <w:t xml:space="preserve">הם </w:t>
      </w:r>
      <w:r>
        <w:rPr>
          <w:rtl/>
        </w:rPr>
        <w:t xml:space="preserve">מוטמנים תחת חולצתו, את בקבוק האלכוהול וכן סך של 2,600 ₪. </w:t>
      </w:r>
    </w:p>
    <w:p w14:paraId="259553DC" w14:textId="77777777" w:rsidR="000D522F" w:rsidRDefault="000D522F">
      <w:pPr>
        <w:spacing w:line="360" w:lineRule="auto"/>
        <w:jc w:val="both"/>
        <w:rPr>
          <w:rtl/>
        </w:rPr>
      </w:pPr>
    </w:p>
    <w:p w14:paraId="6CBEDFA8" w14:textId="77777777" w:rsidR="000D522F" w:rsidRDefault="00924EB7">
      <w:pPr>
        <w:pStyle w:val="2"/>
        <w:spacing w:line="360" w:lineRule="auto"/>
        <w:rPr>
          <w:rFonts w:cs="David"/>
          <w:color w:val="auto"/>
          <w:sz w:val="28"/>
          <w:szCs w:val="28"/>
          <w:u w:val="single"/>
          <w:rtl/>
        </w:rPr>
      </w:pPr>
      <w:r>
        <w:rPr>
          <w:rFonts w:cs="David"/>
          <w:color w:val="auto"/>
          <w:sz w:val="28"/>
          <w:szCs w:val="28"/>
          <w:u w:val="single"/>
          <w:rtl/>
        </w:rPr>
        <w:t>טענות הצדדים</w:t>
      </w:r>
    </w:p>
    <w:p w14:paraId="71972DD5" w14:textId="77777777" w:rsidR="000D522F" w:rsidRDefault="000D522F">
      <w:pPr>
        <w:spacing w:line="360" w:lineRule="auto"/>
        <w:jc w:val="both"/>
        <w:rPr>
          <w:rtl/>
        </w:rPr>
      </w:pPr>
    </w:p>
    <w:p w14:paraId="4FC643AE" w14:textId="77777777" w:rsidR="000D522F" w:rsidRDefault="00924EB7">
      <w:pPr>
        <w:spacing w:line="360" w:lineRule="auto"/>
        <w:ind w:left="720" w:hanging="720"/>
        <w:jc w:val="both"/>
        <w:rPr>
          <w:rtl/>
        </w:rPr>
      </w:pPr>
      <w:r>
        <w:rPr>
          <w:rFonts w:hint="cs"/>
          <w:rtl/>
        </w:rPr>
        <w:t>9.</w:t>
      </w:r>
      <w:r>
        <w:rPr>
          <w:rFonts w:hint="cs"/>
          <w:rtl/>
        </w:rPr>
        <w:tab/>
      </w:r>
      <w:r>
        <w:rPr>
          <w:rtl/>
        </w:rPr>
        <w:t>בא כוח המאשימה הגיש את גיליון הרישום הפלילי של הנאשם ואשר לפיו לחובתו של הנאשם 8 הרשעות קודמות. במועד ביצוע העבירות נשוא כתב האישום היה בסטאטוס של אסיר שנדון למאסר עולם וזאת בגין ביצוע עבירת רצח במהלך ביצוע עבירת שוד. לתיק בית משפט הוגש העתק פסק הדין של בית</w:t>
      </w:r>
      <w:r>
        <w:rPr>
          <w:rFonts w:hint="cs"/>
          <w:rtl/>
        </w:rPr>
        <w:t xml:space="preserve"> </w:t>
      </w:r>
      <w:r>
        <w:rPr>
          <w:rtl/>
        </w:rPr>
        <w:t>המשפט העליון שניתן בעניינו של הנאשם בערעור שהגיש על הכרעת הדין וגזר הדין (ת/2)</w:t>
      </w:r>
      <w:r>
        <w:rPr>
          <w:rFonts w:hint="cs"/>
          <w:rtl/>
        </w:rPr>
        <w:t>.</w:t>
      </w:r>
      <w:r>
        <w:rPr>
          <w:rtl/>
        </w:rPr>
        <w:t xml:space="preserve"> בנוסף, הוגשו גזר הדין של בית משפט המחוזי במחוז מרכז שניתן בעניינו של אורון (ת/3א) וכן העתק פסק הדין של בית משפט העליון בערעור שהגיש אורון (ת/3ב). אורון נדון ל-20 חודשי מאסר בפועל, 12 חודשי מאסר על תנאי שלא יעבור כל עבירת פשע במשך 3 שנים ממועד שחרורו וכן קנס</w:t>
      </w:r>
      <w:r>
        <w:rPr>
          <w:rFonts w:hint="cs"/>
          <w:rtl/>
        </w:rPr>
        <w:t xml:space="preserve"> בסך</w:t>
      </w:r>
      <w:r>
        <w:rPr>
          <w:rtl/>
        </w:rPr>
        <w:t xml:space="preserve"> של 10,000 ₪. בא כוח המאשימה טען שיש להשית על הנאשם עונש </w:t>
      </w:r>
      <w:r>
        <w:rPr>
          <w:rFonts w:hint="cs"/>
          <w:rtl/>
        </w:rPr>
        <w:t xml:space="preserve">מאסר </w:t>
      </w:r>
      <w:r>
        <w:rPr>
          <w:rtl/>
        </w:rPr>
        <w:t xml:space="preserve">במצטבר למאסר העולם שאותו הוא מרצה כיום וכן עתר לעונש חמור יותר מזה שהושת על אורון וזאת לאור העובדה כי לאורון לא היה עבר פלילי קודם. </w:t>
      </w:r>
    </w:p>
    <w:p w14:paraId="041F5B6E" w14:textId="77777777" w:rsidR="000D522F" w:rsidRDefault="000D522F">
      <w:pPr>
        <w:spacing w:line="360" w:lineRule="auto"/>
        <w:jc w:val="both"/>
        <w:rPr>
          <w:rtl/>
        </w:rPr>
      </w:pPr>
    </w:p>
    <w:p w14:paraId="4203500C" w14:textId="77777777" w:rsidR="000D522F" w:rsidRDefault="00924EB7">
      <w:pPr>
        <w:spacing w:line="360" w:lineRule="auto"/>
        <w:ind w:left="720" w:hanging="720"/>
        <w:jc w:val="both"/>
        <w:rPr>
          <w:rtl/>
        </w:rPr>
      </w:pPr>
      <w:r>
        <w:rPr>
          <w:rFonts w:hint="cs"/>
          <w:rtl/>
        </w:rPr>
        <w:t>10.</w:t>
      </w:r>
      <w:r>
        <w:rPr>
          <w:rFonts w:hint="cs"/>
          <w:rtl/>
        </w:rPr>
        <w:tab/>
      </w:r>
      <w:r>
        <w:rPr>
          <w:rtl/>
        </w:rPr>
        <w:t xml:space="preserve">בא כוח הנאשם טען כי הנאשם היה מכור לסמים קשים במשך שנים רבות, ואשר הובילו אותו להידרדרות </w:t>
      </w:r>
      <w:r>
        <w:rPr>
          <w:rFonts w:hint="cs"/>
          <w:rtl/>
        </w:rPr>
        <w:t>ל</w:t>
      </w:r>
      <w:r>
        <w:rPr>
          <w:rtl/>
        </w:rPr>
        <w:t xml:space="preserve">עולם הפשיעה וכן הפנה לכך כי הנאשם עבר הליך גמילה בכלא, והשתלב בתעסוקה במרכז היצרנים הפועל בתוך כותלי בית הסוהר (נ/1). בא כוח הנאשם טען שיש להסתפק בעונש מאסר שירוצה בחופף לעונש מאסר </w:t>
      </w:r>
      <w:r>
        <w:rPr>
          <w:rFonts w:hint="cs"/>
          <w:rtl/>
        </w:rPr>
        <w:t>ה</w:t>
      </w:r>
      <w:r>
        <w:rPr>
          <w:rtl/>
        </w:rPr>
        <w:t xml:space="preserve">עולם שאותו מרצה הנאשם כיום וכי בכל מקרה עונשו של הנאשם לא יכול להיות חמור יותר מזה שהושת על אורון. </w:t>
      </w:r>
    </w:p>
    <w:p w14:paraId="1422A1F9" w14:textId="77777777" w:rsidR="000D522F" w:rsidRDefault="000D522F">
      <w:pPr>
        <w:spacing w:line="360" w:lineRule="auto"/>
        <w:jc w:val="both"/>
        <w:rPr>
          <w:rtl/>
        </w:rPr>
      </w:pPr>
    </w:p>
    <w:p w14:paraId="0FAC771F" w14:textId="77777777" w:rsidR="000D522F" w:rsidRDefault="00924EB7">
      <w:pPr>
        <w:pStyle w:val="2"/>
        <w:rPr>
          <w:rFonts w:cs="David"/>
          <w:color w:val="auto"/>
          <w:sz w:val="28"/>
          <w:szCs w:val="28"/>
          <w:u w:val="single"/>
          <w:rtl/>
        </w:rPr>
      </w:pPr>
      <w:r>
        <w:rPr>
          <w:rFonts w:cs="David"/>
          <w:color w:val="auto"/>
          <w:sz w:val="28"/>
          <w:szCs w:val="28"/>
          <w:u w:val="single"/>
          <w:rtl/>
        </w:rPr>
        <w:t>הערך המוגן בעבירת השוחד</w:t>
      </w:r>
    </w:p>
    <w:p w14:paraId="66629370" w14:textId="77777777" w:rsidR="000D522F" w:rsidRDefault="000D522F">
      <w:pPr>
        <w:spacing w:line="360" w:lineRule="auto"/>
        <w:jc w:val="both"/>
        <w:rPr>
          <w:rtl/>
        </w:rPr>
      </w:pPr>
    </w:p>
    <w:p w14:paraId="6EBF0BD9" w14:textId="77777777" w:rsidR="000D522F" w:rsidRDefault="00924EB7">
      <w:pPr>
        <w:spacing w:line="360" w:lineRule="auto"/>
        <w:ind w:left="720" w:hanging="720"/>
        <w:jc w:val="both"/>
        <w:rPr>
          <w:rtl/>
        </w:rPr>
      </w:pPr>
      <w:r>
        <w:rPr>
          <w:rFonts w:hint="cs"/>
          <w:rtl/>
        </w:rPr>
        <w:t>11.</w:t>
      </w:r>
      <w:r>
        <w:rPr>
          <w:rFonts w:hint="cs"/>
          <w:rtl/>
        </w:rPr>
        <w:tab/>
      </w:r>
      <w:r>
        <w:rPr>
          <w:rtl/>
        </w:rPr>
        <w:t xml:space="preserve">בפסיקה נאמר לא אחת כי מעשה השוחד הינו מעשה חמור מאין כמוהו, יש בו כדי להשחית את מערכת המנהל הציבורי, להסיטה לפעול שלא על פי קריטריונים עניינים ולא על פי הנורמות הראויות למנהל ציבורי תקין ולא על פי חוק. מעשה השוחד משחית את מידות עובדי הציבור ופוגע ברקמה העדינה של מערכת היחסים בין הפרט לבין עובדי הציבור, המושתת על הגינות, אי משוא פנים, </w:t>
      </w:r>
      <w:r>
        <w:rPr>
          <w:rFonts w:hint="cs"/>
          <w:rtl/>
        </w:rPr>
        <w:t>ושוויון</w:t>
      </w:r>
      <w:r>
        <w:rPr>
          <w:rtl/>
        </w:rPr>
        <w:t>. הוא נוגס בתשתית המבנה החברתי ופוגע באמון הציבור במנהל שהוא הכרחי לקיומה של חברה תקינה (</w:t>
      </w:r>
      <w:hyperlink r:id="rId22" w:history="1">
        <w:r w:rsidR="00CA1D80" w:rsidRPr="00CA1D80">
          <w:rPr>
            <w:rStyle w:val="Hyperlink"/>
            <w:rtl/>
          </w:rPr>
          <w:t>רע"פ 5905/98, רונן נ' מדינת ישראל, פ"ד נג</w:t>
        </w:r>
      </w:hyperlink>
      <w:r>
        <w:rPr>
          <w:rtl/>
        </w:rPr>
        <w:t xml:space="preserve">(1) </w:t>
      </w:r>
      <w:r>
        <w:rPr>
          <w:rFonts w:hint="cs"/>
          <w:rtl/>
        </w:rPr>
        <w:t xml:space="preserve">734, 728 </w:t>
      </w:r>
      <w:r>
        <w:rPr>
          <w:rtl/>
        </w:rPr>
        <w:t xml:space="preserve">(1999)). </w:t>
      </w:r>
    </w:p>
    <w:p w14:paraId="32366DB5" w14:textId="77777777" w:rsidR="000D522F" w:rsidRDefault="000D522F">
      <w:pPr>
        <w:spacing w:line="360" w:lineRule="auto"/>
        <w:ind w:left="720" w:hanging="720"/>
        <w:jc w:val="both"/>
        <w:rPr>
          <w:rtl/>
        </w:rPr>
      </w:pPr>
    </w:p>
    <w:p w14:paraId="6D1B858E" w14:textId="77777777" w:rsidR="000D522F" w:rsidRDefault="00924EB7">
      <w:pPr>
        <w:spacing w:line="360" w:lineRule="auto"/>
        <w:ind w:left="720" w:hanging="720"/>
        <w:jc w:val="both"/>
        <w:rPr>
          <w:rtl/>
        </w:rPr>
      </w:pPr>
      <w:r>
        <w:rPr>
          <w:rFonts w:hint="cs"/>
          <w:rtl/>
        </w:rPr>
        <w:t>12</w:t>
      </w:r>
      <w:r>
        <w:rPr>
          <w:rFonts w:hint="cs"/>
          <w:rtl/>
        </w:rPr>
        <w:tab/>
      </w:r>
      <w:r>
        <w:rPr>
          <w:rtl/>
        </w:rPr>
        <w:t>כמו כן נקבע כי שיקול מרכזי בענישה בגין עבירת השוחד הוא השיקול של הרתעת הרבים וזאת ע"י השתת מאסר בפעול (</w:t>
      </w:r>
      <w:hyperlink r:id="rId23" w:history="1">
        <w:r w:rsidR="00CA1D80" w:rsidRPr="00CA1D80">
          <w:rPr>
            <w:rStyle w:val="Hyperlink"/>
            <w:rtl/>
          </w:rPr>
          <w:t>ע"פ 8430/11</w:t>
        </w:r>
      </w:hyperlink>
      <w:r>
        <w:rPr>
          <w:rtl/>
        </w:rPr>
        <w:t xml:space="preserve"> </w:t>
      </w:r>
      <w:r>
        <w:rPr>
          <w:b/>
          <w:bCs/>
          <w:rtl/>
        </w:rPr>
        <w:t xml:space="preserve">מדינת ישראל </w:t>
      </w:r>
      <w:r>
        <w:rPr>
          <w:rtl/>
        </w:rPr>
        <w:t>נ'</w:t>
      </w:r>
      <w:r>
        <w:rPr>
          <w:b/>
          <w:bCs/>
          <w:rtl/>
        </w:rPr>
        <w:t xml:space="preserve"> קארשי</w:t>
      </w:r>
      <w:r>
        <w:rPr>
          <w:rtl/>
        </w:rPr>
        <w:t xml:space="preserve"> [פורסם בנבו] ניתן ביום 15.2.12 בפסקה 22 לפסק דינו של כבוד המשנה לנשיאה השופט ריבלין). </w:t>
      </w:r>
    </w:p>
    <w:p w14:paraId="53DF7964" w14:textId="77777777" w:rsidR="000D522F" w:rsidRDefault="000D522F">
      <w:pPr>
        <w:spacing w:line="360" w:lineRule="auto"/>
        <w:jc w:val="both"/>
        <w:rPr>
          <w:rtl/>
        </w:rPr>
      </w:pPr>
    </w:p>
    <w:p w14:paraId="3F40E53E" w14:textId="77777777" w:rsidR="000D522F" w:rsidRDefault="00924EB7">
      <w:pPr>
        <w:spacing w:line="360" w:lineRule="auto"/>
        <w:ind w:left="720" w:hanging="720"/>
        <w:jc w:val="both"/>
        <w:rPr>
          <w:rtl/>
        </w:rPr>
      </w:pPr>
      <w:r>
        <w:rPr>
          <w:rFonts w:hint="cs"/>
          <w:rtl/>
        </w:rPr>
        <w:t>13</w:t>
      </w:r>
      <w:r>
        <w:rPr>
          <w:rFonts w:hint="cs"/>
          <w:rtl/>
        </w:rPr>
        <w:tab/>
      </w:r>
      <w:r>
        <w:rPr>
          <w:rtl/>
        </w:rPr>
        <w:t>בפסיקה גם ניתן למצוא מספר דוגמאות שבהן בית משפט נקט במדיניות ענישתית ברורה ומפורשת של עונשי מאסר בפועל שהושתו הן על נותן השוחד והן על מקבל השוחד, כאשר הדברים נעשים במסגרת בתי הסוהר (</w:t>
      </w:r>
      <w:hyperlink r:id="rId24" w:history="1">
        <w:r w:rsidR="00CA1D80" w:rsidRPr="00CA1D80">
          <w:rPr>
            <w:rStyle w:val="Hyperlink"/>
            <w:rtl/>
          </w:rPr>
          <w:t>ת"פ (מחוזי באר שבע) 25113-05-10</w:t>
        </w:r>
      </w:hyperlink>
      <w:r>
        <w:rPr>
          <w:rtl/>
        </w:rPr>
        <w:t xml:space="preserve"> </w:t>
      </w:r>
      <w:r>
        <w:rPr>
          <w:b/>
          <w:bCs/>
          <w:rtl/>
        </w:rPr>
        <w:t xml:space="preserve">מדינת ישראל </w:t>
      </w:r>
      <w:r>
        <w:rPr>
          <w:rtl/>
        </w:rPr>
        <w:t xml:space="preserve">נ' </w:t>
      </w:r>
      <w:r>
        <w:rPr>
          <w:b/>
          <w:bCs/>
          <w:rtl/>
        </w:rPr>
        <w:t>חלב</w:t>
      </w:r>
      <w:r>
        <w:rPr>
          <w:rtl/>
        </w:rPr>
        <w:t xml:space="preserve"> [פורסם בנבו] ניתן ביום 29.5.11; </w:t>
      </w:r>
      <w:hyperlink r:id="rId25" w:history="1">
        <w:r w:rsidR="00CA1D80" w:rsidRPr="00CA1D80">
          <w:rPr>
            <w:rStyle w:val="Hyperlink"/>
            <w:rtl/>
          </w:rPr>
          <w:t>ת"פ (מחוזי מרכז) 34249-11-11</w:t>
        </w:r>
      </w:hyperlink>
      <w:r>
        <w:rPr>
          <w:rtl/>
        </w:rPr>
        <w:t xml:space="preserve"> </w:t>
      </w:r>
      <w:r>
        <w:rPr>
          <w:b/>
          <w:bCs/>
          <w:rtl/>
        </w:rPr>
        <w:t xml:space="preserve">מדינת ישראל </w:t>
      </w:r>
      <w:r>
        <w:rPr>
          <w:rtl/>
        </w:rPr>
        <w:t xml:space="preserve">נ' </w:t>
      </w:r>
      <w:r>
        <w:rPr>
          <w:b/>
          <w:bCs/>
          <w:rtl/>
        </w:rPr>
        <w:t>חסאר</w:t>
      </w:r>
      <w:r>
        <w:rPr>
          <w:rtl/>
        </w:rPr>
        <w:t xml:space="preserve"> [פורסם בנבו] ניתן ביום 28.3.12). </w:t>
      </w:r>
    </w:p>
    <w:p w14:paraId="37A7554A" w14:textId="77777777" w:rsidR="000D522F" w:rsidRDefault="000D522F">
      <w:pPr>
        <w:spacing w:line="360" w:lineRule="auto"/>
        <w:jc w:val="both"/>
        <w:rPr>
          <w:rtl/>
        </w:rPr>
      </w:pPr>
    </w:p>
    <w:p w14:paraId="297FC297" w14:textId="77777777" w:rsidR="000D522F" w:rsidRDefault="00924EB7">
      <w:pPr>
        <w:pStyle w:val="2"/>
        <w:rPr>
          <w:rFonts w:cs="David"/>
          <w:color w:val="auto"/>
          <w:sz w:val="28"/>
          <w:szCs w:val="28"/>
          <w:u w:val="single"/>
          <w:rtl/>
        </w:rPr>
      </w:pPr>
      <w:r>
        <w:rPr>
          <w:rFonts w:cs="David"/>
          <w:color w:val="auto"/>
          <w:sz w:val="28"/>
          <w:szCs w:val="28"/>
          <w:u w:val="single"/>
          <w:rtl/>
        </w:rPr>
        <w:t>מדיניות הענישה בעבירות של החדרת סמים לכלא</w:t>
      </w:r>
    </w:p>
    <w:p w14:paraId="2558D201" w14:textId="77777777" w:rsidR="000D522F" w:rsidRDefault="000D522F">
      <w:pPr>
        <w:spacing w:line="360" w:lineRule="auto"/>
        <w:jc w:val="both"/>
        <w:rPr>
          <w:rtl/>
        </w:rPr>
      </w:pPr>
    </w:p>
    <w:p w14:paraId="5B7D3E36" w14:textId="77777777" w:rsidR="000D522F" w:rsidRDefault="00924EB7">
      <w:pPr>
        <w:spacing w:line="360" w:lineRule="auto"/>
        <w:ind w:left="720" w:hanging="720"/>
        <w:jc w:val="both"/>
        <w:rPr>
          <w:rtl/>
        </w:rPr>
      </w:pPr>
      <w:r>
        <w:rPr>
          <w:rFonts w:hint="cs"/>
          <w:rtl/>
        </w:rPr>
        <w:t>14.</w:t>
      </w:r>
      <w:r>
        <w:rPr>
          <w:rFonts w:hint="cs"/>
          <w:rtl/>
        </w:rPr>
        <w:tab/>
      </w:r>
      <w:r>
        <w:rPr>
          <w:rtl/>
        </w:rPr>
        <w:t>עבירות סמים בכלל הינן בגדר נגע שיש למגר בדרך של ענישה מרתיעה</w:t>
      </w:r>
      <w:r>
        <w:rPr>
          <w:rFonts w:hint="cs"/>
          <w:rtl/>
        </w:rPr>
        <w:t>.</w:t>
      </w:r>
      <w:r>
        <w:rPr>
          <w:rtl/>
        </w:rPr>
        <w:t xml:space="preserve"> החדרתם לתחומי בית הסוהר יש בה בכדי לער</w:t>
      </w:r>
      <w:r>
        <w:rPr>
          <w:rFonts w:hint="cs"/>
          <w:rtl/>
        </w:rPr>
        <w:t>ע</w:t>
      </w:r>
      <w:r>
        <w:rPr>
          <w:rtl/>
        </w:rPr>
        <w:t xml:space="preserve">ר </w:t>
      </w:r>
      <w:r>
        <w:rPr>
          <w:rFonts w:hint="cs"/>
          <w:rtl/>
        </w:rPr>
        <w:t>את</w:t>
      </w:r>
      <w:r>
        <w:rPr>
          <w:rtl/>
        </w:rPr>
        <w:t xml:space="preserve"> ניהולו התקין של בית הסוהר ולשבש את הניסיון להשליט משמעת בין כותליו. נביא מספר דוגמאות מהפסיקה לגבי מדיניות הענישה בעבירות של החדרת סמים לכותלי בית הסוהר: </w:t>
      </w:r>
    </w:p>
    <w:p w14:paraId="6EC89341" w14:textId="77777777" w:rsidR="000D522F" w:rsidRDefault="000D522F">
      <w:pPr>
        <w:spacing w:line="360" w:lineRule="auto"/>
        <w:jc w:val="both"/>
        <w:rPr>
          <w:rtl/>
        </w:rPr>
      </w:pPr>
    </w:p>
    <w:p w14:paraId="1FC60533" w14:textId="77777777" w:rsidR="000D522F" w:rsidRDefault="00CA1D80">
      <w:pPr>
        <w:numPr>
          <w:ilvl w:val="0"/>
          <w:numId w:val="1"/>
        </w:numPr>
        <w:spacing w:line="360" w:lineRule="auto"/>
        <w:jc w:val="both"/>
      </w:pPr>
      <w:hyperlink r:id="rId26" w:history="1">
        <w:r w:rsidRPr="00CA1D80">
          <w:rPr>
            <w:rStyle w:val="Hyperlink"/>
            <w:rtl/>
          </w:rPr>
          <w:t>רע"פ 3245/08</w:t>
        </w:r>
      </w:hyperlink>
      <w:r w:rsidR="00924EB7">
        <w:rPr>
          <w:rtl/>
        </w:rPr>
        <w:t xml:space="preserve"> </w:t>
      </w:r>
      <w:r w:rsidR="00924EB7">
        <w:rPr>
          <w:b/>
          <w:bCs/>
          <w:rtl/>
        </w:rPr>
        <w:t xml:space="preserve">מחמוד </w:t>
      </w:r>
      <w:r w:rsidR="00924EB7">
        <w:rPr>
          <w:rtl/>
        </w:rPr>
        <w:t xml:space="preserve">נ' </w:t>
      </w:r>
      <w:r w:rsidR="00924EB7">
        <w:rPr>
          <w:b/>
          <w:bCs/>
          <w:rtl/>
        </w:rPr>
        <w:t>מדינת ישראל</w:t>
      </w:r>
      <w:r w:rsidR="00924EB7">
        <w:rPr>
          <w:rtl/>
        </w:rPr>
        <w:t xml:space="preserve"> [פורסם בנבו] ניתן ביום 13.4.08. במקרה זה ניסה המבקש להחדיר לכלא באמצעות קטין 29 גרם של סם מסוכ</w:t>
      </w:r>
      <w:r w:rsidR="00924EB7">
        <w:rPr>
          <w:rFonts w:hint="cs"/>
          <w:rtl/>
        </w:rPr>
        <w:t>ן</w:t>
      </w:r>
      <w:r w:rsidR="00924EB7">
        <w:rPr>
          <w:rtl/>
        </w:rPr>
        <w:t xml:space="preserve"> מסו</w:t>
      </w:r>
      <w:r w:rsidR="00924EB7">
        <w:rPr>
          <w:rFonts w:hint="cs"/>
          <w:rtl/>
        </w:rPr>
        <w:t>ג</w:t>
      </w:r>
      <w:r w:rsidR="00924EB7">
        <w:rPr>
          <w:rtl/>
        </w:rPr>
        <w:t xml:space="preserve"> הרואין, ונדון לחמישה חודשי מאסר </w:t>
      </w:r>
      <w:r w:rsidR="00924EB7">
        <w:rPr>
          <w:rFonts w:hint="cs"/>
          <w:rtl/>
        </w:rPr>
        <w:t>שאותו</w:t>
      </w:r>
      <w:r w:rsidR="00924EB7">
        <w:rPr>
          <w:rtl/>
        </w:rPr>
        <w:t xml:space="preserve"> ישא בעבודות שירות ומאסר על תנאי. המדינה הגישה ער</w:t>
      </w:r>
      <w:r w:rsidR="00924EB7">
        <w:rPr>
          <w:rFonts w:hint="cs"/>
          <w:rtl/>
        </w:rPr>
        <w:t>עו</w:t>
      </w:r>
      <w:r w:rsidR="00924EB7">
        <w:rPr>
          <w:rtl/>
        </w:rPr>
        <w:t>ר על קולת העונש לב</w:t>
      </w:r>
      <w:r w:rsidR="00924EB7">
        <w:rPr>
          <w:rFonts w:hint="cs"/>
          <w:rtl/>
        </w:rPr>
        <w:t>ית המשפט</w:t>
      </w:r>
      <w:r w:rsidR="00924EB7">
        <w:rPr>
          <w:rtl/>
        </w:rPr>
        <w:t xml:space="preserve"> המחוזי ואשר העמיד את תקופת המאסר בפועל על 12 חודשים. בקשת רשות ערעור שהוגשה מטעם המבקש ל</w:t>
      </w:r>
      <w:r w:rsidR="00924EB7">
        <w:rPr>
          <w:rFonts w:hint="cs"/>
          <w:rtl/>
        </w:rPr>
        <w:t xml:space="preserve">בית המשפט </w:t>
      </w:r>
      <w:r w:rsidR="00924EB7">
        <w:rPr>
          <w:rtl/>
        </w:rPr>
        <w:t xml:space="preserve">העליון נדחתה וזאת על אף עברו הנקי של המבקש. </w:t>
      </w:r>
    </w:p>
    <w:p w14:paraId="0AC22E40" w14:textId="77777777" w:rsidR="000D522F" w:rsidRDefault="000D522F">
      <w:pPr>
        <w:spacing w:line="360" w:lineRule="auto"/>
        <w:ind w:left="1080"/>
        <w:jc w:val="both"/>
        <w:rPr>
          <w:rtl/>
        </w:rPr>
      </w:pPr>
    </w:p>
    <w:p w14:paraId="567513FB" w14:textId="77777777" w:rsidR="000D522F" w:rsidRDefault="00CA1D80">
      <w:pPr>
        <w:numPr>
          <w:ilvl w:val="0"/>
          <w:numId w:val="1"/>
        </w:numPr>
        <w:spacing w:line="360" w:lineRule="auto"/>
        <w:jc w:val="both"/>
      </w:pPr>
      <w:hyperlink r:id="rId27" w:history="1">
        <w:r w:rsidRPr="00CA1D80">
          <w:rPr>
            <w:rStyle w:val="Hyperlink"/>
            <w:rtl/>
          </w:rPr>
          <w:t>ע"פ 6048/04</w:t>
        </w:r>
      </w:hyperlink>
      <w:r w:rsidR="00924EB7">
        <w:rPr>
          <w:rtl/>
        </w:rPr>
        <w:t xml:space="preserve"> </w:t>
      </w:r>
      <w:r w:rsidR="00924EB7">
        <w:rPr>
          <w:b/>
          <w:bCs/>
          <w:rtl/>
        </w:rPr>
        <w:t xml:space="preserve">אדגואיצאנו </w:t>
      </w:r>
      <w:r w:rsidR="00924EB7">
        <w:rPr>
          <w:rtl/>
        </w:rPr>
        <w:t>נ'</w:t>
      </w:r>
      <w:r w:rsidR="00924EB7">
        <w:rPr>
          <w:b/>
          <w:bCs/>
          <w:rtl/>
        </w:rPr>
        <w:t xml:space="preserve"> מדינת ישראל</w:t>
      </w:r>
      <w:r w:rsidR="00924EB7">
        <w:rPr>
          <w:rtl/>
        </w:rPr>
        <w:t xml:space="preserve"> [פורסם בנבו] ניתן ביום 12.7.05. המער</w:t>
      </w:r>
      <w:r w:rsidR="00924EB7">
        <w:rPr>
          <w:rFonts w:hint="cs"/>
          <w:rtl/>
        </w:rPr>
        <w:t>ע</w:t>
      </w:r>
      <w:r w:rsidR="00924EB7">
        <w:rPr>
          <w:rtl/>
        </w:rPr>
        <w:t>ר היה אסיר שריצה עונש של 9 שנות מאסר בכלא שאטה והורשע על פי הודאתו בעבירה של החזקת סם שלא לשימוש עצמי. בעת שובו של המער</w:t>
      </w:r>
      <w:r w:rsidR="00924EB7">
        <w:rPr>
          <w:rFonts w:hint="cs"/>
          <w:rtl/>
        </w:rPr>
        <w:t>ע</w:t>
      </w:r>
      <w:r w:rsidR="00924EB7">
        <w:rPr>
          <w:rtl/>
        </w:rPr>
        <w:t>ר מחופשה, ובהיותו בהמתנה בכלא, הוא פלט מגופו 4 חבילות סם מסוכן מסוג הרואין במשקל כולל של 101 גרם נטו. על המער</w:t>
      </w:r>
      <w:r w:rsidR="00924EB7">
        <w:rPr>
          <w:rFonts w:hint="cs"/>
          <w:rtl/>
        </w:rPr>
        <w:t>ע</w:t>
      </w:r>
      <w:r w:rsidR="00924EB7">
        <w:rPr>
          <w:rtl/>
        </w:rPr>
        <w:t xml:space="preserve">ר הושת ע"י בית משפט המחוזי עונש מאסר בפועל לתקופה של 4 שנים, כאשר מתוכן 3 שנים במצטבר לעונש שאותו ריצה ושנה אחת בחופף. ערעורו </w:t>
      </w:r>
      <w:r w:rsidR="00924EB7">
        <w:rPr>
          <w:rFonts w:hint="cs"/>
          <w:rtl/>
        </w:rPr>
        <w:t>לבית המשפט</w:t>
      </w:r>
      <w:r w:rsidR="00924EB7">
        <w:rPr>
          <w:rtl/>
        </w:rPr>
        <w:t xml:space="preserve"> העליון נדחה. </w:t>
      </w:r>
    </w:p>
    <w:p w14:paraId="648C7001" w14:textId="77777777" w:rsidR="000D522F" w:rsidRDefault="000D522F">
      <w:pPr>
        <w:spacing w:line="360" w:lineRule="auto"/>
        <w:ind w:left="1080"/>
        <w:jc w:val="both"/>
      </w:pPr>
    </w:p>
    <w:p w14:paraId="7AB1BECF" w14:textId="77777777" w:rsidR="000D522F" w:rsidRDefault="00CA1D80">
      <w:pPr>
        <w:numPr>
          <w:ilvl w:val="0"/>
          <w:numId w:val="1"/>
        </w:numPr>
        <w:spacing w:line="360" w:lineRule="auto"/>
        <w:jc w:val="both"/>
      </w:pPr>
      <w:hyperlink r:id="rId28" w:history="1">
        <w:r w:rsidRPr="00CA1D80">
          <w:rPr>
            <w:rStyle w:val="Hyperlink"/>
            <w:rtl/>
          </w:rPr>
          <w:t>ע"פ 5213/11</w:t>
        </w:r>
      </w:hyperlink>
      <w:r w:rsidR="00924EB7">
        <w:rPr>
          <w:rtl/>
        </w:rPr>
        <w:t xml:space="preserve"> </w:t>
      </w:r>
      <w:r w:rsidR="00924EB7">
        <w:rPr>
          <w:b/>
          <w:bCs/>
          <w:rtl/>
        </w:rPr>
        <w:t xml:space="preserve">ארימייב </w:t>
      </w:r>
      <w:r w:rsidR="00924EB7">
        <w:rPr>
          <w:rtl/>
        </w:rPr>
        <w:t>נ'</w:t>
      </w:r>
      <w:r w:rsidR="00924EB7">
        <w:rPr>
          <w:b/>
          <w:bCs/>
          <w:rtl/>
        </w:rPr>
        <w:t xml:space="preserve"> מדינת ישראל</w:t>
      </w:r>
      <w:r w:rsidR="00924EB7">
        <w:rPr>
          <w:rtl/>
        </w:rPr>
        <w:t xml:space="preserve"> [פורסם בנבו] ניתן ביום 21.6.12. בעת שהמער</w:t>
      </w:r>
      <w:r w:rsidR="00924EB7">
        <w:rPr>
          <w:rFonts w:hint="cs"/>
          <w:rtl/>
        </w:rPr>
        <w:t>ע</w:t>
      </w:r>
      <w:r w:rsidR="00924EB7">
        <w:rPr>
          <w:rtl/>
        </w:rPr>
        <w:t xml:space="preserve">ר חזר לכלא מחופשה, נתפס כשבתחתוניו סמים מסוכנים כדלקמן: הרואין במשקל כולל של 33.37 גרם נטו, חשיש במשקל כולל של 88.42 גרם נטו ו-33 כדורי </w:t>
      </w:r>
      <w:r w:rsidR="00924EB7">
        <w:t>MDMA</w:t>
      </w:r>
      <w:r w:rsidR="00924EB7">
        <w:rPr>
          <w:rtl/>
        </w:rPr>
        <w:t>. המעורר הודה בעובדות אלה אך מסר כי רכש את הסמים לשימושו העצמי בתוך כותלי הכלא, וזאת נוכח מחירם המופקע של הסמים בתוך כותלי בית הכלא, השתלם לו לרכוש אותם בחוץ. בית משפט המחוזי דחה את הטענה לפיה הסמים הם לצריכה עצמית. בנוסף, הוגש כנגד הנאשם כתב אישום אשר לפיו המער</w:t>
      </w:r>
      <w:r w:rsidR="00924EB7">
        <w:rPr>
          <w:rFonts w:hint="cs"/>
          <w:rtl/>
        </w:rPr>
        <w:t>ע</w:t>
      </w:r>
      <w:r w:rsidR="00924EB7">
        <w:rPr>
          <w:rtl/>
        </w:rPr>
        <w:t xml:space="preserve">ר נתפס בסמוך לגדר החיצונית של בית הכלא כרמל כאשר ברשותו סמים מסוכנים כדלקמן: </w:t>
      </w:r>
      <w:r w:rsidR="00924EB7">
        <w:rPr>
          <w:rFonts w:hint="cs"/>
          <w:rtl/>
        </w:rPr>
        <w:t>הרואין</w:t>
      </w:r>
      <w:r w:rsidR="00924EB7">
        <w:rPr>
          <w:rtl/>
        </w:rPr>
        <w:t xml:space="preserve"> במשקל כולל של 26.33 גרם נטו, חשיש במשקל כולל של 77.65 גרם נטו וקנבוס במשקל כולל של כ-17 גרם נטו. הנאשם הורשע בשני הא</w:t>
      </w:r>
      <w:r w:rsidR="00924EB7">
        <w:rPr>
          <w:rFonts w:hint="cs"/>
          <w:rtl/>
        </w:rPr>
        <w:t>י</w:t>
      </w:r>
      <w:r w:rsidR="00924EB7">
        <w:rPr>
          <w:rtl/>
        </w:rPr>
        <w:t xml:space="preserve">שומים ונדון ל-51 חודשי מאסר בפועל, שנתיים מאסר על תנאי ופסילת רישיון נהיגה למשך 5 שנים. ערעורו </w:t>
      </w:r>
      <w:r w:rsidR="00924EB7">
        <w:rPr>
          <w:rFonts w:hint="cs"/>
          <w:rtl/>
        </w:rPr>
        <w:t>לבית המשפט</w:t>
      </w:r>
      <w:r w:rsidR="00924EB7">
        <w:rPr>
          <w:rtl/>
        </w:rPr>
        <w:t xml:space="preserve"> העליון נדחה. </w:t>
      </w:r>
    </w:p>
    <w:p w14:paraId="0FF21359" w14:textId="77777777" w:rsidR="000D522F" w:rsidRDefault="000D522F">
      <w:pPr>
        <w:spacing w:line="360" w:lineRule="auto"/>
        <w:ind w:left="1080"/>
        <w:jc w:val="both"/>
      </w:pPr>
    </w:p>
    <w:p w14:paraId="54DCF275" w14:textId="77777777" w:rsidR="000D522F" w:rsidRDefault="00CA1D80">
      <w:pPr>
        <w:numPr>
          <w:ilvl w:val="0"/>
          <w:numId w:val="1"/>
        </w:numPr>
        <w:spacing w:line="360" w:lineRule="auto"/>
        <w:jc w:val="both"/>
      </w:pPr>
      <w:hyperlink r:id="rId29" w:history="1">
        <w:r w:rsidRPr="00CA1D80">
          <w:rPr>
            <w:rStyle w:val="Hyperlink"/>
            <w:rtl/>
          </w:rPr>
          <w:t>ע"פ 5388/09</w:t>
        </w:r>
      </w:hyperlink>
      <w:r w:rsidR="00924EB7">
        <w:rPr>
          <w:rtl/>
        </w:rPr>
        <w:t xml:space="preserve"> </w:t>
      </w:r>
      <w:r w:rsidR="00924EB7">
        <w:rPr>
          <w:b/>
          <w:bCs/>
          <w:rtl/>
        </w:rPr>
        <w:t xml:space="preserve">מדינת ישראל </w:t>
      </w:r>
      <w:r w:rsidR="00924EB7">
        <w:rPr>
          <w:rtl/>
        </w:rPr>
        <w:t>נ'</w:t>
      </w:r>
      <w:r w:rsidR="00924EB7">
        <w:rPr>
          <w:b/>
          <w:bCs/>
          <w:rtl/>
        </w:rPr>
        <w:t xml:space="preserve"> פלוני</w:t>
      </w:r>
      <w:r w:rsidR="00924EB7">
        <w:rPr>
          <w:rtl/>
        </w:rPr>
        <w:t xml:space="preserve"> [פורסם בנבו] ניתן ביום 9.11.09. במקרה זה היה מדובר בקטין אשר הגיע לכלא צלמון וביקש לבקר את אחד האסירים והחזיק ברשותו באותה עת בסם מסוכן מסוג הירואין במשקל 48.81 גרם, כאשר הוא ארוז ב-2 אריזות גליליות אשר היו טמונות במכנסיו. לאחר שהמער</w:t>
      </w:r>
      <w:r w:rsidR="00924EB7">
        <w:rPr>
          <w:rFonts w:hint="cs"/>
          <w:rtl/>
        </w:rPr>
        <w:t>ע</w:t>
      </w:r>
      <w:r w:rsidR="00924EB7">
        <w:rPr>
          <w:rtl/>
        </w:rPr>
        <w:t>ר נכנס לכלא הוא התבקש לסור לצורך ביצוע חיפוש על גופו, המער</w:t>
      </w:r>
      <w:r w:rsidR="00924EB7">
        <w:rPr>
          <w:rFonts w:hint="cs"/>
          <w:rtl/>
        </w:rPr>
        <w:t>ע</w:t>
      </w:r>
      <w:r w:rsidR="00924EB7">
        <w:rPr>
          <w:rtl/>
        </w:rPr>
        <w:t>ר סירב ובתגובה נמסר לו כי הוא מעוכב. לאחר הודעה על עיכובו הוציא ממכנסיו את שני גלילי הסם ומסר אותם לסוהר שהיה במקום. הנאשם נדון ל-6 חודשי מאסר לריצוי בעבודות שירות, 18 חודשי מאסר על תנאי למשך שנתיים וכן הועמד בפיקוח קצין מבחן ל-18 חודשים במסגרתם חויב להשתלב בטיפול בקהילה, בנוסף, נאסר על המער</w:t>
      </w:r>
      <w:r w:rsidR="00924EB7">
        <w:rPr>
          <w:rFonts w:hint="cs"/>
          <w:rtl/>
        </w:rPr>
        <w:t>ע</w:t>
      </w:r>
      <w:r w:rsidR="00924EB7">
        <w:rPr>
          <w:rtl/>
        </w:rPr>
        <w:t>ר לקבל רישיון נהיגה למשך 6 חודשים וכן חויב לחתום על התח</w:t>
      </w:r>
      <w:r w:rsidR="00924EB7">
        <w:rPr>
          <w:rFonts w:hint="cs"/>
          <w:rtl/>
        </w:rPr>
        <w:t>י</w:t>
      </w:r>
      <w:r w:rsidR="00924EB7">
        <w:rPr>
          <w:rtl/>
        </w:rPr>
        <w:t>יבות כספית בסך של 15,000 ₪. המדינה הגישה ערעור על קולת העונש. כבוד השופט דנצינגר והנדל, מטעמים של שיקום הקטין, דחו את ערעור המדינה, ובעוד שכבוד השופט לוי, בדעת מיעוט, היה בדעה שיש לקבל את ערעור המדינה ולהעמיד את תקופת המאסר בפועל בה י</w:t>
      </w:r>
      <w:r w:rsidR="00924EB7">
        <w:rPr>
          <w:rFonts w:hint="cs"/>
          <w:rtl/>
        </w:rPr>
        <w:t>י</w:t>
      </w:r>
      <w:r w:rsidR="00924EB7">
        <w:rPr>
          <w:rtl/>
        </w:rPr>
        <w:t>שא המער</w:t>
      </w:r>
      <w:r w:rsidR="00924EB7">
        <w:rPr>
          <w:rFonts w:hint="cs"/>
          <w:rtl/>
        </w:rPr>
        <w:t>ע</w:t>
      </w:r>
      <w:r w:rsidR="00924EB7">
        <w:rPr>
          <w:rtl/>
        </w:rPr>
        <w:t xml:space="preserve">ר לשנה אחת. </w:t>
      </w:r>
    </w:p>
    <w:p w14:paraId="3B4E4407" w14:textId="77777777" w:rsidR="000D522F" w:rsidRDefault="000D522F">
      <w:pPr>
        <w:pStyle w:val="3"/>
        <w:rPr>
          <w:rFonts w:cs="David"/>
          <w:b w:val="0"/>
          <w:bCs w:val="0"/>
          <w:rtl/>
        </w:rPr>
      </w:pPr>
    </w:p>
    <w:p w14:paraId="44948BFF" w14:textId="77777777" w:rsidR="000D522F" w:rsidRDefault="00924EB7">
      <w:pPr>
        <w:pStyle w:val="3"/>
        <w:rPr>
          <w:rFonts w:cs="David"/>
          <w:color w:val="auto"/>
          <w:sz w:val="28"/>
          <w:szCs w:val="28"/>
          <w:u w:val="single"/>
          <w:rtl/>
        </w:rPr>
      </w:pPr>
      <w:r>
        <w:rPr>
          <w:rFonts w:cs="David"/>
          <w:color w:val="auto"/>
          <w:sz w:val="28"/>
          <w:szCs w:val="28"/>
          <w:u w:val="single"/>
          <w:rtl/>
        </w:rPr>
        <w:t>ענישת אסיר עולם: מאסר בחופף או במצטבר</w:t>
      </w:r>
    </w:p>
    <w:p w14:paraId="11CB8C1B" w14:textId="77777777" w:rsidR="000D522F" w:rsidRDefault="000D522F">
      <w:pPr>
        <w:spacing w:line="360" w:lineRule="auto"/>
        <w:jc w:val="both"/>
        <w:rPr>
          <w:rtl/>
        </w:rPr>
      </w:pPr>
    </w:p>
    <w:p w14:paraId="48CAB2D0" w14:textId="77777777" w:rsidR="000D522F" w:rsidRDefault="00924EB7">
      <w:pPr>
        <w:spacing w:line="360" w:lineRule="auto"/>
        <w:ind w:left="720" w:hanging="720"/>
        <w:jc w:val="both"/>
        <w:rPr>
          <w:rtl/>
        </w:rPr>
      </w:pPr>
      <w:r>
        <w:rPr>
          <w:rFonts w:hint="cs"/>
          <w:rtl/>
        </w:rPr>
        <w:t>15.</w:t>
      </w:r>
      <w:r>
        <w:rPr>
          <w:rFonts w:hint="cs"/>
          <w:rtl/>
        </w:rPr>
        <w:tab/>
      </w:r>
      <w:r>
        <w:rPr>
          <w:rtl/>
        </w:rPr>
        <w:t>עובדת היותו של הנאשם אסיר שכבר נשפט בעבר למאסר עולם, אין בה בכדי להגביל את שיקול דעתו של בית המשפט לגבי האפשרות להטלת עונש מאסר במצטבר לעונש אותו מרצה כיום. בבוא בית משפט לקבוע את הענישה, עליו לשקול את חומרת העבירה, נסיבות המעשה והעושה, לצד שיקולי גמול והרתעה. בית משפט רשאי לבחון בנסיבות כל עניין לגופו האם ראוי להטיל על נאשם ענישה בחופף או במצטבר. במסגרת שיקוליו בוחן בית משפט בין היתר את אופי המעשים, נסיבות ביצועם ומידת הפגיעה והנזק שהמעשים יצרו (</w:t>
      </w:r>
      <w:hyperlink r:id="rId30" w:history="1">
        <w:r w:rsidR="00CA1D80" w:rsidRPr="00CA1D80">
          <w:rPr>
            <w:rStyle w:val="Hyperlink"/>
            <w:rtl/>
          </w:rPr>
          <w:t>ע"פ 2933/08</w:t>
        </w:r>
      </w:hyperlink>
      <w:r>
        <w:rPr>
          <w:rtl/>
        </w:rPr>
        <w:t xml:space="preserve"> </w:t>
      </w:r>
      <w:r>
        <w:rPr>
          <w:b/>
          <w:bCs/>
          <w:rtl/>
        </w:rPr>
        <w:t xml:space="preserve">אנג'ל </w:t>
      </w:r>
      <w:r>
        <w:rPr>
          <w:rtl/>
        </w:rPr>
        <w:t>נ</w:t>
      </w:r>
      <w:r>
        <w:rPr>
          <w:b/>
          <w:bCs/>
          <w:rtl/>
        </w:rPr>
        <w:t>' מדינת ישראל</w:t>
      </w:r>
      <w:r>
        <w:rPr>
          <w:rtl/>
        </w:rPr>
        <w:t xml:space="preserve"> [פורסם בנבו] ניתן ביום 5.12.12, פסקה 17 לפסק דינו של כבוד השופט סולברג). דרך הכלל מקום בו סבור בית משפט כי בנסיבותיו הספציפיות של נאשם מסוים, כי שיקולי הגמול וההרתעה גוברים על שיקולים אחרים, תגבר </w:t>
      </w:r>
      <w:r>
        <w:rPr>
          <w:rFonts w:hint="cs"/>
          <w:rtl/>
        </w:rPr>
        <w:t>ה</w:t>
      </w:r>
      <w:r>
        <w:rPr>
          <w:rtl/>
        </w:rPr>
        <w:t>נטיה לצבור עונשי מאסר אלה על אלה במלואם או בחלקם. כלל זה הוא נכון הן לגבי ביצוע עבירות רצח והן לגבי ביצוע עבירות אחרות ואשר פוגעות בערכים חשובים של הפרט ושל הכלל</w:t>
      </w:r>
      <w:r>
        <w:rPr>
          <w:rFonts w:hint="cs"/>
          <w:rtl/>
        </w:rPr>
        <w:t>,</w:t>
      </w:r>
      <w:r>
        <w:rPr>
          <w:rtl/>
        </w:rPr>
        <w:t xml:space="preserve"> של היחיד ושל החברה (</w:t>
      </w:r>
      <w:hyperlink r:id="rId31" w:history="1">
        <w:r w:rsidR="00CA1D80" w:rsidRPr="00CA1D80">
          <w:rPr>
            <w:rStyle w:val="Hyperlink"/>
            <w:rtl/>
          </w:rPr>
          <w:t>ע"פ 6535/01</w:t>
        </w:r>
      </w:hyperlink>
      <w:r>
        <w:rPr>
          <w:rtl/>
        </w:rPr>
        <w:t xml:space="preserve"> </w:t>
      </w:r>
      <w:r>
        <w:rPr>
          <w:b/>
          <w:bCs/>
          <w:rtl/>
        </w:rPr>
        <w:t xml:space="preserve">קוזירוב </w:t>
      </w:r>
      <w:r>
        <w:rPr>
          <w:rtl/>
        </w:rPr>
        <w:t>נ</w:t>
      </w:r>
      <w:r>
        <w:rPr>
          <w:b/>
          <w:bCs/>
          <w:rtl/>
        </w:rPr>
        <w:t>' מדינת ישראל</w:t>
      </w:r>
      <w:r>
        <w:rPr>
          <w:rtl/>
        </w:rPr>
        <w:t xml:space="preserve"> [פורסם בנבו] ניתן ביום 5.5.03, פסקה 16 לפסק דינו של כבוד השופט חשין). כבר נאמר בפסיקה כי האפשרות של הטלת עונש מאסר מצטבר לעונש מאסר עולם, איננה בגדר ענישה תיאורטית וזאת לאור העובדה כי בעת שנשיא המדינה קוצב עונשים של נידונים למאסר עולם, נודעת חשיבות </w:t>
      </w:r>
      <w:r>
        <w:rPr>
          <w:rFonts w:hint="cs"/>
          <w:rtl/>
        </w:rPr>
        <w:t>ל</w:t>
      </w:r>
      <w:r>
        <w:rPr>
          <w:rtl/>
        </w:rPr>
        <w:t xml:space="preserve">שאלה אם עונשים אחדים חופפים או מצטברים הם לעונש מאסר לעולם שנגזר על מורשע בעבירת רצח (ראו והשוו הוראת </w:t>
      </w:r>
      <w:hyperlink r:id="rId32" w:history="1">
        <w:r w:rsidR="00A77DD1" w:rsidRPr="00A77DD1">
          <w:rPr>
            <w:color w:val="0000FF"/>
            <w:u w:val="single"/>
            <w:rtl/>
          </w:rPr>
          <w:t>סעיף 29</w:t>
        </w:r>
      </w:hyperlink>
      <w:r>
        <w:rPr>
          <w:rtl/>
        </w:rPr>
        <w:t xml:space="preserve"> ל</w:t>
      </w:r>
      <w:hyperlink r:id="rId33" w:history="1">
        <w:r w:rsidR="00CA1D80" w:rsidRPr="00CA1D80">
          <w:rPr>
            <w:rStyle w:val="Hyperlink"/>
            <w:rtl/>
          </w:rPr>
          <w:t>חוק שחרור על תנאי ממאסר</w:t>
        </w:r>
      </w:hyperlink>
      <w:r>
        <w:rPr>
          <w:rtl/>
        </w:rPr>
        <w:t xml:space="preserve"> תשס"א –2001; וכן ראו גם פסקה 10 לפסק דינו של כבוד השופט חשין בעניין </w:t>
      </w:r>
      <w:r>
        <w:rPr>
          <w:b/>
          <w:bCs/>
          <w:rtl/>
        </w:rPr>
        <w:t>קוזירוב</w:t>
      </w:r>
      <w:r>
        <w:rPr>
          <w:rtl/>
        </w:rPr>
        <w:t xml:space="preserve"> הנ"ל). </w:t>
      </w:r>
    </w:p>
    <w:p w14:paraId="233AA896" w14:textId="77777777" w:rsidR="000D522F" w:rsidRDefault="000D522F">
      <w:pPr>
        <w:spacing w:line="360" w:lineRule="auto"/>
        <w:jc w:val="both"/>
        <w:rPr>
          <w:rtl/>
        </w:rPr>
      </w:pPr>
    </w:p>
    <w:p w14:paraId="1C623FDC" w14:textId="77777777" w:rsidR="000D522F" w:rsidRDefault="00924EB7">
      <w:pPr>
        <w:spacing w:line="360" w:lineRule="auto"/>
        <w:ind w:left="720" w:hanging="720"/>
        <w:jc w:val="both"/>
        <w:rPr>
          <w:rtl/>
        </w:rPr>
      </w:pPr>
      <w:r>
        <w:rPr>
          <w:rFonts w:hint="cs"/>
          <w:rtl/>
        </w:rPr>
        <w:t>16.</w:t>
      </w:r>
      <w:r>
        <w:rPr>
          <w:rFonts w:hint="cs"/>
          <w:rtl/>
        </w:rPr>
        <w:tab/>
      </w:r>
      <w:r>
        <w:rPr>
          <w:rtl/>
        </w:rPr>
        <w:t xml:space="preserve">הנאשם שבפני בהיותו אסיר בחר לבצע עבירות חמורות של מתן שוחד, ניסיון להחדרת סמים מסוכנים אל תוך כותלי בית הסוהר </w:t>
      </w:r>
      <w:r>
        <w:rPr>
          <w:rFonts w:hint="cs"/>
          <w:rtl/>
        </w:rPr>
        <w:t>וכן</w:t>
      </w:r>
      <w:r>
        <w:rPr>
          <w:rtl/>
        </w:rPr>
        <w:t xml:space="preserve"> קבלת טובות הנאה בדמות החדרה של אלכוהול, פרטי לבוש, חפצים אישיים למינ</w:t>
      </w:r>
      <w:r>
        <w:rPr>
          <w:rFonts w:hint="cs"/>
          <w:rtl/>
        </w:rPr>
        <w:t>י</w:t>
      </w:r>
      <w:r>
        <w:rPr>
          <w:rtl/>
        </w:rPr>
        <w:t xml:space="preserve">הם וכספים, באופן ייחודי ובניגוד לנהלי שירות בתי הסוהר. ענישה בדרך של עונש בחופף יש בה משום העברת מסר סלחני כלפי הנאשם ותפגע בעיקרון של הרתעת היחיד והכלל מהמשך ביצוע עבירות מעין אלה בעתיד. לפיכך, הנני סבור כי העונש שיושת על הנאשם בדמות מאסר בפועל, יהיה במצטבר לעונש אותו מרצה כיום. </w:t>
      </w:r>
    </w:p>
    <w:p w14:paraId="0038ABB3" w14:textId="77777777" w:rsidR="000D522F" w:rsidRDefault="000D522F">
      <w:pPr>
        <w:spacing w:line="360" w:lineRule="auto"/>
        <w:jc w:val="both"/>
        <w:rPr>
          <w:rtl/>
        </w:rPr>
      </w:pPr>
    </w:p>
    <w:p w14:paraId="191F9E2A" w14:textId="77777777" w:rsidR="000D522F" w:rsidRDefault="00924EB7">
      <w:pPr>
        <w:pStyle w:val="2"/>
        <w:rPr>
          <w:rFonts w:cs="David"/>
          <w:color w:val="auto"/>
          <w:sz w:val="28"/>
          <w:szCs w:val="28"/>
          <w:u w:val="single"/>
          <w:rtl/>
        </w:rPr>
      </w:pPr>
      <w:r>
        <w:rPr>
          <w:rFonts w:cs="David"/>
          <w:color w:val="auto"/>
          <w:sz w:val="28"/>
          <w:szCs w:val="28"/>
          <w:u w:val="single"/>
          <w:rtl/>
        </w:rPr>
        <w:t>עקרון השו</w:t>
      </w:r>
      <w:r>
        <w:rPr>
          <w:rFonts w:cs="David" w:hint="cs"/>
          <w:color w:val="auto"/>
          <w:sz w:val="28"/>
          <w:szCs w:val="28"/>
          <w:u w:val="single"/>
          <w:rtl/>
        </w:rPr>
        <w:t>ו</w:t>
      </w:r>
      <w:r>
        <w:rPr>
          <w:rFonts w:cs="David"/>
          <w:color w:val="auto"/>
          <w:sz w:val="28"/>
          <w:szCs w:val="28"/>
          <w:u w:val="single"/>
          <w:rtl/>
        </w:rPr>
        <w:t>יון בענישה</w:t>
      </w:r>
    </w:p>
    <w:p w14:paraId="6D036435" w14:textId="77777777" w:rsidR="000D522F" w:rsidRDefault="000D522F">
      <w:pPr>
        <w:spacing w:line="360" w:lineRule="auto"/>
        <w:jc w:val="both"/>
        <w:rPr>
          <w:rtl/>
        </w:rPr>
      </w:pPr>
    </w:p>
    <w:p w14:paraId="3628413E" w14:textId="77777777" w:rsidR="000D522F" w:rsidRDefault="00924EB7">
      <w:pPr>
        <w:spacing w:line="360" w:lineRule="auto"/>
        <w:ind w:left="720" w:hanging="720"/>
        <w:jc w:val="both"/>
        <w:rPr>
          <w:rtl/>
        </w:rPr>
      </w:pPr>
      <w:r>
        <w:rPr>
          <w:rFonts w:hint="cs"/>
          <w:rtl/>
        </w:rPr>
        <w:t>17.</w:t>
      </w:r>
      <w:r>
        <w:rPr>
          <w:rFonts w:hint="cs"/>
          <w:rtl/>
        </w:rPr>
        <w:tab/>
      </w:r>
      <w:r>
        <w:rPr>
          <w:rtl/>
        </w:rPr>
        <w:t>מן הראוי לציין כי בעניינו של אורון ישנו כבר פסק דין  סופי של כבוד בית משפט העליון ב</w:t>
      </w:r>
      <w:hyperlink r:id="rId34" w:history="1">
        <w:r w:rsidR="00CA1D80" w:rsidRPr="00CA1D80">
          <w:rPr>
            <w:rStyle w:val="Hyperlink"/>
            <w:rtl/>
          </w:rPr>
          <w:t>ע"פ 8939/11</w:t>
        </w:r>
      </w:hyperlink>
      <w:r>
        <w:rPr>
          <w:rtl/>
        </w:rPr>
        <w:t xml:space="preserve"> מיום 16.4.12 ואשר בפסקה 10 לפסק הדין נאמר כדלקמן ע"י כבוד השופטת ארבל:</w:t>
      </w:r>
    </w:p>
    <w:p w14:paraId="415BBA78" w14:textId="77777777" w:rsidR="000D522F" w:rsidRDefault="000D522F">
      <w:pPr>
        <w:spacing w:line="360" w:lineRule="auto"/>
        <w:ind w:left="720"/>
        <w:jc w:val="both"/>
        <w:rPr>
          <w:rtl/>
        </w:rPr>
      </w:pPr>
    </w:p>
    <w:p w14:paraId="770D6A5A" w14:textId="77777777" w:rsidR="000D522F" w:rsidRDefault="00924EB7">
      <w:pPr>
        <w:spacing w:line="360" w:lineRule="auto"/>
        <w:ind w:left="2880"/>
        <w:jc w:val="both"/>
        <w:rPr>
          <w:rtl/>
        </w:rPr>
      </w:pPr>
      <w:r>
        <w:rPr>
          <w:rtl/>
        </w:rPr>
        <w:t>"סיכומו של דבר, סבורים אנו כי בית משפט המחוזי איזן בצורה נכונה בין שיקולי הגמול והרתעת הרבים לבין השיקולים לזכות המער</w:t>
      </w:r>
      <w:r>
        <w:rPr>
          <w:rFonts w:hint="cs"/>
          <w:rtl/>
        </w:rPr>
        <w:t>ע</w:t>
      </w:r>
      <w:r>
        <w:rPr>
          <w:rtl/>
        </w:rPr>
        <w:t>ר, כמפורט לעיל ולפיכך לא מצאנו הצדקה להתערבות בעונש. אנו תקווה כי המערער יצלח במאמציו לעלות על דרך הישר וישוב לחיים נורמטיבי</w:t>
      </w:r>
      <w:r>
        <w:rPr>
          <w:rFonts w:hint="cs"/>
          <w:rtl/>
        </w:rPr>
        <w:t>י</w:t>
      </w:r>
      <w:r>
        <w:rPr>
          <w:rtl/>
        </w:rPr>
        <w:t xml:space="preserve">ם". </w:t>
      </w:r>
    </w:p>
    <w:p w14:paraId="58B5F9F4" w14:textId="77777777" w:rsidR="000D522F" w:rsidRDefault="000D522F">
      <w:pPr>
        <w:spacing w:line="360" w:lineRule="auto"/>
        <w:jc w:val="both"/>
        <w:rPr>
          <w:rtl/>
        </w:rPr>
      </w:pPr>
    </w:p>
    <w:p w14:paraId="5842D7D6" w14:textId="77777777" w:rsidR="000D522F" w:rsidRDefault="000D522F">
      <w:pPr>
        <w:spacing w:line="360" w:lineRule="auto"/>
        <w:jc w:val="both"/>
        <w:rPr>
          <w:rtl/>
        </w:rPr>
      </w:pPr>
    </w:p>
    <w:p w14:paraId="175F108D" w14:textId="77777777" w:rsidR="000D522F" w:rsidRDefault="00924EB7">
      <w:pPr>
        <w:spacing w:line="360" w:lineRule="auto"/>
        <w:ind w:left="720" w:hanging="720"/>
        <w:jc w:val="both"/>
        <w:rPr>
          <w:rtl/>
        </w:rPr>
      </w:pPr>
      <w:r>
        <w:rPr>
          <w:rFonts w:hint="cs"/>
          <w:rtl/>
        </w:rPr>
        <w:t>18.</w:t>
      </w:r>
      <w:r>
        <w:rPr>
          <w:rFonts w:hint="cs"/>
          <w:rtl/>
        </w:rPr>
        <w:tab/>
      </w:r>
      <w:r>
        <w:rPr>
          <w:rtl/>
        </w:rPr>
        <w:t xml:space="preserve">ללמדך, כי העונש שהושת על אורון ע"י בית המשפט המחוזי הוא העונש המתאים והנכון לנסיבותיו של הנאשם ולנסיבות ביצוע העבירה. בין אורון לבין הנאשם, קיימים מספר הבדלים בולטים: </w:t>
      </w:r>
    </w:p>
    <w:p w14:paraId="350AA29A" w14:textId="77777777" w:rsidR="000D522F" w:rsidRDefault="000D522F">
      <w:pPr>
        <w:spacing w:line="360" w:lineRule="auto"/>
        <w:jc w:val="both"/>
        <w:rPr>
          <w:rtl/>
        </w:rPr>
      </w:pPr>
    </w:p>
    <w:p w14:paraId="740CBC51" w14:textId="77777777" w:rsidR="000D522F" w:rsidRDefault="00924EB7">
      <w:pPr>
        <w:numPr>
          <w:ilvl w:val="0"/>
          <w:numId w:val="2"/>
        </w:numPr>
        <w:spacing w:line="360" w:lineRule="auto"/>
        <w:jc w:val="both"/>
      </w:pPr>
      <w:r>
        <w:rPr>
          <w:rtl/>
        </w:rPr>
        <w:t>מחד אורון היה נעדר עבר פלילי קודם שניהל עד למעצרו אורח חיים נורמטיבי ומצוי במצוקה נפשית גבוהה ומבטא מחשבות אובדניות בגין מעצרו בשל האירוע נשוא כתב האישום</w:t>
      </w:r>
      <w:r>
        <w:rPr>
          <w:rFonts w:hint="cs"/>
          <w:rtl/>
        </w:rPr>
        <w:t xml:space="preserve">, זאת כפי שעולה מפסק הדין של בית המשפט העליון. </w:t>
      </w:r>
      <w:r>
        <w:rPr>
          <w:rtl/>
        </w:rPr>
        <w:t>לעומת זאת, הנאשם שבפני הוא עבריין ולחובתו מספר הרשעות קודמות, לרבות הרשעה באחת העבירות החמורות ביותר שיש ב</w:t>
      </w:r>
      <w:hyperlink r:id="rId35" w:history="1">
        <w:r w:rsidR="00CA1D80" w:rsidRPr="00CA1D80">
          <w:rPr>
            <w:rStyle w:val="Hyperlink"/>
            <w:rtl/>
          </w:rPr>
          <w:t>חוק העונשין</w:t>
        </w:r>
      </w:hyperlink>
      <w:r>
        <w:rPr>
          <w:rtl/>
        </w:rPr>
        <w:t xml:space="preserve">, שהיא עבירת הרצח; </w:t>
      </w:r>
    </w:p>
    <w:p w14:paraId="27A16F7B" w14:textId="77777777" w:rsidR="000D522F" w:rsidRDefault="000D522F">
      <w:pPr>
        <w:spacing w:line="360" w:lineRule="auto"/>
        <w:ind w:left="720"/>
        <w:jc w:val="both"/>
      </w:pPr>
    </w:p>
    <w:p w14:paraId="773E857E" w14:textId="77777777" w:rsidR="000D522F" w:rsidRDefault="00924EB7">
      <w:pPr>
        <w:numPr>
          <w:ilvl w:val="0"/>
          <w:numId w:val="2"/>
        </w:numPr>
        <w:spacing w:line="360" w:lineRule="auto"/>
        <w:jc w:val="both"/>
      </w:pPr>
      <w:r>
        <w:rPr>
          <w:rtl/>
        </w:rPr>
        <w:t xml:space="preserve">מאידך, אורון הורשע בעבירה של קבלת שוחד לפי </w:t>
      </w:r>
      <w:hyperlink r:id="rId36" w:history="1">
        <w:r w:rsidR="00A77DD1" w:rsidRPr="00A77DD1">
          <w:rPr>
            <w:color w:val="0000FF"/>
            <w:u w:val="single"/>
            <w:rtl/>
          </w:rPr>
          <w:t>סעיף 290</w:t>
        </w:r>
      </w:hyperlink>
      <w:r>
        <w:rPr>
          <w:rtl/>
        </w:rPr>
        <w:t xml:space="preserve"> ל</w:t>
      </w:r>
      <w:hyperlink r:id="rId37" w:history="1">
        <w:r w:rsidR="00CA1D80" w:rsidRPr="00CA1D80">
          <w:rPr>
            <w:rStyle w:val="Hyperlink"/>
            <w:rtl/>
          </w:rPr>
          <w:t>חוק העונשין</w:t>
        </w:r>
      </w:hyperlink>
      <w:r>
        <w:rPr>
          <w:rtl/>
        </w:rPr>
        <w:t xml:space="preserve"> תשל"ז –1977, שהעונש המקסימאלי בגינה הוא </w:t>
      </w:r>
      <w:r>
        <w:rPr>
          <w:rFonts w:hint="cs"/>
          <w:rtl/>
        </w:rPr>
        <w:t xml:space="preserve">עשר שנות מאסר. </w:t>
      </w:r>
      <w:r>
        <w:rPr>
          <w:rtl/>
        </w:rPr>
        <w:t xml:space="preserve">לעומת זאת, הנאשם שבפני הורשע בעבירה של מתן שוחד לפי </w:t>
      </w:r>
      <w:hyperlink r:id="rId38" w:history="1">
        <w:r w:rsidR="00A77DD1" w:rsidRPr="00A77DD1">
          <w:rPr>
            <w:color w:val="0000FF"/>
            <w:u w:val="single"/>
            <w:rtl/>
          </w:rPr>
          <w:t>סעיף 291</w:t>
        </w:r>
      </w:hyperlink>
      <w:r>
        <w:rPr>
          <w:rtl/>
        </w:rPr>
        <w:t xml:space="preserve"> ל</w:t>
      </w:r>
      <w:hyperlink r:id="rId39" w:history="1">
        <w:r w:rsidR="00CA1D80" w:rsidRPr="00CA1D80">
          <w:rPr>
            <w:rStyle w:val="Hyperlink"/>
            <w:rtl/>
          </w:rPr>
          <w:t>חוק העונשין</w:t>
        </w:r>
      </w:hyperlink>
      <w:r>
        <w:rPr>
          <w:rtl/>
        </w:rPr>
        <w:t xml:space="preserve"> תשל"ז –1977 שהעונש המקס</w:t>
      </w:r>
      <w:r>
        <w:rPr>
          <w:rFonts w:hint="cs"/>
          <w:rtl/>
        </w:rPr>
        <w:t>י</w:t>
      </w:r>
      <w:r>
        <w:rPr>
          <w:rtl/>
        </w:rPr>
        <w:t xml:space="preserve">מאלי בגינה הוא </w:t>
      </w:r>
      <w:r>
        <w:rPr>
          <w:rFonts w:hint="cs"/>
          <w:rtl/>
        </w:rPr>
        <w:t xml:space="preserve">שבע שנות מאסר. </w:t>
      </w:r>
    </w:p>
    <w:p w14:paraId="34941B60" w14:textId="77777777" w:rsidR="000D522F" w:rsidRDefault="000D522F">
      <w:pPr>
        <w:spacing w:line="360" w:lineRule="auto"/>
        <w:jc w:val="both"/>
        <w:rPr>
          <w:rtl/>
        </w:rPr>
      </w:pPr>
    </w:p>
    <w:p w14:paraId="30EAFB3B" w14:textId="77777777" w:rsidR="000D522F" w:rsidRDefault="00924EB7">
      <w:pPr>
        <w:spacing w:line="360" w:lineRule="auto"/>
        <w:ind w:left="720" w:hanging="720"/>
        <w:jc w:val="both"/>
        <w:rPr>
          <w:rtl/>
        </w:rPr>
      </w:pPr>
      <w:r>
        <w:rPr>
          <w:rFonts w:hint="cs"/>
          <w:rtl/>
        </w:rPr>
        <w:t>19.</w:t>
      </w:r>
      <w:r>
        <w:rPr>
          <w:rFonts w:hint="cs"/>
          <w:rtl/>
        </w:rPr>
        <w:tab/>
      </w:r>
      <w:r>
        <w:rPr>
          <w:rtl/>
        </w:rPr>
        <w:t>בנוסף לכך, קיימים קווי דמיון בין הנאשם לאורון בכך ששניהם הם אבות לילדים, חלקו של כל אחד מהם בביצוע האירועים נשוא כתב האישום הוא זהה. אף אחד מהם לא טען כי נוצל ע"י האחר או שהעבירות בוצעו בשל השפעה אסורה או בכפיה. שניהם חטאו בפגיעה באינטרסים ציבורים מובהקים, כל אחד בדרכו שלו, וכל אחד תרם את חלקו לקידום אינטרסים אישיים שייחודיים לו. כפי שאורון מעוניין לשקם את חייו, כמפורט בתסקירים שהוגשו בעניינו לבית המשפט ואשר בפסק דינו של בית משפט העליון ישנה התייחסות</w:t>
      </w:r>
      <w:r>
        <w:rPr>
          <w:rFonts w:hint="cs"/>
          <w:rtl/>
        </w:rPr>
        <w:t xml:space="preserve"> לתוכנם,</w:t>
      </w:r>
      <w:r>
        <w:rPr>
          <w:rtl/>
        </w:rPr>
        <w:t xml:space="preserve"> כך גם הנאשם שבפני מעוניין לשקם את חייו </w:t>
      </w:r>
      <w:r>
        <w:rPr>
          <w:rFonts w:hint="cs"/>
          <w:rtl/>
        </w:rPr>
        <w:t>על ידי גמילה</w:t>
      </w:r>
      <w:r>
        <w:rPr>
          <w:rtl/>
        </w:rPr>
        <w:t xml:space="preserve"> מסמים, לאחר שנים ארוכות של התמכרות. </w:t>
      </w:r>
    </w:p>
    <w:p w14:paraId="41B4D99B" w14:textId="77777777" w:rsidR="000D522F" w:rsidRDefault="000D522F">
      <w:pPr>
        <w:spacing w:line="360" w:lineRule="auto"/>
        <w:jc w:val="both"/>
        <w:rPr>
          <w:rtl/>
        </w:rPr>
      </w:pPr>
    </w:p>
    <w:p w14:paraId="520CDA9C" w14:textId="77777777" w:rsidR="000D522F" w:rsidRDefault="00924EB7">
      <w:pPr>
        <w:spacing w:line="360" w:lineRule="auto"/>
        <w:ind w:left="720" w:hanging="720"/>
        <w:jc w:val="both"/>
        <w:rPr>
          <w:rtl/>
        </w:rPr>
      </w:pPr>
      <w:r>
        <w:rPr>
          <w:rFonts w:hint="cs"/>
          <w:rtl/>
        </w:rPr>
        <w:t>20.</w:t>
      </w:r>
      <w:r>
        <w:rPr>
          <w:rFonts w:hint="cs"/>
          <w:rtl/>
        </w:rPr>
        <w:tab/>
      </w:r>
      <w:r>
        <w:rPr>
          <w:rtl/>
        </w:rPr>
        <w:t xml:space="preserve">בנסיבות אלה, הנני סבור כי ההבדלים שבין אורון לנאשם מתאזנים אלה מול אלה, כך שבמקרה זה העונש הראוי והמתאים לנסיבותיו של הנאשם </w:t>
      </w:r>
      <w:r>
        <w:rPr>
          <w:rFonts w:hint="cs"/>
          <w:rtl/>
        </w:rPr>
        <w:t>ו</w:t>
      </w:r>
      <w:r>
        <w:rPr>
          <w:rtl/>
        </w:rPr>
        <w:t xml:space="preserve">נסיבות ביצוע העבירה, צריך שיהיה זהה לעונש שהוטל על אורון. לפיכך, לא מצאתי צורך לקבוע את מתחם העונש ההולם לגבי כל אחת מהעבירות שבהן הורשע הנאשם ומה הוא העונש המתאים בתוך מתחם העונש ההולם. העונש שיוטל על הנאשם יהיה, כאמור, במצטבר לכל עונש שהינו מרצה כיום. </w:t>
      </w:r>
    </w:p>
    <w:p w14:paraId="522B8191" w14:textId="77777777" w:rsidR="000D522F" w:rsidRDefault="000D522F">
      <w:pPr>
        <w:spacing w:line="360" w:lineRule="auto"/>
        <w:jc w:val="both"/>
        <w:rPr>
          <w:rtl/>
        </w:rPr>
      </w:pPr>
    </w:p>
    <w:p w14:paraId="6A166AEB" w14:textId="77777777" w:rsidR="000D522F" w:rsidRDefault="00924EB7">
      <w:pPr>
        <w:spacing w:line="360" w:lineRule="auto"/>
        <w:jc w:val="both"/>
        <w:rPr>
          <w:rtl/>
        </w:rPr>
      </w:pPr>
      <w:r>
        <w:rPr>
          <w:rFonts w:hint="cs"/>
          <w:rtl/>
        </w:rPr>
        <w:t>21.</w:t>
      </w:r>
      <w:r>
        <w:rPr>
          <w:rFonts w:hint="cs"/>
          <w:rtl/>
        </w:rPr>
        <w:tab/>
      </w:r>
      <w:r>
        <w:rPr>
          <w:rtl/>
        </w:rPr>
        <w:t>לפיכך, הנני משית על הנאשם את העונשים הבאים:</w:t>
      </w:r>
    </w:p>
    <w:p w14:paraId="7910B201" w14:textId="77777777" w:rsidR="000D522F" w:rsidRDefault="000D522F">
      <w:pPr>
        <w:spacing w:line="360" w:lineRule="auto"/>
        <w:jc w:val="both"/>
        <w:rPr>
          <w:rtl/>
        </w:rPr>
      </w:pPr>
    </w:p>
    <w:p w14:paraId="1089BB24" w14:textId="77777777" w:rsidR="000D522F" w:rsidRDefault="00924EB7">
      <w:pPr>
        <w:numPr>
          <w:ilvl w:val="0"/>
          <w:numId w:val="3"/>
        </w:numPr>
        <w:spacing w:line="360" w:lineRule="auto"/>
        <w:jc w:val="both"/>
      </w:pPr>
      <w:r>
        <w:rPr>
          <w:rtl/>
        </w:rPr>
        <w:t xml:space="preserve">20 חודשי מאסר בפועל, שירוצו במצטבר לכל עונש אחר שאותו מרצה הנאשם כיום. </w:t>
      </w:r>
    </w:p>
    <w:p w14:paraId="0EDD016A" w14:textId="77777777" w:rsidR="000D522F" w:rsidRDefault="000D522F">
      <w:pPr>
        <w:spacing w:line="360" w:lineRule="auto"/>
        <w:ind w:left="1695"/>
        <w:jc w:val="both"/>
        <w:rPr>
          <w:rtl/>
        </w:rPr>
      </w:pPr>
    </w:p>
    <w:p w14:paraId="4F8BEEDD" w14:textId="77777777" w:rsidR="000D522F" w:rsidRDefault="00924EB7">
      <w:pPr>
        <w:numPr>
          <w:ilvl w:val="0"/>
          <w:numId w:val="3"/>
        </w:numPr>
        <w:spacing w:line="360" w:lineRule="auto"/>
        <w:jc w:val="both"/>
      </w:pPr>
      <w:r>
        <w:rPr>
          <w:rtl/>
        </w:rPr>
        <w:t xml:space="preserve">12 חודשי מאסר על תנאי, והתנאי הוא שתוך 3 שנים מהיום לא יבצע כל עבירה מסוג פשע. </w:t>
      </w:r>
    </w:p>
    <w:p w14:paraId="46576655" w14:textId="77777777" w:rsidR="000D522F" w:rsidRDefault="000D522F">
      <w:pPr>
        <w:spacing w:line="360" w:lineRule="auto"/>
        <w:ind w:left="1695"/>
        <w:jc w:val="both"/>
      </w:pPr>
    </w:p>
    <w:p w14:paraId="21FDA0C0" w14:textId="77777777" w:rsidR="000D522F" w:rsidRDefault="00924EB7">
      <w:pPr>
        <w:numPr>
          <w:ilvl w:val="0"/>
          <w:numId w:val="3"/>
        </w:numPr>
        <w:spacing w:line="360" w:lineRule="auto"/>
        <w:jc w:val="both"/>
      </w:pPr>
      <w:r>
        <w:rPr>
          <w:rtl/>
        </w:rPr>
        <w:t>הנאשם ישלם קנס בסך של 10,000 ₪, או 3 חודשי מאסר תמורתו. הקנס ישולם ב-5 תשלומים חודשים שווים ורצופים כאשר הראשון שבהם עד ליום 1.4.13 והיתרה ב-1 לכל חודש שלאחריו. היה ואחד התשלומים לא ישולם במועד, יעמוד מלוא סכום הקנס לפ</w:t>
      </w:r>
      <w:r>
        <w:rPr>
          <w:rFonts w:hint="cs"/>
          <w:rtl/>
        </w:rPr>
        <w:t>י</w:t>
      </w:r>
      <w:r>
        <w:rPr>
          <w:rtl/>
        </w:rPr>
        <w:t xml:space="preserve">רעון מידי. למען הסר ספק, עונש המאסר בפועל של 3 חודשים שנקבע חלף הקנס, יהיה במצטבר לכל עונש אחר שאותו מרצה הנאשם, </w:t>
      </w:r>
      <w:r>
        <w:rPr>
          <w:rFonts w:hint="cs"/>
          <w:rtl/>
        </w:rPr>
        <w:t>וכן במצטבר לעונש שהוטל עליו בתיק זה</w:t>
      </w:r>
      <w:r>
        <w:rPr>
          <w:rtl/>
        </w:rPr>
        <w:t xml:space="preserve">. </w:t>
      </w:r>
    </w:p>
    <w:p w14:paraId="1A0C9F5F" w14:textId="77777777" w:rsidR="000D522F" w:rsidRDefault="000D522F">
      <w:pPr>
        <w:spacing w:line="360" w:lineRule="auto"/>
        <w:jc w:val="both"/>
        <w:rPr>
          <w:rtl/>
        </w:rPr>
      </w:pPr>
    </w:p>
    <w:p w14:paraId="714ACD22" w14:textId="77777777" w:rsidR="000D522F" w:rsidRDefault="00924EB7">
      <w:pPr>
        <w:spacing w:line="360" w:lineRule="auto"/>
        <w:jc w:val="both"/>
        <w:rPr>
          <w:rtl/>
        </w:rPr>
      </w:pPr>
      <w:r>
        <w:rPr>
          <w:rtl/>
        </w:rPr>
        <w:t xml:space="preserve">זכות ערעור תוך 45 יום. </w:t>
      </w:r>
    </w:p>
    <w:p w14:paraId="5DAC9872" w14:textId="77777777" w:rsidR="000D522F" w:rsidRDefault="000D522F">
      <w:pPr>
        <w:rPr>
          <w:rFonts w:cs="FrankRuehl"/>
          <w:sz w:val="28"/>
          <w:szCs w:val="28"/>
          <w:rtl/>
        </w:rPr>
      </w:pPr>
    </w:p>
    <w:p w14:paraId="41613A6F" w14:textId="77777777" w:rsidR="000D522F" w:rsidRPr="00924EB7" w:rsidRDefault="00924EB7">
      <w:pPr>
        <w:rPr>
          <w:rFonts w:cs="FrankRuehl"/>
          <w:color w:val="FFFFFF"/>
          <w:sz w:val="2"/>
          <w:szCs w:val="2"/>
          <w:rtl/>
        </w:rPr>
      </w:pPr>
      <w:r w:rsidRPr="00924EB7">
        <w:rPr>
          <w:rFonts w:cs="FrankRuehl"/>
          <w:color w:val="FFFFFF"/>
          <w:sz w:val="2"/>
          <w:szCs w:val="2"/>
          <w:rtl/>
        </w:rPr>
        <w:t>5129371</w:t>
      </w:r>
    </w:p>
    <w:p w14:paraId="4A0B992D" w14:textId="77777777" w:rsidR="000D522F" w:rsidRDefault="00D83FF5">
      <w:pPr>
        <w:rPr>
          <w:rFonts w:cs="FrankRuehl"/>
          <w:sz w:val="28"/>
          <w:szCs w:val="28"/>
          <w:rtl/>
        </w:rPr>
      </w:pPr>
      <w:r w:rsidRPr="00D83FF5">
        <w:rPr>
          <w:rFonts w:ascii="Arial" w:hAnsi="Arial"/>
          <w:color w:val="FFFFFF"/>
          <w:sz w:val="2"/>
          <w:szCs w:val="2"/>
          <w:rtl/>
        </w:rPr>
        <w:t>5129371</w:t>
      </w:r>
      <w:r w:rsidR="00924EB7" w:rsidRPr="00924EB7">
        <w:rPr>
          <w:rFonts w:ascii="Arial" w:hAnsi="Arial"/>
          <w:color w:val="FFFFFF"/>
          <w:sz w:val="2"/>
          <w:szCs w:val="2"/>
          <w:rtl/>
        </w:rPr>
        <w:t>54678313</w:t>
      </w:r>
      <w:r w:rsidR="00924EB7">
        <w:rPr>
          <w:rFonts w:ascii="Arial" w:hAnsi="Arial"/>
          <w:rtl/>
        </w:rPr>
        <w:t xml:space="preserve">ניתן היום,  כ"ח טבת תשע"ג, 10 ינואר 2013, במעמד הצדדים. </w:t>
      </w:r>
    </w:p>
    <w:p w14:paraId="3A003FEB" w14:textId="77777777" w:rsidR="00924EB7" w:rsidRPr="00D83FF5" w:rsidRDefault="00D83FF5" w:rsidP="00924EB7">
      <w:pPr>
        <w:keepNext/>
        <w:rPr>
          <w:rFonts w:ascii="David" w:hAnsi="David"/>
          <w:color w:val="FFFFFF"/>
          <w:sz w:val="2"/>
          <w:szCs w:val="2"/>
          <w:rtl/>
        </w:rPr>
      </w:pPr>
      <w:r w:rsidRPr="00D83FF5">
        <w:rPr>
          <w:rFonts w:ascii="David" w:hAnsi="David"/>
          <w:color w:val="FFFFFF"/>
          <w:sz w:val="2"/>
          <w:szCs w:val="2"/>
          <w:rtl/>
        </w:rPr>
        <w:t>54678313</w:t>
      </w:r>
    </w:p>
    <w:p w14:paraId="36A0FBC7" w14:textId="77777777" w:rsidR="00D83FF5" w:rsidRPr="00D83FF5" w:rsidRDefault="00D83FF5" w:rsidP="00D83FF5">
      <w:pPr>
        <w:keepNext/>
        <w:rPr>
          <w:rFonts w:ascii="David" w:hAnsi="David"/>
          <w:color w:val="000000"/>
          <w:sz w:val="22"/>
          <w:szCs w:val="22"/>
          <w:rtl/>
        </w:rPr>
      </w:pPr>
    </w:p>
    <w:p w14:paraId="58E7E03A" w14:textId="77777777" w:rsidR="00D83FF5" w:rsidRPr="00D83FF5" w:rsidRDefault="00D83FF5" w:rsidP="00D83FF5">
      <w:pPr>
        <w:keepNext/>
        <w:rPr>
          <w:rFonts w:ascii="David" w:hAnsi="David"/>
          <w:color w:val="000000"/>
          <w:sz w:val="22"/>
          <w:szCs w:val="22"/>
          <w:rtl/>
        </w:rPr>
      </w:pPr>
      <w:r w:rsidRPr="00D83FF5">
        <w:rPr>
          <w:rFonts w:ascii="David" w:hAnsi="David"/>
          <w:color w:val="000000"/>
          <w:sz w:val="22"/>
          <w:szCs w:val="22"/>
          <w:rtl/>
        </w:rPr>
        <w:t>הישאם אבו שחאדה 54678313-/</w:t>
      </w:r>
    </w:p>
    <w:p w14:paraId="5291F03A" w14:textId="77777777" w:rsidR="00924EB7" w:rsidRDefault="00924EB7" w:rsidP="00924EB7">
      <w:bookmarkStart w:id="7" w:name="_GoBack"/>
      <w:bookmarkEnd w:id="7"/>
      <w:r w:rsidRPr="00924EB7">
        <w:rPr>
          <w:color w:val="000000"/>
          <w:rtl/>
        </w:rPr>
        <w:t>נוסח מסמך זה כפוף לשינויי ניסוח ועריכה</w:t>
      </w:r>
    </w:p>
    <w:p w14:paraId="43B9D522" w14:textId="77777777" w:rsidR="00924EB7" w:rsidRDefault="00924EB7" w:rsidP="00924EB7">
      <w:pPr>
        <w:rPr>
          <w:rtl/>
        </w:rPr>
      </w:pPr>
    </w:p>
    <w:p w14:paraId="4B32610D" w14:textId="77777777" w:rsidR="00924EB7" w:rsidRDefault="00924EB7" w:rsidP="00924EB7">
      <w:pPr>
        <w:jc w:val="center"/>
        <w:rPr>
          <w:color w:val="0000FF"/>
          <w:u w:val="single"/>
        </w:rPr>
      </w:pPr>
      <w:r w:rsidRPr="005C6A72">
        <w:rPr>
          <w:color w:val="000000"/>
          <w:rtl/>
        </w:rPr>
        <w:t>בעניין עריכה ושינויים במסמכי פסיקה, חקיקה ועוד באתר נבו – הקש כאן</w:t>
      </w:r>
    </w:p>
    <w:sectPr w:rsidR="00924EB7" w:rsidSect="00D83FF5">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8D49C" w14:textId="77777777" w:rsidR="00F656B5" w:rsidRPr="000D7FA4" w:rsidRDefault="00F656B5">
      <w:pPr>
        <w:rPr>
          <w:rFonts w:cs="Arial"/>
          <w:szCs w:val="20"/>
        </w:rPr>
      </w:pPr>
      <w:r>
        <w:separator/>
      </w:r>
    </w:p>
  </w:endnote>
  <w:endnote w:type="continuationSeparator" w:id="0">
    <w:p w14:paraId="250D7ED7" w14:textId="77777777" w:rsidR="00F656B5" w:rsidRPr="000D7FA4" w:rsidRDefault="00F656B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35286" w14:textId="77777777" w:rsidR="00EB787A" w:rsidRDefault="00EB787A" w:rsidP="00D83F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71AD93" w14:textId="77777777" w:rsidR="00EB787A" w:rsidRPr="00D83FF5" w:rsidRDefault="00EB787A" w:rsidP="00D83FF5">
    <w:pPr>
      <w:pStyle w:val="a4"/>
      <w:pBdr>
        <w:top w:val="single" w:sz="4" w:space="1" w:color="auto"/>
        <w:between w:val="single" w:sz="4" w:space="0" w:color="auto"/>
      </w:pBdr>
      <w:spacing w:after="60"/>
      <w:jc w:val="center"/>
      <w:rPr>
        <w:rFonts w:ascii="FrankRuehl" w:hAnsi="FrankRuehl" w:cs="FrankRuehl"/>
        <w:color w:val="000000"/>
      </w:rPr>
    </w:pPr>
    <w:r w:rsidRPr="00D83F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B3A43" w14:textId="77777777" w:rsidR="00EB787A" w:rsidRDefault="00EB787A" w:rsidP="00D83F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4922">
      <w:rPr>
        <w:rFonts w:ascii="FrankRuehl" w:hAnsi="FrankRuehl" w:cs="FrankRuehl"/>
        <w:noProof/>
        <w:rtl/>
      </w:rPr>
      <w:t>1</w:t>
    </w:r>
    <w:r>
      <w:rPr>
        <w:rFonts w:ascii="FrankRuehl" w:hAnsi="FrankRuehl" w:cs="FrankRuehl"/>
        <w:rtl/>
      </w:rPr>
      <w:fldChar w:fldCharType="end"/>
    </w:r>
  </w:p>
  <w:p w14:paraId="73A70097" w14:textId="77777777" w:rsidR="00EB787A" w:rsidRPr="00D83FF5" w:rsidRDefault="00EB787A" w:rsidP="00D83FF5">
    <w:pPr>
      <w:pStyle w:val="a4"/>
      <w:pBdr>
        <w:top w:val="single" w:sz="4" w:space="1" w:color="auto"/>
        <w:between w:val="single" w:sz="4" w:space="0" w:color="auto"/>
      </w:pBdr>
      <w:spacing w:after="60"/>
      <w:jc w:val="center"/>
      <w:rPr>
        <w:rFonts w:ascii="FrankRuehl" w:hAnsi="FrankRuehl" w:cs="FrankRuehl"/>
        <w:color w:val="000000"/>
      </w:rPr>
    </w:pPr>
    <w:r w:rsidRPr="00D83FF5">
      <w:rPr>
        <w:rFonts w:ascii="FrankRuehl" w:hAnsi="FrankRuehl" w:cs="FrankRuehl"/>
        <w:color w:val="000000"/>
      </w:rPr>
      <w:pict w14:anchorId="3FAD3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4911F" w14:textId="77777777" w:rsidR="00F656B5" w:rsidRPr="000D7FA4" w:rsidRDefault="00F656B5">
      <w:pPr>
        <w:rPr>
          <w:rFonts w:cs="Arial"/>
          <w:szCs w:val="20"/>
        </w:rPr>
      </w:pPr>
      <w:r>
        <w:separator/>
      </w:r>
    </w:p>
  </w:footnote>
  <w:footnote w:type="continuationSeparator" w:id="0">
    <w:p w14:paraId="24BE93F8" w14:textId="77777777" w:rsidR="00F656B5" w:rsidRPr="000D7FA4" w:rsidRDefault="00F656B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23F12" w14:textId="77777777" w:rsidR="00EB787A" w:rsidRPr="00D83FF5" w:rsidRDefault="00EB787A" w:rsidP="00D83F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21775-02-11</w:t>
    </w:r>
    <w:r>
      <w:rPr>
        <w:rFonts w:ascii="David" w:hAnsi="David"/>
        <w:color w:val="000000"/>
        <w:sz w:val="22"/>
        <w:szCs w:val="22"/>
        <w:rtl/>
      </w:rPr>
      <w:tab/>
      <w:t xml:space="preserve"> מדינת ישראל נ' אילן זוארץ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C6C9E" w14:textId="77777777" w:rsidR="00EB787A" w:rsidRPr="00D83FF5" w:rsidRDefault="00EB787A" w:rsidP="00D83F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21775-02-11</w:t>
    </w:r>
    <w:r>
      <w:rPr>
        <w:rFonts w:ascii="David" w:hAnsi="David"/>
        <w:color w:val="000000"/>
        <w:sz w:val="22"/>
        <w:szCs w:val="22"/>
        <w:rtl/>
      </w:rPr>
      <w:tab/>
      <w:t xml:space="preserve"> מדינת ישראל נ' אילן זוארץ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55538"/>
    <w:multiLevelType w:val="hybridMultilevel"/>
    <w:tmpl w:val="537085E4"/>
    <w:lvl w:ilvl="0" w:tplc="8474F42E">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1" w15:restartNumberingAfterBreak="0">
    <w:nsid w:val="48D97107"/>
    <w:multiLevelType w:val="hybridMultilevel"/>
    <w:tmpl w:val="70D4EC98"/>
    <w:lvl w:ilvl="0" w:tplc="EC58AAF8">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2" w15:restartNumberingAfterBreak="0">
    <w:nsid w:val="7A310DB6"/>
    <w:multiLevelType w:val="hybridMultilevel"/>
    <w:tmpl w:val="9C4217F4"/>
    <w:lvl w:ilvl="0" w:tplc="221ACAEE">
      <w:start w:val="1"/>
      <w:numFmt w:val="decimal"/>
      <w:lvlText w:val="%1."/>
      <w:lvlJc w:val="left"/>
      <w:pPr>
        <w:tabs>
          <w:tab w:val="num" w:pos="1695"/>
        </w:tabs>
        <w:ind w:left="1695" w:hanging="975"/>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16cid:durableId="696198004">
    <w:abstractNumId w:val="1"/>
  </w:num>
  <w:num w:numId="2" w16cid:durableId="1466388210">
    <w:abstractNumId w:val="0"/>
  </w:num>
  <w:num w:numId="3" w16cid:durableId="137122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522F"/>
    <w:rsid w:val="000D522F"/>
    <w:rsid w:val="00224922"/>
    <w:rsid w:val="005C6A72"/>
    <w:rsid w:val="006241A1"/>
    <w:rsid w:val="006724E6"/>
    <w:rsid w:val="00740394"/>
    <w:rsid w:val="00924EB7"/>
    <w:rsid w:val="00A21EF0"/>
    <w:rsid w:val="00A77DD1"/>
    <w:rsid w:val="00B36175"/>
    <w:rsid w:val="00C742C8"/>
    <w:rsid w:val="00CA1D80"/>
    <w:rsid w:val="00D83FF5"/>
    <w:rsid w:val="00EB787A"/>
    <w:rsid w:val="00F65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0FF886"/>
  <w15:chartTrackingRefBased/>
  <w15:docId w15:val="{35494D77-EB8D-4870-B54F-4B610C30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522F"/>
    <w:pPr>
      <w:bidi/>
    </w:pPr>
    <w:rPr>
      <w:rFonts w:cs="David"/>
      <w:sz w:val="24"/>
      <w:szCs w:val="24"/>
    </w:rPr>
  </w:style>
  <w:style w:type="paragraph" w:styleId="1">
    <w:name w:val="heading 1"/>
    <w:basedOn w:val="a"/>
    <w:next w:val="a"/>
    <w:qFormat/>
    <w:rsid w:val="000D522F"/>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D522F"/>
    <w:pPr>
      <w:keepNext/>
      <w:keepLines/>
      <w:spacing w:before="200"/>
      <w:outlineLvl w:val="1"/>
    </w:pPr>
    <w:rPr>
      <w:rFonts w:ascii="Cambria" w:hAnsi="Cambria" w:cs="Times New Roman"/>
      <w:b/>
      <w:bCs/>
      <w:color w:val="4F81BD"/>
      <w:sz w:val="26"/>
      <w:szCs w:val="26"/>
    </w:rPr>
  </w:style>
  <w:style w:type="paragraph" w:styleId="3">
    <w:name w:val="heading 3"/>
    <w:basedOn w:val="a"/>
    <w:next w:val="a"/>
    <w:link w:val="30"/>
    <w:qFormat/>
    <w:rsid w:val="000D522F"/>
    <w:pPr>
      <w:keepNext/>
      <w:keepLines/>
      <w:spacing w:before="200"/>
      <w:outlineLvl w:val="2"/>
    </w:pPr>
    <w:rPr>
      <w:rFonts w:ascii="Cambria" w:hAnsi="Cambria" w:cs="Times New Roman"/>
      <w:b/>
      <w:bCs/>
      <w:color w:val="4F81BD"/>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D522F"/>
    <w:pPr>
      <w:tabs>
        <w:tab w:val="center" w:pos="4153"/>
        <w:tab w:val="right" w:pos="8306"/>
      </w:tabs>
    </w:pPr>
  </w:style>
  <w:style w:type="paragraph" w:styleId="a4">
    <w:name w:val="footer"/>
    <w:basedOn w:val="a"/>
    <w:rsid w:val="000D522F"/>
    <w:pPr>
      <w:tabs>
        <w:tab w:val="center" w:pos="4153"/>
        <w:tab w:val="right" w:pos="8306"/>
      </w:tabs>
    </w:pPr>
  </w:style>
  <w:style w:type="character" w:styleId="a5">
    <w:name w:val="page number"/>
    <w:basedOn w:val="a0"/>
    <w:rsid w:val="000D522F"/>
  </w:style>
  <w:style w:type="character" w:customStyle="1" w:styleId="20">
    <w:name w:val="כותרת 2 תו"/>
    <w:link w:val="2"/>
    <w:rsid w:val="000D522F"/>
    <w:rPr>
      <w:rFonts w:ascii="Cambria" w:hAnsi="Cambria"/>
      <w:b/>
      <w:bCs/>
      <w:color w:val="4F81BD"/>
      <w:sz w:val="26"/>
      <w:szCs w:val="26"/>
      <w:lang w:val="en-US" w:eastAsia="en-US" w:bidi="he-IL"/>
    </w:rPr>
  </w:style>
  <w:style w:type="character" w:customStyle="1" w:styleId="30">
    <w:name w:val="כותרת 3 תו"/>
    <w:link w:val="3"/>
    <w:rsid w:val="000D522F"/>
    <w:rPr>
      <w:rFonts w:ascii="Cambria" w:hAnsi="Cambria"/>
      <w:b/>
      <w:bCs/>
      <w:color w:val="4F81BD"/>
      <w:sz w:val="24"/>
      <w:szCs w:val="24"/>
      <w:lang w:val="en-US" w:eastAsia="en-US" w:bidi="he-IL"/>
    </w:rPr>
  </w:style>
  <w:style w:type="character" w:styleId="Hyperlink">
    <w:name w:val="Hyperlink"/>
    <w:rsid w:val="00924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88499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99" TargetMode="External"/><Relationship Id="rId34" Type="http://schemas.openxmlformats.org/officeDocument/2006/relationships/hyperlink" Target="http://www.nevo.co.il/case/5610378"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62463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0" TargetMode="External"/><Relationship Id="rId24" Type="http://schemas.openxmlformats.org/officeDocument/2006/relationships/hyperlink" Target="http://www.nevo.co.il/case/5940842" TargetMode="External"/><Relationship Id="rId32" Type="http://schemas.openxmlformats.org/officeDocument/2006/relationships/hyperlink" Target="http://www.nevo.co.il/law/75025/29"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5025/29" TargetMode="External"/><Relationship Id="rId23" Type="http://schemas.openxmlformats.org/officeDocument/2006/relationships/hyperlink" Target="http://www.nevo.co.il/case/5573746" TargetMode="External"/><Relationship Id="rId28" Type="http://schemas.openxmlformats.org/officeDocument/2006/relationships/hyperlink" Target="http://www.nevo.co.il/case/6000002" TargetMode="External"/><Relationship Id="rId36" Type="http://schemas.openxmlformats.org/officeDocument/2006/relationships/hyperlink" Target="http://www.nevo.co.il/law/70301/290"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291" TargetMode="External"/><Relationship Id="rId31" Type="http://schemas.openxmlformats.org/officeDocument/2006/relationships/hyperlink" Target="http://www.nevo.co.il/case/607068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5025" TargetMode="External"/><Relationship Id="rId22" Type="http://schemas.openxmlformats.org/officeDocument/2006/relationships/hyperlink" Target="http://www.nevo.co.il/case/5806370" TargetMode="External"/><Relationship Id="rId27" Type="http://schemas.openxmlformats.org/officeDocument/2006/relationships/hyperlink" Target="http://www.nevo.co.il/case/6041301" TargetMode="External"/><Relationship Id="rId30" Type="http://schemas.openxmlformats.org/officeDocument/2006/relationships/hyperlink" Target="http://www.nevo.co.il/case/5670786"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29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4240195" TargetMode="External"/><Relationship Id="rId33" Type="http://schemas.openxmlformats.org/officeDocument/2006/relationships/hyperlink" Target="http://www.nevo.co.il/law/75025" TargetMode="External"/><Relationship Id="rId38" Type="http://schemas.openxmlformats.org/officeDocument/2006/relationships/hyperlink" Target="http://www.nevo.co.il/law/70301/291"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2738</Words>
  <Characters>13694</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16400</CharactersWithSpaces>
  <SharedDoc>false</SharedDoc>
  <HLinks>
    <vt:vector size="198" baseType="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http://www.nevo.co.il/law/70301/291</vt:lpwstr>
      </vt:variant>
      <vt:variant>
        <vt:lpwstr/>
      </vt:variant>
      <vt:variant>
        <vt:i4>7995492</vt:i4>
      </vt:variant>
      <vt:variant>
        <vt:i4>90</vt:i4>
      </vt:variant>
      <vt:variant>
        <vt:i4>0</vt:i4>
      </vt:variant>
      <vt:variant>
        <vt:i4>5</vt:i4>
      </vt:variant>
      <vt:variant>
        <vt:lpwstr>http://www.nevo.co.il/law/70301</vt:lpwstr>
      </vt:variant>
      <vt:variant>
        <vt:lpwstr/>
      </vt:variant>
      <vt:variant>
        <vt:i4>7077991</vt:i4>
      </vt:variant>
      <vt:variant>
        <vt:i4>87</vt:i4>
      </vt:variant>
      <vt:variant>
        <vt:i4>0</vt:i4>
      </vt:variant>
      <vt:variant>
        <vt:i4>5</vt:i4>
      </vt:variant>
      <vt:variant>
        <vt:lpwstr>http://www.nevo.co.il/law/70301/290</vt:lpwstr>
      </vt:variant>
      <vt:variant>
        <vt:lpwstr/>
      </vt:variant>
      <vt:variant>
        <vt:i4>7995492</vt:i4>
      </vt:variant>
      <vt:variant>
        <vt:i4>84</vt:i4>
      </vt:variant>
      <vt:variant>
        <vt:i4>0</vt:i4>
      </vt:variant>
      <vt:variant>
        <vt:i4>5</vt:i4>
      </vt:variant>
      <vt:variant>
        <vt:lpwstr>http://www.nevo.co.il/law/70301</vt:lpwstr>
      </vt:variant>
      <vt:variant>
        <vt:lpwstr/>
      </vt:variant>
      <vt:variant>
        <vt:i4>4128885</vt:i4>
      </vt:variant>
      <vt:variant>
        <vt:i4>81</vt:i4>
      </vt:variant>
      <vt:variant>
        <vt:i4>0</vt:i4>
      </vt:variant>
      <vt:variant>
        <vt:i4>5</vt:i4>
      </vt:variant>
      <vt:variant>
        <vt:lpwstr>http://www.nevo.co.il/case/5610378</vt:lpwstr>
      </vt:variant>
      <vt:variant>
        <vt:lpwstr/>
      </vt:variant>
      <vt:variant>
        <vt:i4>8192103</vt:i4>
      </vt:variant>
      <vt:variant>
        <vt:i4>78</vt:i4>
      </vt:variant>
      <vt:variant>
        <vt:i4>0</vt:i4>
      </vt:variant>
      <vt:variant>
        <vt:i4>5</vt:i4>
      </vt:variant>
      <vt:variant>
        <vt:lpwstr>http://www.nevo.co.il/law/75025</vt:lpwstr>
      </vt:variant>
      <vt:variant>
        <vt:lpwstr/>
      </vt:variant>
      <vt:variant>
        <vt:i4>7012448</vt:i4>
      </vt:variant>
      <vt:variant>
        <vt:i4>75</vt:i4>
      </vt:variant>
      <vt:variant>
        <vt:i4>0</vt:i4>
      </vt:variant>
      <vt:variant>
        <vt:i4>5</vt:i4>
      </vt:variant>
      <vt:variant>
        <vt:lpwstr>http://www.nevo.co.il/law/75025/29</vt:lpwstr>
      </vt:variant>
      <vt:variant>
        <vt:lpwstr/>
      </vt:variant>
      <vt:variant>
        <vt:i4>3342460</vt:i4>
      </vt:variant>
      <vt:variant>
        <vt:i4>72</vt:i4>
      </vt:variant>
      <vt:variant>
        <vt:i4>0</vt:i4>
      </vt:variant>
      <vt:variant>
        <vt:i4>5</vt:i4>
      </vt:variant>
      <vt:variant>
        <vt:lpwstr>http://www.nevo.co.il/case/6070684</vt:lpwstr>
      </vt:variant>
      <vt:variant>
        <vt:lpwstr/>
      </vt:variant>
      <vt:variant>
        <vt:i4>3342458</vt:i4>
      </vt:variant>
      <vt:variant>
        <vt:i4>69</vt:i4>
      </vt:variant>
      <vt:variant>
        <vt:i4>0</vt:i4>
      </vt:variant>
      <vt:variant>
        <vt:i4>5</vt:i4>
      </vt:variant>
      <vt:variant>
        <vt:lpwstr>http://www.nevo.co.il/case/5670786</vt:lpwstr>
      </vt:variant>
      <vt:variant>
        <vt:lpwstr/>
      </vt:variant>
      <vt:variant>
        <vt:i4>3211377</vt:i4>
      </vt:variant>
      <vt:variant>
        <vt:i4>66</vt:i4>
      </vt:variant>
      <vt:variant>
        <vt:i4>0</vt:i4>
      </vt:variant>
      <vt:variant>
        <vt:i4>5</vt:i4>
      </vt:variant>
      <vt:variant>
        <vt:lpwstr>http://www.nevo.co.il/case/6246310</vt:lpwstr>
      </vt:variant>
      <vt:variant>
        <vt:lpwstr/>
      </vt:variant>
      <vt:variant>
        <vt:i4>3407988</vt:i4>
      </vt:variant>
      <vt:variant>
        <vt:i4>63</vt:i4>
      </vt:variant>
      <vt:variant>
        <vt:i4>0</vt:i4>
      </vt:variant>
      <vt:variant>
        <vt:i4>5</vt:i4>
      </vt:variant>
      <vt:variant>
        <vt:lpwstr>http://www.nevo.co.il/case/6000002</vt:lpwstr>
      </vt:variant>
      <vt:variant>
        <vt:lpwstr/>
      </vt:variant>
      <vt:variant>
        <vt:i4>3145845</vt:i4>
      </vt:variant>
      <vt:variant>
        <vt:i4>60</vt:i4>
      </vt:variant>
      <vt:variant>
        <vt:i4>0</vt:i4>
      </vt:variant>
      <vt:variant>
        <vt:i4>5</vt:i4>
      </vt:variant>
      <vt:variant>
        <vt:lpwstr>http://www.nevo.co.il/case/6041301</vt:lpwstr>
      </vt:variant>
      <vt:variant>
        <vt:lpwstr/>
      </vt:variant>
      <vt:variant>
        <vt:i4>3539057</vt:i4>
      </vt:variant>
      <vt:variant>
        <vt:i4>57</vt:i4>
      </vt:variant>
      <vt:variant>
        <vt:i4>0</vt:i4>
      </vt:variant>
      <vt:variant>
        <vt:i4>5</vt:i4>
      </vt:variant>
      <vt:variant>
        <vt:lpwstr>http://www.nevo.co.il/case/5884992</vt:lpwstr>
      </vt:variant>
      <vt:variant>
        <vt:lpwstr/>
      </vt:variant>
      <vt:variant>
        <vt:i4>3407999</vt:i4>
      </vt:variant>
      <vt:variant>
        <vt:i4>54</vt:i4>
      </vt:variant>
      <vt:variant>
        <vt:i4>0</vt:i4>
      </vt:variant>
      <vt:variant>
        <vt:i4>5</vt:i4>
      </vt:variant>
      <vt:variant>
        <vt:lpwstr>http://www.nevo.co.il/case/4240195</vt:lpwstr>
      </vt:variant>
      <vt:variant>
        <vt:lpwstr/>
      </vt:variant>
      <vt:variant>
        <vt:i4>3866745</vt:i4>
      </vt:variant>
      <vt:variant>
        <vt:i4>51</vt:i4>
      </vt:variant>
      <vt:variant>
        <vt:i4>0</vt:i4>
      </vt:variant>
      <vt:variant>
        <vt:i4>5</vt:i4>
      </vt:variant>
      <vt:variant>
        <vt:lpwstr>http://www.nevo.co.il/case/5940842</vt:lpwstr>
      </vt:variant>
      <vt:variant>
        <vt:lpwstr/>
      </vt:variant>
      <vt:variant>
        <vt:i4>3342454</vt:i4>
      </vt:variant>
      <vt:variant>
        <vt:i4>48</vt:i4>
      </vt:variant>
      <vt:variant>
        <vt:i4>0</vt:i4>
      </vt:variant>
      <vt:variant>
        <vt:i4>5</vt:i4>
      </vt:variant>
      <vt:variant>
        <vt:lpwstr>http://www.nevo.co.il/case/5573746</vt:lpwstr>
      </vt:variant>
      <vt:variant>
        <vt:lpwstr/>
      </vt:variant>
      <vt:variant>
        <vt:i4>3539069</vt:i4>
      </vt:variant>
      <vt:variant>
        <vt:i4>45</vt:i4>
      </vt:variant>
      <vt:variant>
        <vt:i4>0</vt:i4>
      </vt:variant>
      <vt:variant>
        <vt:i4>5</vt:i4>
      </vt:variant>
      <vt:variant>
        <vt:lpwstr>http://www.nevo.co.il/case/5806370</vt:lpwstr>
      </vt:variant>
      <vt:variant>
        <vt:lpwstr/>
      </vt:variant>
      <vt:variant>
        <vt:i4>7077985</vt:i4>
      </vt:variant>
      <vt:variant>
        <vt:i4>42</vt:i4>
      </vt:variant>
      <vt:variant>
        <vt:i4>0</vt:i4>
      </vt:variant>
      <vt:variant>
        <vt:i4>5</vt:i4>
      </vt:variant>
      <vt:variant>
        <vt:lpwstr>http://www.nevo.co.il/law/70301/499</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http://www.nevo.co.il/law/70301/291</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7012448</vt:i4>
      </vt:variant>
      <vt:variant>
        <vt:i4>24</vt:i4>
      </vt:variant>
      <vt:variant>
        <vt:i4>0</vt:i4>
      </vt:variant>
      <vt:variant>
        <vt:i4>5</vt:i4>
      </vt:variant>
      <vt:variant>
        <vt:lpwstr>http://www.nevo.co.il/law/75025/29</vt:lpwstr>
      </vt:variant>
      <vt:variant>
        <vt:lpwstr/>
      </vt:variant>
      <vt:variant>
        <vt:i4>8192103</vt:i4>
      </vt:variant>
      <vt:variant>
        <vt:i4>21</vt:i4>
      </vt:variant>
      <vt:variant>
        <vt:i4>0</vt:i4>
      </vt:variant>
      <vt:variant>
        <vt:i4>5</vt:i4>
      </vt:variant>
      <vt:variant>
        <vt:lpwstr>http://www.nevo.co.il/law/75025</vt:lpwstr>
      </vt:variant>
      <vt:variant>
        <vt:lpwstr/>
      </vt:variant>
      <vt:variant>
        <vt:i4>7077985</vt:i4>
      </vt:variant>
      <vt:variant>
        <vt:i4>18</vt:i4>
      </vt:variant>
      <vt:variant>
        <vt:i4>0</vt:i4>
      </vt:variant>
      <vt:variant>
        <vt:i4>5</vt:i4>
      </vt:variant>
      <vt:variant>
        <vt:lpwstr>http://www.nevo.co.il/law/70301/499</vt:lpwstr>
      </vt:variant>
      <vt:variant>
        <vt:lpwstr/>
      </vt:variant>
      <vt:variant>
        <vt:i4>7077991</vt:i4>
      </vt:variant>
      <vt:variant>
        <vt:i4>15</vt:i4>
      </vt:variant>
      <vt:variant>
        <vt:i4>0</vt:i4>
      </vt:variant>
      <vt:variant>
        <vt:i4>5</vt:i4>
      </vt:variant>
      <vt:variant>
        <vt:lpwstr>http://www.nevo.co.il/law/70301/291</vt:lpwstr>
      </vt:variant>
      <vt:variant>
        <vt:lpwstr/>
      </vt:variant>
      <vt:variant>
        <vt:i4>7077991</vt:i4>
      </vt:variant>
      <vt:variant>
        <vt:i4>12</vt:i4>
      </vt:variant>
      <vt:variant>
        <vt:i4>0</vt:i4>
      </vt:variant>
      <vt:variant>
        <vt:i4>5</vt:i4>
      </vt:variant>
      <vt:variant>
        <vt:lpwstr>http://www.nevo.co.il/law/70301/290</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21775</vt:lpwstr>
  </property>
  <property fmtid="{D5CDD505-2E9C-101B-9397-08002B2CF9AE}" pid="6" name="NEWPARTB">
    <vt:lpwstr>02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אילן זוארץ</vt:lpwstr>
  </property>
  <property fmtid="{D5CDD505-2E9C-101B-9397-08002B2CF9AE}" pid="10" name="JUDGE">
    <vt:lpwstr>הישאם אבו שחאדה</vt:lpwstr>
  </property>
  <property fmtid="{D5CDD505-2E9C-101B-9397-08002B2CF9AE}" pid="11" name="CITY">
    <vt:lpwstr>רמ'</vt:lpwstr>
  </property>
  <property fmtid="{D5CDD505-2E9C-101B-9397-08002B2CF9AE}" pid="12" name="DATE">
    <vt:lpwstr>20130110</vt:lpwstr>
  </property>
  <property fmtid="{D5CDD505-2E9C-101B-9397-08002B2CF9AE}" pid="13" name="TYPE_N_DATE">
    <vt:lpwstr>38020130110</vt:lpwstr>
  </property>
  <property fmtid="{D5CDD505-2E9C-101B-9397-08002B2CF9AE}" pid="14" name="WORDNUMPAGES">
    <vt:lpwstr>8</vt:lpwstr>
  </property>
  <property fmtid="{D5CDD505-2E9C-101B-9397-08002B2CF9AE}" pid="15" name="TYPE_ABS_DATE">
    <vt:lpwstr>380020130110</vt:lpwstr>
  </property>
  <property fmtid="{D5CDD505-2E9C-101B-9397-08002B2CF9AE}" pid="16" name="ISABSTRACT">
    <vt:lpwstr>Y</vt:lpwstr>
  </property>
  <property fmtid="{D5CDD505-2E9C-101B-9397-08002B2CF9AE}" pid="17" name="LAWYER">
    <vt:lpwstr>רותם סרי</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5806370;5573746;5940842;4240195;5884992;6041301;6000002;6246310;5670786;6070684;5610378</vt:lpwstr>
  </property>
  <property fmtid="{D5CDD505-2E9C-101B-9397-08002B2CF9AE}" pid="36" name="LAWLISTTMP1">
    <vt:lpwstr>4216/013;019a</vt:lpwstr>
  </property>
  <property fmtid="{D5CDD505-2E9C-101B-9397-08002B2CF9AE}" pid="37" name="LAWLISTTMP2">
    <vt:lpwstr>70301/291:2;499;290</vt:lpwstr>
  </property>
  <property fmtid="{D5CDD505-2E9C-101B-9397-08002B2CF9AE}" pid="38" name="LAWLISTTMP3">
    <vt:lpwstr>75025/029</vt:lpwstr>
  </property>
</Properties>
</file>