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507E4" w:rsidRPr="005A721A" w14:paraId="3B35AB37" w14:textId="77777777">
        <w:trPr>
          <w:trHeight w:hRule="exact" w:val="418"/>
          <w:jc w:val="center"/>
        </w:trPr>
        <w:tc>
          <w:tcPr>
            <w:tcW w:w="8721" w:type="dxa"/>
            <w:gridSpan w:val="2"/>
          </w:tcPr>
          <w:p w14:paraId="60A5297E" w14:textId="77777777" w:rsidR="00F507E4" w:rsidRPr="005A721A" w:rsidRDefault="005A721A">
            <w:pPr>
              <w:pStyle w:val="a3"/>
              <w:jc w:val="center"/>
              <w:rPr>
                <w:rFonts w:ascii="Tahoma" w:hAnsi="Tahoma" w:cs="Tahoma"/>
                <w:color w:val="000080"/>
                <w:rtl/>
              </w:rPr>
            </w:pPr>
            <w:bookmarkStart w:id="0" w:name="LastJudge"/>
            <w:r w:rsidRPr="005A721A">
              <w:rPr>
                <w:rFonts w:ascii="Tahoma" w:hAnsi="Tahoma" w:cs="Tahoma"/>
                <w:b/>
                <w:bCs/>
                <w:color w:val="000080"/>
                <w:rtl/>
              </w:rPr>
              <w:t>בית משפט השלום בפתח תקווה</w:t>
            </w:r>
          </w:p>
        </w:tc>
      </w:tr>
      <w:tr w:rsidR="00F507E4" w:rsidRPr="005A721A" w14:paraId="1F815960" w14:textId="77777777">
        <w:trPr>
          <w:trHeight w:val="337"/>
          <w:jc w:val="center"/>
        </w:trPr>
        <w:tc>
          <w:tcPr>
            <w:tcW w:w="5047" w:type="dxa"/>
          </w:tcPr>
          <w:p w14:paraId="14F63673" w14:textId="77777777" w:rsidR="00F507E4" w:rsidRPr="005A721A" w:rsidRDefault="005A721A">
            <w:pPr>
              <w:rPr>
                <w:rFonts w:cs="FrankRuehl"/>
                <w:sz w:val="28"/>
                <w:szCs w:val="28"/>
                <w:rtl/>
              </w:rPr>
            </w:pPr>
            <w:r w:rsidRPr="005A721A">
              <w:rPr>
                <w:rFonts w:cs="FrankRuehl"/>
                <w:sz w:val="28"/>
                <w:szCs w:val="28"/>
                <w:rtl/>
              </w:rPr>
              <w:t>ת"פ</w:t>
            </w:r>
            <w:r w:rsidRPr="005A721A">
              <w:rPr>
                <w:rFonts w:cs="FrankRuehl" w:hint="cs"/>
                <w:sz w:val="28"/>
                <w:szCs w:val="28"/>
                <w:rtl/>
              </w:rPr>
              <w:t xml:space="preserve"> </w:t>
            </w:r>
            <w:r w:rsidRPr="005A721A">
              <w:rPr>
                <w:rFonts w:cs="FrankRuehl"/>
                <w:sz w:val="28"/>
                <w:szCs w:val="28"/>
                <w:rtl/>
              </w:rPr>
              <w:t>45698-02-11</w:t>
            </w:r>
            <w:r w:rsidRPr="005A721A">
              <w:rPr>
                <w:rFonts w:cs="FrankRuehl" w:hint="cs"/>
                <w:sz w:val="28"/>
                <w:szCs w:val="28"/>
                <w:rtl/>
              </w:rPr>
              <w:t xml:space="preserve"> </w:t>
            </w:r>
            <w:r w:rsidRPr="005A721A">
              <w:rPr>
                <w:rFonts w:cs="FrankRuehl"/>
                <w:sz w:val="28"/>
                <w:szCs w:val="28"/>
                <w:rtl/>
              </w:rPr>
              <w:t>מדינת ישראל נ' שרון</w:t>
            </w:r>
          </w:p>
          <w:p w14:paraId="4493889C" w14:textId="77777777" w:rsidR="00F507E4" w:rsidRPr="005A721A" w:rsidRDefault="00F507E4">
            <w:pPr>
              <w:pStyle w:val="a3"/>
              <w:rPr>
                <w:rFonts w:cs="FrankRuehl"/>
                <w:sz w:val="28"/>
                <w:szCs w:val="28"/>
                <w:rtl/>
              </w:rPr>
            </w:pPr>
          </w:p>
          <w:p w14:paraId="6AEC904D" w14:textId="77777777" w:rsidR="00F507E4" w:rsidRPr="005A721A" w:rsidRDefault="00F507E4"/>
        </w:tc>
        <w:tc>
          <w:tcPr>
            <w:tcW w:w="3674" w:type="dxa"/>
          </w:tcPr>
          <w:p w14:paraId="1068CCB1" w14:textId="77777777" w:rsidR="00F507E4" w:rsidRPr="005A721A" w:rsidRDefault="005A721A">
            <w:pPr>
              <w:pStyle w:val="a3"/>
              <w:jc w:val="right"/>
              <w:rPr>
                <w:rFonts w:cs="FrankRuehl"/>
                <w:sz w:val="28"/>
                <w:szCs w:val="28"/>
                <w:rtl/>
              </w:rPr>
            </w:pPr>
            <w:r w:rsidRPr="005A721A">
              <w:rPr>
                <w:rFonts w:cs="FrankRuehl" w:hint="cs"/>
                <w:sz w:val="28"/>
                <w:szCs w:val="28"/>
                <w:rtl/>
              </w:rPr>
              <w:t>26 פברואר 2013</w:t>
            </w:r>
          </w:p>
        </w:tc>
      </w:tr>
    </w:tbl>
    <w:p w14:paraId="404E7EC2" w14:textId="77777777" w:rsidR="00F507E4" w:rsidRPr="005A721A" w:rsidRDefault="005A721A">
      <w:pPr>
        <w:pStyle w:val="a3"/>
        <w:rPr>
          <w:rtl/>
        </w:rPr>
      </w:pPr>
      <w:r w:rsidRPr="005A721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507E4" w:rsidRPr="005A721A" w14:paraId="64F6C8DF" w14:textId="77777777">
        <w:trPr>
          <w:trHeight w:val="295"/>
          <w:jc w:val="center"/>
        </w:trPr>
        <w:tc>
          <w:tcPr>
            <w:tcW w:w="923" w:type="dxa"/>
            <w:tcBorders>
              <w:top w:val="nil"/>
              <w:left w:val="nil"/>
              <w:bottom w:val="nil"/>
              <w:right w:val="nil"/>
            </w:tcBorders>
          </w:tcPr>
          <w:p w14:paraId="1E61ABE0" w14:textId="77777777" w:rsidR="00F507E4" w:rsidRPr="005A721A" w:rsidRDefault="005A721A">
            <w:pPr>
              <w:spacing w:line="360" w:lineRule="auto"/>
              <w:jc w:val="both"/>
              <w:rPr>
                <w:rFonts w:ascii="Arial" w:hAnsi="Arial"/>
                <w:b/>
                <w:bCs/>
              </w:rPr>
            </w:pPr>
            <w:r w:rsidRPr="005A721A">
              <w:rPr>
                <w:rFonts w:ascii="Arial" w:hAnsi="Arial" w:hint="cs"/>
                <w:b/>
                <w:bCs/>
                <w:rtl/>
              </w:rPr>
              <w:t>ב</w:t>
            </w:r>
            <w:r w:rsidRPr="005A721A">
              <w:rPr>
                <w:rFonts w:ascii="Arial" w:hAnsi="Arial"/>
                <w:b/>
                <w:bCs/>
                <w:rtl/>
              </w:rPr>
              <w:t xml:space="preserve">פני </w:t>
            </w:r>
          </w:p>
        </w:tc>
        <w:tc>
          <w:tcPr>
            <w:tcW w:w="7897" w:type="dxa"/>
            <w:gridSpan w:val="2"/>
            <w:tcBorders>
              <w:top w:val="nil"/>
              <w:left w:val="nil"/>
              <w:bottom w:val="nil"/>
              <w:right w:val="nil"/>
            </w:tcBorders>
          </w:tcPr>
          <w:p w14:paraId="240B6A39" w14:textId="77777777" w:rsidR="00F507E4" w:rsidRPr="005A721A" w:rsidRDefault="005A721A">
            <w:pPr>
              <w:spacing w:line="360" w:lineRule="auto"/>
              <w:jc w:val="both"/>
              <w:rPr>
                <w:rFonts w:ascii="Arial" w:hAnsi="Arial"/>
                <w:b/>
                <w:bCs/>
              </w:rPr>
            </w:pPr>
            <w:r w:rsidRPr="005A721A">
              <w:rPr>
                <w:rFonts w:ascii="Arial" w:hAnsi="Arial" w:hint="cs"/>
                <w:b/>
                <w:bCs/>
                <w:rtl/>
              </w:rPr>
              <w:t>כב' ה</w:t>
            </w:r>
            <w:r w:rsidRPr="005A721A">
              <w:rPr>
                <w:rFonts w:hint="cs"/>
                <w:b/>
                <w:bCs/>
                <w:rtl/>
              </w:rPr>
              <w:t>שופטת</w:t>
            </w:r>
            <w:r w:rsidRPr="005A721A">
              <w:rPr>
                <w:rFonts w:ascii="Arial" w:hAnsi="Arial" w:hint="cs"/>
                <w:b/>
                <w:bCs/>
                <w:rtl/>
              </w:rPr>
              <w:t xml:space="preserve">  </w:t>
            </w:r>
            <w:r w:rsidRPr="005A721A">
              <w:rPr>
                <w:rFonts w:hint="cs"/>
                <w:b/>
                <w:bCs/>
                <w:rtl/>
              </w:rPr>
              <w:t>עינת רון</w:t>
            </w:r>
          </w:p>
        </w:tc>
      </w:tr>
      <w:tr w:rsidR="00F507E4" w:rsidRPr="005A721A" w14:paraId="6916CD57" w14:textId="77777777">
        <w:trPr>
          <w:trHeight w:val="355"/>
          <w:jc w:val="center"/>
        </w:trPr>
        <w:tc>
          <w:tcPr>
            <w:tcW w:w="923" w:type="dxa"/>
            <w:tcBorders>
              <w:top w:val="nil"/>
              <w:left w:val="nil"/>
              <w:bottom w:val="nil"/>
              <w:right w:val="nil"/>
            </w:tcBorders>
          </w:tcPr>
          <w:p w14:paraId="6A850DBE" w14:textId="77777777" w:rsidR="00F507E4" w:rsidRPr="005A721A" w:rsidRDefault="00F507E4">
            <w:pPr>
              <w:spacing w:line="360" w:lineRule="auto"/>
              <w:jc w:val="both"/>
              <w:rPr>
                <w:rFonts w:ascii="Arial" w:hAnsi="Arial"/>
                <w:b/>
                <w:bCs/>
                <w:rtl/>
              </w:rPr>
            </w:pPr>
            <w:bookmarkStart w:id="1" w:name="FirstAppellant"/>
            <w:bookmarkStart w:id="2" w:name="FirstLawyer"/>
          </w:p>
          <w:p w14:paraId="0D6D2019" w14:textId="77777777" w:rsidR="00F507E4" w:rsidRPr="005A721A" w:rsidRDefault="005A721A">
            <w:pPr>
              <w:spacing w:line="360" w:lineRule="auto"/>
              <w:jc w:val="both"/>
              <w:rPr>
                <w:rFonts w:ascii="Arial" w:hAnsi="Arial"/>
                <w:b/>
                <w:bCs/>
              </w:rPr>
            </w:pPr>
            <w:r w:rsidRPr="005A721A">
              <w:rPr>
                <w:rFonts w:ascii="Arial" w:hAnsi="Arial" w:hint="cs"/>
                <w:b/>
                <w:bCs/>
                <w:rtl/>
              </w:rPr>
              <w:t>בעניין:</w:t>
            </w:r>
          </w:p>
        </w:tc>
        <w:tc>
          <w:tcPr>
            <w:tcW w:w="4126" w:type="dxa"/>
            <w:tcBorders>
              <w:top w:val="nil"/>
              <w:left w:val="nil"/>
              <w:bottom w:val="nil"/>
              <w:right w:val="nil"/>
            </w:tcBorders>
          </w:tcPr>
          <w:p w14:paraId="2E750C0A" w14:textId="77777777" w:rsidR="00F507E4" w:rsidRPr="005A721A" w:rsidRDefault="00F507E4">
            <w:pPr>
              <w:spacing w:line="360" w:lineRule="auto"/>
              <w:jc w:val="both"/>
              <w:rPr>
                <w:rFonts w:ascii="Arial" w:hAnsi="Arial"/>
                <w:b/>
                <w:bCs/>
                <w:rtl/>
              </w:rPr>
            </w:pPr>
          </w:p>
          <w:p w14:paraId="5B5BB4DF" w14:textId="77777777" w:rsidR="00F507E4" w:rsidRPr="005A721A" w:rsidRDefault="005A721A">
            <w:pPr>
              <w:spacing w:line="360" w:lineRule="auto"/>
              <w:rPr>
                <w:b/>
                <w:bCs/>
              </w:rPr>
            </w:pPr>
            <w:r w:rsidRPr="005A721A">
              <w:rPr>
                <w:rFonts w:hint="cs"/>
                <w:b/>
                <w:bCs/>
                <w:rtl/>
              </w:rPr>
              <w:t>מדינת ישראל</w:t>
            </w:r>
          </w:p>
          <w:p w14:paraId="6836B5A9" w14:textId="77777777" w:rsidR="00F507E4" w:rsidRPr="005A721A" w:rsidRDefault="005A721A">
            <w:pPr>
              <w:spacing w:line="360" w:lineRule="auto"/>
              <w:jc w:val="both"/>
              <w:rPr>
                <w:rFonts w:ascii="Arial" w:hAnsi="Arial"/>
                <w:b/>
                <w:bCs/>
              </w:rPr>
            </w:pPr>
            <w:r w:rsidRPr="005A721A">
              <w:rPr>
                <w:rFonts w:ascii="Arial" w:hAnsi="Arial" w:hint="cs"/>
                <w:b/>
                <w:bCs/>
                <w:rtl/>
              </w:rPr>
              <w:t xml:space="preserve">ע"י עו"ד יניב פרטוק </w:t>
            </w:r>
          </w:p>
        </w:tc>
        <w:tc>
          <w:tcPr>
            <w:tcW w:w="3771" w:type="dxa"/>
            <w:tcBorders>
              <w:top w:val="nil"/>
              <w:left w:val="nil"/>
              <w:bottom w:val="nil"/>
              <w:right w:val="nil"/>
            </w:tcBorders>
          </w:tcPr>
          <w:p w14:paraId="15E40EC1" w14:textId="77777777" w:rsidR="00F507E4" w:rsidRPr="005A721A" w:rsidRDefault="00F507E4">
            <w:pPr>
              <w:spacing w:line="360" w:lineRule="auto"/>
              <w:jc w:val="both"/>
              <w:rPr>
                <w:rFonts w:ascii="Arial" w:hAnsi="Arial"/>
                <w:b/>
                <w:bCs/>
              </w:rPr>
            </w:pPr>
          </w:p>
        </w:tc>
      </w:tr>
      <w:bookmarkEnd w:id="1"/>
      <w:bookmarkEnd w:id="2"/>
      <w:tr w:rsidR="00F507E4" w:rsidRPr="005A721A" w14:paraId="6A78FFF2" w14:textId="77777777">
        <w:trPr>
          <w:trHeight w:val="355"/>
          <w:jc w:val="center"/>
        </w:trPr>
        <w:tc>
          <w:tcPr>
            <w:tcW w:w="923" w:type="dxa"/>
            <w:tcBorders>
              <w:top w:val="nil"/>
              <w:left w:val="nil"/>
              <w:bottom w:val="nil"/>
              <w:right w:val="nil"/>
            </w:tcBorders>
          </w:tcPr>
          <w:p w14:paraId="2AD06A88" w14:textId="77777777" w:rsidR="00F507E4" w:rsidRPr="005A721A" w:rsidRDefault="00F507E4">
            <w:pPr>
              <w:spacing w:line="360" w:lineRule="auto"/>
              <w:jc w:val="both"/>
              <w:rPr>
                <w:rFonts w:ascii="Arial" w:hAnsi="Arial"/>
                <w:b/>
                <w:bCs/>
                <w:rtl/>
              </w:rPr>
            </w:pPr>
          </w:p>
        </w:tc>
        <w:tc>
          <w:tcPr>
            <w:tcW w:w="4126" w:type="dxa"/>
            <w:tcBorders>
              <w:top w:val="nil"/>
              <w:left w:val="nil"/>
              <w:bottom w:val="nil"/>
              <w:right w:val="nil"/>
            </w:tcBorders>
          </w:tcPr>
          <w:p w14:paraId="1893BAC6" w14:textId="77777777" w:rsidR="00F507E4" w:rsidRPr="005A721A" w:rsidRDefault="00F507E4">
            <w:pPr>
              <w:spacing w:line="360" w:lineRule="auto"/>
              <w:jc w:val="both"/>
              <w:rPr>
                <w:b/>
                <w:bCs/>
                <w:rtl/>
              </w:rPr>
            </w:pPr>
          </w:p>
        </w:tc>
        <w:tc>
          <w:tcPr>
            <w:tcW w:w="3771" w:type="dxa"/>
            <w:tcBorders>
              <w:top w:val="nil"/>
              <w:left w:val="nil"/>
              <w:bottom w:val="nil"/>
              <w:right w:val="nil"/>
            </w:tcBorders>
          </w:tcPr>
          <w:p w14:paraId="76710FD3" w14:textId="77777777" w:rsidR="00F507E4" w:rsidRPr="005A721A" w:rsidRDefault="005A721A">
            <w:pPr>
              <w:spacing w:line="360" w:lineRule="auto"/>
              <w:jc w:val="right"/>
              <w:rPr>
                <w:rFonts w:ascii="Arial" w:hAnsi="Arial"/>
                <w:b/>
                <w:bCs/>
                <w:rtl/>
              </w:rPr>
            </w:pPr>
            <w:r w:rsidRPr="005A721A">
              <w:rPr>
                <w:rFonts w:ascii="Arial" w:hAnsi="Arial" w:hint="cs"/>
                <w:b/>
                <w:bCs/>
                <w:rtl/>
              </w:rPr>
              <w:t>ה</w:t>
            </w:r>
            <w:r w:rsidRPr="005A721A">
              <w:rPr>
                <w:rFonts w:hint="cs"/>
                <w:b/>
                <w:bCs/>
                <w:rtl/>
              </w:rPr>
              <w:t>מאשימה</w:t>
            </w:r>
          </w:p>
        </w:tc>
      </w:tr>
      <w:tr w:rsidR="00F507E4" w:rsidRPr="005A721A" w14:paraId="7EF2B9FB" w14:textId="77777777">
        <w:trPr>
          <w:trHeight w:val="355"/>
          <w:jc w:val="center"/>
        </w:trPr>
        <w:tc>
          <w:tcPr>
            <w:tcW w:w="923" w:type="dxa"/>
            <w:tcBorders>
              <w:top w:val="nil"/>
              <w:left w:val="nil"/>
              <w:bottom w:val="nil"/>
              <w:right w:val="nil"/>
            </w:tcBorders>
          </w:tcPr>
          <w:p w14:paraId="3EFFCF24" w14:textId="77777777" w:rsidR="00F507E4" w:rsidRPr="005A721A" w:rsidRDefault="00F507E4">
            <w:pPr>
              <w:spacing w:line="360" w:lineRule="auto"/>
              <w:jc w:val="both"/>
              <w:rPr>
                <w:rFonts w:ascii="Arial" w:hAnsi="Arial"/>
                <w:b/>
                <w:bCs/>
                <w:rtl/>
              </w:rPr>
            </w:pPr>
          </w:p>
        </w:tc>
        <w:tc>
          <w:tcPr>
            <w:tcW w:w="7897" w:type="dxa"/>
            <w:gridSpan w:val="2"/>
            <w:tcBorders>
              <w:top w:val="nil"/>
              <w:left w:val="nil"/>
              <w:bottom w:val="nil"/>
              <w:right w:val="nil"/>
            </w:tcBorders>
          </w:tcPr>
          <w:p w14:paraId="76BA64F4" w14:textId="77777777" w:rsidR="00F507E4" w:rsidRPr="005A721A" w:rsidRDefault="00F507E4">
            <w:pPr>
              <w:spacing w:line="360" w:lineRule="auto"/>
              <w:jc w:val="center"/>
              <w:rPr>
                <w:rFonts w:ascii="Arial" w:hAnsi="Arial"/>
                <w:b/>
                <w:bCs/>
                <w:rtl/>
              </w:rPr>
            </w:pPr>
          </w:p>
          <w:p w14:paraId="67BFCC6A" w14:textId="77777777" w:rsidR="00F507E4" w:rsidRPr="005A721A" w:rsidRDefault="005A721A">
            <w:pPr>
              <w:spacing w:line="360" w:lineRule="auto"/>
              <w:jc w:val="center"/>
              <w:rPr>
                <w:rFonts w:ascii="Arial" w:hAnsi="Arial"/>
                <w:b/>
                <w:bCs/>
                <w:rtl/>
              </w:rPr>
            </w:pPr>
            <w:r w:rsidRPr="005A721A">
              <w:rPr>
                <w:rFonts w:ascii="Arial" w:hAnsi="Arial"/>
                <w:b/>
                <w:bCs/>
                <w:rtl/>
              </w:rPr>
              <w:t>נגד</w:t>
            </w:r>
          </w:p>
          <w:p w14:paraId="4411EE60" w14:textId="77777777" w:rsidR="00F507E4" w:rsidRPr="005A721A" w:rsidRDefault="00F507E4">
            <w:pPr>
              <w:spacing w:line="360" w:lineRule="auto"/>
              <w:jc w:val="both"/>
              <w:rPr>
                <w:rFonts w:ascii="Arial" w:hAnsi="Arial"/>
                <w:b/>
                <w:bCs/>
              </w:rPr>
            </w:pPr>
          </w:p>
        </w:tc>
      </w:tr>
      <w:tr w:rsidR="00F507E4" w:rsidRPr="005A721A" w14:paraId="35F7DBC9" w14:textId="77777777">
        <w:trPr>
          <w:trHeight w:val="355"/>
          <w:jc w:val="center"/>
        </w:trPr>
        <w:tc>
          <w:tcPr>
            <w:tcW w:w="923" w:type="dxa"/>
            <w:tcBorders>
              <w:top w:val="nil"/>
              <w:left w:val="nil"/>
              <w:bottom w:val="nil"/>
              <w:right w:val="nil"/>
            </w:tcBorders>
          </w:tcPr>
          <w:p w14:paraId="40D5BB9C" w14:textId="77777777" w:rsidR="00F507E4" w:rsidRPr="005A721A" w:rsidRDefault="00F507E4">
            <w:pPr>
              <w:spacing w:line="360" w:lineRule="auto"/>
              <w:jc w:val="both"/>
              <w:rPr>
                <w:rFonts w:ascii="Arial" w:hAnsi="Arial"/>
                <w:b/>
                <w:bCs/>
                <w:rtl/>
              </w:rPr>
            </w:pPr>
          </w:p>
        </w:tc>
        <w:tc>
          <w:tcPr>
            <w:tcW w:w="4126" w:type="dxa"/>
            <w:tcBorders>
              <w:top w:val="nil"/>
              <w:left w:val="nil"/>
              <w:bottom w:val="nil"/>
              <w:right w:val="nil"/>
            </w:tcBorders>
          </w:tcPr>
          <w:p w14:paraId="628B1906" w14:textId="77777777" w:rsidR="00F507E4" w:rsidRPr="005A721A" w:rsidRDefault="005A721A">
            <w:pPr>
              <w:spacing w:line="360" w:lineRule="auto"/>
              <w:jc w:val="both"/>
              <w:rPr>
                <w:b/>
                <w:bCs/>
                <w:rtl/>
              </w:rPr>
            </w:pPr>
            <w:r w:rsidRPr="005A721A">
              <w:rPr>
                <w:rFonts w:hint="cs"/>
                <w:b/>
                <w:bCs/>
                <w:rtl/>
              </w:rPr>
              <w:t>מנחם חיים שרון</w:t>
            </w:r>
          </w:p>
        </w:tc>
        <w:tc>
          <w:tcPr>
            <w:tcW w:w="3771" w:type="dxa"/>
            <w:tcBorders>
              <w:top w:val="nil"/>
              <w:left w:val="nil"/>
              <w:bottom w:val="nil"/>
              <w:right w:val="nil"/>
            </w:tcBorders>
          </w:tcPr>
          <w:p w14:paraId="0D4BF4B7" w14:textId="77777777" w:rsidR="00F507E4" w:rsidRPr="005A721A" w:rsidRDefault="00F507E4">
            <w:pPr>
              <w:spacing w:line="360" w:lineRule="auto"/>
              <w:jc w:val="right"/>
              <w:rPr>
                <w:rFonts w:ascii="Arial" w:hAnsi="Arial"/>
                <w:b/>
                <w:bCs/>
              </w:rPr>
            </w:pPr>
          </w:p>
        </w:tc>
      </w:tr>
      <w:tr w:rsidR="00F507E4" w:rsidRPr="005A721A" w14:paraId="0C5E6F90" w14:textId="77777777">
        <w:trPr>
          <w:trHeight w:val="355"/>
          <w:jc w:val="center"/>
        </w:trPr>
        <w:tc>
          <w:tcPr>
            <w:tcW w:w="923" w:type="dxa"/>
            <w:tcBorders>
              <w:top w:val="nil"/>
              <w:left w:val="nil"/>
              <w:bottom w:val="nil"/>
              <w:right w:val="nil"/>
            </w:tcBorders>
          </w:tcPr>
          <w:p w14:paraId="00B7768E" w14:textId="77777777" w:rsidR="00F507E4" w:rsidRPr="005A721A" w:rsidRDefault="00F507E4">
            <w:pPr>
              <w:spacing w:line="360" w:lineRule="auto"/>
              <w:jc w:val="both"/>
              <w:rPr>
                <w:rFonts w:ascii="Arial" w:hAnsi="Arial"/>
                <w:b/>
                <w:bCs/>
                <w:rtl/>
              </w:rPr>
            </w:pPr>
          </w:p>
        </w:tc>
        <w:tc>
          <w:tcPr>
            <w:tcW w:w="4126" w:type="dxa"/>
            <w:tcBorders>
              <w:top w:val="nil"/>
              <w:left w:val="nil"/>
              <w:bottom w:val="nil"/>
              <w:right w:val="nil"/>
            </w:tcBorders>
          </w:tcPr>
          <w:p w14:paraId="194BD278" w14:textId="77777777" w:rsidR="00F507E4" w:rsidRPr="005A721A" w:rsidRDefault="005A721A">
            <w:pPr>
              <w:spacing w:line="360" w:lineRule="auto"/>
              <w:jc w:val="both"/>
              <w:rPr>
                <w:b/>
                <w:bCs/>
                <w:rtl/>
              </w:rPr>
            </w:pPr>
            <w:r w:rsidRPr="005A721A">
              <w:rPr>
                <w:rFonts w:hint="cs"/>
                <w:b/>
                <w:bCs/>
                <w:rtl/>
              </w:rPr>
              <w:t xml:space="preserve">ע"י עו"ד זוהר משה </w:t>
            </w:r>
          </w:p>
        </w:tc>
        <w:tc>
          <w:tcPr>
            <w:tcW w:w="3771" w:type="dxa"/>
            <w:tcBorders>
              <w:top w:val="nil"/>
              <w:left w:val="nil"/>
              <w:bottom w:val="nil"/>
              <w:right w:val="nil"/>
            </w:tcBorders>
          </w:tcPr>
          <w:p w14:paraId="0CD617DF" w14:textId="77777777" w:rsidR="00F507E4" w:rsidRPr="005A721A" w:rsidRDefault="005A721A">
            <w:pPr>
              <w:spacing w:line="360" w:lineRule="auto"/>
              <w:jc w:val="right"/>
              <w:rPr>
                <w:rFonts w:ascii="Arial" w:hAnsi="Arial"/>
                <w:b/>
                <w:bCs/>
              </w:rPr>
            </w:pPr>
            <w:r w:rsidRPr="005A721A">
              <w:rPr>
                <w:rFonts w:ascii="Arial" w:hAnsi="Arial" w:hint="cs"/>
                <w:b/>
                <w:bCs/>
                <w:rtl/>
              </w:rPr>
              <w:t>ה</w:t>
            </w:r>
            <w:r w:rsidRPr="005A721A">
              <w:rPr>
                <w:rFonts w:hint="cs"/>
                <w:b/>
                <w:bCs/>
                <w:rtl/>
              </w:rPr>
              <w:t>נאשם</w:t>
            </w:r>
          </w:p>
        </w:tc>
      </w:tr>
      <w:tr w:rsidR="00F507E4" w14:paraId="6BF6C02C" w14:textId="77777777">
        <w:trPr>
          <w:trHeight w:val="355"/>
          <w:jc w:val="center"/>
        </w:trPr>
        <w:tc>
          <w:tcPr>
            <w:tcW w:w="8820" w:type="dxa"/>
            <w:gridSpan w:val="3"/>
            <w:tcBorders>
              <w:top w:val="nil"/>
              <w:left w:val="nil"/>
              <w:bottom w:val="nil"/>
              <w:right w:val="nil"/>
            </w:tcBorders>
          </w:tcPr>
          <w:p w14:paraId="1DEAA338" w14:textId="77777777" w:rsidR="005A721A" w:rsidRPr="005A721A" w:rsidRDefault="005A721A" w:rsidP="005A721A">
            <w:pPr>
              <w:spacing w:line="360" w:lineRule="auto"/>
              <w:jc w:val="center"/>
              <w:rPr>
                <w:rFonts w:ascii="Arial" w:hAnsi="Arial"/>
                <w:b/>
                <w:bCs/>
                <w:u w:val="single"/>
                <w:rtl/>
              </w:rPr>
            </w:pPr>
            <w:bookmarkStart w:id="3" w:name="PsakDin" w:colFirst="0" w:colLast="0"/>
            <w:bookmarkEnd w:id="0"/>
            <w:r w:rsidRPr="005A721A">
              <w:rPr>
                <w:rFonts w:ascii="Arial" w:hAnsi="Arial"/>
                <w:b/>
                <w:bCs/>
                <w:u w:val="single"/>
                <w:rtl/>
              </w:rPr>
              <w:t>גזר דין</w:t>
            </w:r>
          </w:p>
          <w:p w14:paraId="4D846A81" w14:textId="77777777" w:rsidR="00F507E4" w:rsidRPr="005A721A" w:rsidRDefault="00F507E4" w:rsidP="005A721A">
            <w:pPr>
              <w:spacing w:line="360" w:lineRule="auto"/>
              <w:jc w:val="center"/>
              <w:rPr>
                <w:rFonts w:ascii="Arial" w:hAnsi="Arial"/>
                <w:b/>
                <w:bCs/>
                <w:u w:val="single"/>
                <w:rtl/>
              </w:rPr>
            </w:pPr>
          </w:p>
        </w:tc>
      </w:tr>
      <w:bookmarkEnd w:id="3"/>
    </w:tbl>
    <w:p w14:paraId="74375051" w14:textId="77777777" w:rsidR="00F507E4" w:rsidRDefault="00F507E4">
      <w:pPr>
        <w:spacing w:line="360" w:lineRule="auto"/>
        <w:rPr>
          <w:rFonts w:ascii="Arial" w:hAnsi="Arial"/>
          <w:b/>
          <w:bCs/>
          <w:rtl/>
        </w:rPr>
      </w:pPr>
    </w:p>
    <w:p w14:paraId="091128D8" w14:textId="77777777" w:rsidR="00F507E4" w:rsidRDefault="005A721A">
      <w:pPr>
        <w:spacing w:line="360" w:lineRule="auto"/>
        <w:rPr>
          <w:b/>
          <w:bCs/>
          <w:rtl/>
        </w:rPr>
      </w:pPr>
      <w:bookmarkStart w:id="4" w:name="ABSTRACT_START"/>
      <w:bookmarkEnd w:id="4"/>
      <w:r>
        <w:rPr>
          <w:rFonts w:hint="cs"/>
          <w:b/>
          <w:bCs/>
          <w:rtl/>
        </w:rPr>
        <w:t xml:space="preserve">לאחר ניהול הליך של הוכחות הורשע הנאשם בעבירה של החזקת סמים שלא לצריכה עצמית וכן בהחזקת כלים לשימוש בסמים. </w:t>
      </w:r>
    </w:p>
    <w:p w14:paraId="72588BDB" w14:textId="77777777" w:rsidR="00F507E4" w:rsidRDefault="005A721A">
      <w:pPr>
        <w:spacing w:line="360" w:lineRule="auto"/>
        <w:rPr>
          <w:b/>
          <w:bCs/>
          <w:rtl/>
        </w:rPr>
      </w:pPr>
      <w:bookmarkStart w:id="5" w:name="ABSTRACT_END"/>
      <w:bookmarkEnd w:id="5"/>
      <w:r>
        <w:rPr>
          <w:rFonts w:hint="cs"/>
          <w:b/>
          <w:bCs/>
          <w:rtl/>
        </w:rPr>
        <w:t>תמצית העובדות אשר פורטו בהרחבה הכרעת הדין הן כי בתאריך 20/2/11 בוצע חיפוש בחדרו של הנאשם ובו נמצאה קופסה מלאה בזרעי קנביס, שהוא סם מסוכן במשקל של 100 גרם וכן נמצאו בחדרו כלים המשמשים לצריכת סמים.</w:t>
      </w:r>
    </w:p>
    <w:p w14:paraId="49FA42E6" w14:textId="77777777" w:rsidR="00F507E4" w:rsidRDefault="00F507E4">
      <w:pPr>
        <w:spacing w:line="360" w:lineRule="auto"/>
        <w:rPr>
          <w:b/>
          <w:bCs/>
          <w:rtl/>
        </w:rPr>
      </w:pPr>
    </w:p>
    <w:p w14:paraId="20E55297" w14:textId="77777777" w:rsidR="00F507E4" w:rsidRDefault="005A721A">
      <w:pPr>
        <w:spacing w:line="360" w:lineRule="auto"/>
        <w:rPr>
          <w:b/>
          <w:bCs/>
          <w:rtl/>
        </w:rPr>
      </w:pPr>
      <w:r>
        <w:rPr>
          <w:rFonts w:hint="cs"/>
          <w:b/>
          <w:bCs/>
          <w:rtl/>
        </w:rPr>
        <w:t>לאחר הרשעתו הופנה הנאשם אל שירות המבחן וניתנו בעניינו שלושה תסקירים.</w:t>
      </w:r>
    </w:p>
    <w:p w14:paraId="189E26F3" w14:textId="77777777" w:rsidR="00F507E4" w:rsidRDefault="00F507E4">
      <w:pPr>
        <w:spacing w:line="360" w:lineRule="auto"/>
        <w:rPr>
          <w:b/>
          <w:bCs/>
          <w:rtl/>
        </w:rPr>
      </w:pPr>
    </w:p>
    <w:p w14:paraId="064905AF" w14:textId="77777777" w:rsidR="00F507E4" w:rsidRDefault="005A721A">
      <w:pPr>
        <w:spacing w:line="360" w:lineRule="auto"/>
        <w:rPr>
          <w:b/>
          <w:bCs/>
          <w:rtl/>
        </w:rPr>
      </w:pPr>
      <w:r>
        <w:rPr>
          <w:rFonts w:hint="cs"/>
          <w:b/>
          <w:bCs/>
          <w:rtl/>
        </w:rPr>
        <w:t>בתסקיר הראשון אשר ניתן ביום 30/4/12 צויין כי הנאשם הינו רווק, נעדר עבר פלילי,  העובד בחנות נעליים.</w:t>
      </w:r>
    </w:p>
    <w:p w14:paraId="3A6BB00A" w14:textId="77777777" w:rsidR="00F507E4" w:rsidRDefault="005A721A">
      <w:pPr>
        <w:spacing w:line="360" w:lineRule="auto"/>
        <w:rPr>
          <w:b/>
          <w:bCs/>
          <w:rtl/>
        </w:rPr>
      </w:pPr>
      <w:r>
        <w:rPr>
          <w:rFonts w:hint="cs"/>
          <w:b/>
          <w:bCs/>
          <w:rtl/>
        </w:rPr>
        <w:t xml:space="preserve">לקרא תום הלימודים בתיכון ועל רקע מחלתה של אימו החל להשתמש בסמים. הוא סיים שירות צבאי מלא לאחר מכן עבד בעבודות מזדמנות. </w:t>
      </w:r>
    </w:p>
    <w:p w14:paraId="504D4294" w14:textId="77777777" w:rsidR="00F507E4" w:rsidRDefault="005A721A">
      <w:pPr>
        <w:spacing w:line="360" w:lineRule="auto"/>
        <w:rPr>
          <w:b/>
          <w:bCs/>
          <w:rtl/>
        </w:rPr>
      </w:pPr>
      <w:r>
        <w:rPr>
          <w:rFonts w:hint="cs"/>
          <w:b/>
          <w:bCs/>
          <w:rtl/>
        </w:rPr>
        <w:t>הנאשם הודה חלקית באשר יוחס לו ולטענתו הסמים שנמצאו אצלו נקנו על ידיו לשימוש עצמי. הוא ציין כי חדל משימוש בסמים לאחר מעצרו ואכן שתי בדיקות שתן שמסר נמצאו נקיות מסמים.</w:t>
      </w:r>
    </w:p>
    <w:p w14:paraId="3F000487" w14:textId="77777777" w:rsidR="00F507E4" w:rsidRDefault="005A721A">
      <w:pPr>
        <w:spacing w:line="360" w:lineRule="auto"/>
        <w:rPr>
          <w:b/>
          <w:bCs/>
          <w:rtl/>
        </w:rPr>
      </w:pPr>
      <w:r>
        <w:rPr>
          <w:rFonts w:hint="cs"/>
          <w:b/>
          <w:bCs/>
          <w:rtl/>
        </w:rPr>
        <w:t xml:space="preserve">שירות המבחן התרשם כי מדובר בצעיר שבגיל צעיר התקשה להתמודד עם אבדן ובחר בדרך של שימוש בסמים וכי עתה הוא מעוניין להשתלב בלימודים אקדמאיים. </w:t>
      </w:r>
    </w:p>
    <w:p w14:paraId="7EBA83EF" w14:textId="77777777" w:rsidR="00F507E4" w:rsidRDefault="005A721A">
      <w:pPr>
        <w:spacing w:line="360" w:lineRule="auto"/>
        <w:rPr>
          <w:b/>
          <w:bCs/>
          <w:rtl/>
        </w:rPr>
      </w:pPr>
      <w:r>
        <w:rPr>
          <w:rFonts w:hint="cs"/>
          <w:b/>
          <w:bCs/>
          <w:rtl/>
        </w:rPr>
        <w:lastRenderedPageBreak/>
        <w:t>שירות המבחן התרשם מנזקקות טיפולית והנאשם הביע נכונות להשתלב בכזה. על כן ביקש שירות המבחן ארכה לבחינת שיתוף הפעולה של הנאשם .</w:t>
      </w:r>
    </w:p>
    <w:p w14:paraId="5464604F" w14:textId="77777777" w:rsidR="00F507E4" w:rsidRDefault="00F507E4">
      <w:pPr>
        <w:spacing w:line="360" w:lineRule="auto"/>
        <w:rPr>
          <w:b/>
          <w:bCs/>
          <w:rtl/>
        </w:rPr>
      </w:pPr>
    </w:p>
    <w:p w14:paraId="29CF9389" w14:textId="77777777" w:rsidR="00F507E4" w:rsidRDefault="005A721A">
      <w:pPr>
        <w:spacing w:line="360" w:lineRule="auto"/>
        <w:rPr>
          <w:b/>
          <w:bCs/>
          <w:rtl/>
        </w:rPr>
      </w:pPr>
      <w:r>
        <w:rPr>
          <w:rFonts w:hint="cs"/>
          <w:b/>
          <w:bCs/>
          <w:rtl/>
        </w:rPr>
        <w:t>ארכה זו ניתנה ותסקיר שני של שירות המבחן ניתן ביום 27/6/12 ובו נאמר כי הנאשם אכן השתלב בקבוצת טיפול המיועדת למכורים נקיים  וכי הנאשם משתף פעולה במסגרת קבוצה זו ועושה מאמץ לבחון דרך התנהלותו ולרכוש כלים בונים ומקדמים עבורו.</w:t>
      </w:r>
    </w:p>
    <w:p w14:paraId="1B5BCAA2" w14:textId="77777777" w:rsidR="00F507E4" w:rsidRDefault="005A721A">
      <w:pPr>
        <w:spacing w:line="360" w:lineRule="auto"/>
        <w:rPr>
          <w:b/>
          <w:bCs/>
          <w:rtl/>
        </w:rPr>
      </w:pPr>
      <w:r>
        <w:rPr>
          <w:rFonts w:hint="cs"/>
          <w:b/>
          <w:bCs/>
          <w:rtl/>
        </w:rPr>
        <w:t>לאור כך המליץ שירות המבחן להטיל עליו עונש שלא יפגע בתהליך הטיפול אותו הוא עובר ולהטיל עליו צו מבחן למשך שנה וכן של"צ.</w:t>
      </w:r>
    </w:p>
    <w:p w14:paraId="2B7976DA" w14:textId="77777777" w:rsidR="00F507E4" w:rsidRDefault="00F507E4">
      <w:pPr>
        <w:spacing w:line="360" w:lineRule="auto"/>
        <w:rPr>
          <w:b/>
          <w:bCs/>
          <w:rtl/>
        </w:rPr>
      </w:pPr>
    </w:p>
    <w:p w14:paraId="6DD16667" w14:textId="77777777" w:rsidR="00F507E4" w:rsidRDefault="005A721A">
      <w:pPr>
        <w:spacing w:line="360" w:lineRule="auto"/>
        <w:rPr>
          <w:b/>
          <w:bCs/>
          <w:rtl/>
        </w:rPr>
      </w:pPr>
      <w:r>
        <w:rPr>
          <w:rFonts w:hint="cs"/>
          <w:b/>
          <w:bCs/>
          <w:rtl/>
        </w:rPr>
        <w:t xml:space="preserve">ב"כ הנאשם הדגיש לאחר קבלת תסקיר זה כי לב הענין בבקשת התסקיר היה שאלת אי ההרשעה אליה לא התייחס שירות המבחן בתסקירו. הוא ציין כי מאחר שהנאשם עבר קורס ובחינה לקבלת רישיון לתיווך במקרקעין, הרי שהרשעה תפגע בעתידו. על כן ביקש מתן ארכה נוספת לשירות המבחן על מנת שיבחן סוגיה זו. </w:t>
      </w:r>
    </w:p>
    <w:p w14:paraId="15527C20" w14:textId="77777777" w:rsidR="00F507E4" w:rsidRDefault="00F507E4">
      <w:pPr>
        <w:spacing w:line="360" w:lineRule="auto"/>
        <w:rPr>
          <w:b/>
          <w:bCs/>
          <w:rtl/>
        </w:rPr>
      </w:pPr>
    </w:p>
    <w:p w14:paraId="18709119" w14:textId="77777777" w:rsidR="00F507E4" w:rsidRDefault="005A721A">
      <w:pPr>
        <w:spacing w:line="360" w:lineRule="auto"/>
        <w:rPr>
          <w:b/>
          <w:bCs/>
          <w:rtl/>
        </w:rPr>
      </w:pPr>
      <w:r>
        <w:rPr>
          <w:rFonts w:hint="cs"/>
          <w:b/>
          <w:bCs/>
          <w:rtl/>
        </w:rPr>
        <w:t>הנאשם הופנה בשלישית אל שירות המבחן ותסקירו האחרון ניתן ביום 12/9/12. שירות המבחן ציין כי הנאשם עבר את הטיפול בשיתוף פעולה שלו וכן צין בפני שירות המבחן כי עבר בהצלחה את הבחינה לקבלת רישיון לתיווך  במקרקעין  וכי הוא מבקש להשתלב בתחום זה וחושש כי הרשעה תפגע בכך.</w:t>
      </w:r>
    </w:p>
    <w:p w14:paraId="317B2BC6" w14:textId="77777777" w:rsidR="00F507E4" w:rsidRDefault="00F507E4">
      <w:pPr>
        <w:spacing w:line="360" w:lineRule="auto"/>
        <w:rPr>
          <w:b/>
          <w:bCs/>
          <w:rtl/>
        </w:rPr>
      </w:pPr>
    </w:p>
    <w:p w14:paraId="5D4B0D8A" w14:textId="77777777" w:rsidR="00F507E4" w:rsidRDefault="005A721A">
      <w:pPr>
        <w:spacing w:line="360" w:lineRule="auto"/>
        <w:rPr>
          <w:b/>
          <w:bCs/>
          <w:rtl/>
        </w:rPr>
      </w:pPr>
      <w:r>
        <w:rPr>
          <w:rFonts w:hint="cs"/>
          <w:b/>
          <w:bCs/>
          <w:rtl/>
        </w:rPr>
        <w:t xml:space="preserve">שירות המבחן סבור כי לאור כך שמדובר בבחור צעיר נעדר עבר פלילי בעל התנהגות נורמטיבית בדרך כלל והעבירה הינה חריגה לאורחותיו והוא נטל אחריות על דפוס השימוש בסמים והפסיק את צריכת הסמים, הרי שיש להימנע מהרשעתו בדין. </w:t>
      </w:r>
    </w:p>
    <w:p w14:paraId="23535355" w14:textId="77777777" w:rsidR="00F507E4" w:rsidRDefault="00F507E4">
      <w:pPr>
        <w:spacing w:line="360" w:lineRule="auto"/>
        <w:rPr>
          <w:b/>
          <w:bCs/>
          <w:rtl/>
        </w:rPr>
      </w:pPr>
    </w:p>
    <w:p w14:paraId="4EB0A272" w14:textId="77777777" w:rsidR="00F507E4" w:rsidRDefault="005A721A">
      <w:pPr>
        <w:spacing w:line="360" w:lineRule="auto"/>
        <w:rPr>
          <w:b/>
          <w:bCs/>
          <w:rtl/>
        </w:rPr>
      </w:pPr>
      <w:r>
        <w:rPr>
          <w:rFonts w:hint="cs"/>
          <w:b/>
          <w:bCs/>
          <w:rtl/>
        </w:rPr>
        <w:t>התביעה הדגישה כי מדובר בכמות לא מבוטלת של סמים  והגם שמדובר בזרעי הקנביס הרי שמדובר בסם לכל דבר וענין וכי מדובר בנגע אשר שומה להילחם בו.  אין להתעלם מטיב הציוד ומהותו אשר נתפס בביתו של הנאשם לצד אותם זרעי סם.</w:t>
      </w:r>
    </w:p>
    <w:p w14:paraId="6954BC97" w14:textId="77777777" w:rsidR="00F507E4" w:rsidRDefault="005A721A">
      <w:pPr>
        <w:spacing w:line="360" w:lineRule="auto"/>
        <w:rPr>
          <w:b/>
          <w:bCs/>
          <w:rtl/>
        </w:rPr>
      </w:pPr>
      <w:r>
        <w:rPr>
          <w:rFonts w:hint="cs"/>
          <w:b/>
          <w:bCs/>
          <w:rtl/>
        </w:rPr>
        <w:t xml:space="preserve">התביעה שבה והדגישה כי מדובר בכמות סם שאינה לצריכה עצמית על כל המשתמע מכך. </w:t>
      </w:r>
    </w:p>
    <w:p w14:paraId="72D3CA23" w14:textId="77777777" w:rsidR="00F507E4" w:rsidRDefault="005A721A">
      <w:pPr>
        <w:spacing w:line="360" w:lineRule="auto"/>
        <w:rPr>
          <w:b/>
          <w:bCs/>
          <w:rtl/>
        </w:rPr>
      </w:pPr>
      <w:r>
        <w:rPr>
          <w:rFonts w:hint="cs"/>
          <w:b/>
          <w:bCs/>
          <w:rtl/>
        </w:rPr>
        <w:t>על כן עתרה התביעה להטיל על הנאשם עונש מאסר בפועל שיכול וירוצה בעבודות שירות ובצידו מאסר מותנה.</w:t>
      </w:r>
    </w:p>
    <w:p w14:paraId="41FEA663" w14:textId="77777777" w:rsidR="00F507E4" w:rsidRDefault="005A721A">
      <w:pPr>
        <w:spacing w:line="360" w:lineRule="auto"/>
        <w:rPr>
          <w:b/>
          <w:bCs/>
          <w:rtl/>
        </w:rPr>
      </w:pPr>
      <w:r>
        <w:rPr>
          <w:rFonts w:hint="cs"/>
          <w:b/>
          <w:bCs/>
          <w:rtl/>
        </w:rPr>
        <w:t xml:space="preserve">כתימוכין לטיעוניה הציגה התביעה פסיקה. </w:t>
      </w:r>
    </w:p>
    <w:p w14:paraId="6141FF9A" w14:textId="77777777" w:rsidR="00F507E4" w:rsidRDefault="00F507E4">
      <w:pPr>
        <w:spacing w:line="360" w:lineRule="auto"/>
        <w:rPr>
          <w:b/>
          <w:bCs/>
          <w:rtl/>
        </w:rPr>
      </w:pPr>
    </w:p>
    <w:p w14:paraId="3BF79668" w14:textId="77777777" w:rsidR="00F507E4" w:rsidRDefault="005A721A">
      <w:pPr>
        <w:spacing w:line="360" w:lineRule="auto"/>
        <w:rPr>
          <w:b/>
          <w:bCs/>
          <w:rtl/>
        </w:rPr>
      </w:pPr>
      <w:r>
        <w:rPr>
          <w:rFonts w:hint="cs"/>
          <w:b/>
          <w:bCs/>
          <w:rtl/>
        </w:rPr>
        <w:t>ב"כ הנאשם עתר לקבל את המלצות שירות המבחן.</w:t>
      </w:r>
    </w:p>
    <w:p w14:paraId="2451D6FE" w14:textId="77777777" w:rsidR="00F507E4" w:rsidRDefault="005A721A">
      <w:pPr>
        <w:spacing w:line="360" w:lineRule="auto"/>
        <w:rPr>
          <w:b/>
          <w:bCs/>
          <w:rtl/>
        </w:rPr>
      </w:pPr>
      <w:r>
        <w:rPr>
          <w:rFonts w:hint="cs"/>
          <w:b/>
          <w:bCs/>
          <w:rtl/>
        </w:rPr>
        <w:t xml:space="preserve">הוא הדגיש את היותו של הנאשם נעדר עבר פלילי כלשהו ואת הטיפול שעבר הנאשם מאז הרשעתו וכי אף מאז לא נפתחו נגדו תיקים נוספים. </w:t>
      </w:r>
    </w:p>
    <w:p w14:paraId="72B1A57D" w14:textId="77777777" w:rsidR="00F507E4" w:rsidRDefault="005A721A">
      <w:pPr>
        <w:spacing w:line="360" w:lineRule="auto"/>
        <w:rPr>
          <w:b/>
          <w:bCs/>
          <w:rtl/>
        </w:rPr>
      </w:pPr>
      <w:r>
        <w:rPr>
          <w:rFonts w:hint="cs"/>
          <w:b/>
          <w:bCs/>
          <w:rtl/>
        </w:rPr>
        <w:lastRenderedPageBreak/>
        <w:t xml:space="preserve">מעבר לכך, היה ותישאר הרשעתו של הנאשם על כנה, כך טען בא כוחו, ייגרם לנאשם נזק בולט בשל שהוא לא יוכל לעסוק בתיווך מקרקעין מקצוע אותו רכש לאחרונה. </w:t>
      </w:r>
    </w:p>
    <w:p w14:paraId="242696BC" w14:textId="77777777" w:rsidR="00F507E4" w:rsidRDefault="005A721A">
      <w:pPr>
        <w:spacing w:line="360" w:lineRule="auto"/>
        <w:rPr>
          <w:b/>
          <w:bCs/>
          <w:rtl/>
        </w:rPr>
      </w:pPr>
      <w:r>
        <w:rPr>
          <w:rFonts w:hint="cs"/>
          <w:b/>
          <w:bCs/>
          <w:rtl/>
        </w:rPr>
        <w:t>אף ב"כ הנאשם תמך טיעוניו בפסיקה שהציג בפני ביהמ"ש.</w:t>
      </w:r>
    </w:p>
    <w:p w14:paraId="77717A8B" w14:textId="77777777" w:rsidR="00F507E4" w:rsidRDefault="00F507E4">
      <w:pPr>
        <w:spacing w:line="360" w:lineRule="auto"/>
        <w:rPr>
          <w:b/>
          <w:bCs/>
          <w:rtl/>
        </w:rPr>
      </w:pPr>
    </w:p>
    <w:p w14:paraId="577714F0" w14:textId="77777777" w:rsidR="00F507E4" w:rsidRDefault="005A721A">
      <w:pPr>
        <w:spacing w:line="360" w:lineRule="auto"/>
        <w:rPr>
          <w:b/>
          <w:bCs/>
          <w:rtl/>
        </w:rPr>
      </w:pPr>
      <w:r>
        <w:rPr>
          <w:rFonts w:hint="cs"/>
          <w:b/>
          <w:bCs/>
          <w:rtl/>
        </w:rPr>
        <w:t>הנאשם הורשע כאמור, בהחזקתם של זרעי קנביס במשקל כולל של מאה גרם, ומדובר בכמות שהיא כפי שבעה מהכמות הקבועה בחוק ככמות המוגדרת לצריכה עצמית.</w:t>
      </w:r>
    </w:p>
    <w:p w14:paraId="0E6B3181" w14:textId="77777777" w:rsidR="00F507E4" w:rsidRDefault="00F507E4">
      <w:pPr>
        <w:spacing w:line="360" w:lineRule="auto"/>
        <w:rPr>
          <w:b/>
          <w:bCs/>
          <w:rtl/>
        </w:rPr>
      </w:pPr>
    </w:p>
    <w:p w14:paraId="4156CE12" w14:textId="77777777" w:rsidR="00F507E4" w:rsidRDefault="005A721A">
      <w:pPr>
        <w:spacing w:line="360" w:lineRule="auto"/>
        <w:rPr>
          <w:b/>
          <w:bCs/>
          <w:rtl/>
        </w:rPr>
      </w:pPr>
      <w:r>
        <w:rPr>
          <w:rFonts w:hint="cs"/>
          <w:b/>
          <w:bCs/>
          <w:rtl/>
        </w:rPr>
        <w:t>אמנם שירות המבחן סבור כי הנאשם נטל אחריות על דפוסי התנהגותו ושינה מאורחות חייו, אך יצויין כי כל אלה לא באו לידי ביטוי בהליך הפלילי. הנאשם ניהל את ההליך הפלילי ואולם לא העיד במהלכו, כך שדבריו לא הובאו בהליך זה.</w:t>
      </w:r>
    </w:p>
    <w:p w14:paraId="3A2C68D3" w14:textId="77777777" w:rsidR="00F507E4" w:rsidRDefault="005A721A">
      <w:pPr>
        <w:spacing w:line="360" w:lineRule="auto"/>
        <w:rPr>
          <w:b/>
          <w:bCs/>
          <w:rtl/>
        </w:rPr>
      </w:pPr>
      <w:r>
        <w:rPr>
          <w:rFonts w:hint="cs"/>
          <w:b/>
          <w:bCs/>
          <w:rtl/>
        </w:rPr>
        <w:t>את הדברים שהביא בפני שירות המבחן הביא לאחר הרשעתו בדין ובטרם הטיעונים לעונש, וקשה היה להשתחרר מן הרושם כי יש קשר בין הדברים.</w:t>
      </w:r>
    </w:p>
    <w:p w14:paraId="54BE29CA" w14:textId="77777777" w:rsidR="00F507E4" w:rsidRDefault="00F507E4">
      <w:pPr>
        <w:spacing w:line="360" w:lineRule="auto"/>
        <w:rPr>
          <w:b/>
          <w:bCs/>
          <w:rtl/>
        </w:rPr>
      </w:pPr>
    </w:p>
    <w:p w14:paraId="1E55FAA2" w14:textId="77777777" w:rsidR="00F507E4" w:rsidRDefault="005A721A">
      <w:pPr>
        <w:spacing w:line="360" w:lineRule="auto"/>
        <w:rPr>
          <w:b/>
          <w:bCs/>
          <w:rtl/>
        </w:rPr>
      </w:pPr>
      <w:r>
        <w:rPr>
          <w:rFonts w:hint="cs"/>
          <w:b/>
          <w:bCs/>
          <w:rtl/>
        </w:rPr>
        <w:t xml:space="preserve">כך גם מעבר הקורס לתיווך במקרקעין נעשה בסמוך מאוד לסיום ההליך ולאחר הכרעת הדין, כמו גם לאחר הפנייתו אל שירות המבחן ולאחר שכבר ניתנו חלק מן התסקירים. </w:t>
      </w:r>
    </w:p>
    <w:p w14:paraId="637CE0EE" w14:textId="77777777" w:rsidR="00F507E4" w:rsidRDefault="00F507E4">
      <w:pPr>
        <w:spacing w:line="360" w:lineRule="auto"/>
        <w:rPr>
          <w:b/>
          <w:bCs/>
          <w:rtl/>
        </w:rPr>
      </w:pPr>
    </w:p>
    <w:p w14:paraId="48CE009F" w14:textId="77777777" w:rsidR="00F507E4" w:rsidRDefault="005A721A">
      <w:pPr>
        <w:spacing w:line="360" w:lineRule="auto"/>
        <w:rPr>
          <w:b/>
          <w:bCs/>
          <w:rtl/>
        </w:rPr>
      </w:pPr>
      <w:r>
        <w:rPr>
          <w:rFonts w:hint="cs"/>
          <w:b/>
          <w:bCs/>
          <w:rtl/>
        </w:rPr>
        <w:t>לא מצאתי כי נסיבות מקרה זה, של החזקת סם מסוכן בכמות כזו, בנסיבות המפורטות בהכרעת הדין באות בגדרם של המקרים החריגים ויוצאי הדופן בהם הגם שהוכח ביצועו של מעשה עבירה ניתן להימנע מהרשעתו של הנאשם, על פי המבחנים שנקבעו בהלכת כתב.</w:t>
      </w:r>
    </w:p>
    <w:p w14:paraId="21FABEC3" w14:textId="77777777" w:rsidR="00F507E4" w:rsidRDefault="00F507E4">
      <w:pPr>
        <w:spacing w:line="360" w:lineRule="auto"/>
        <w:rPr>
          <w:b/>
          <w:bCs/>
          <w:rtl/>
        </w:rPr>
      </w:pPr>
    </w:p>
    <w:p w14:paraId="2B750101" w14:textId="77777777" w:rsidR="00F507E4" w:rsidRDefault="005A721A">
      <w:pPr>
        <w:spacing w:line="360" w:lineRule="auto"/>
        <w:rPr>
          <w:b/>
          <w:bCs/>
          <w:rtl/>
        </w:rPr>
      </w:pPr>
      <w:r>
        <w:rPr>
          <w:rFonts w:hint="cs"/>
          <w:b/>
          <w:bCs/>
          <w:rtl/>
        </w:rPr>
        <w:t xml:space="preserve">אין מקרה זה נכנס בגדרם של המקרים החריגים הן מבחינת האינטרס הציבורי והן מבחינת הפגיעה האפשרית בעתידו של הנאשם, אשר לא הוכחה כלל ועיקר באופן קונקרטי, אלא נטענה באופן ערטילאי בלבד. </w:t>
      </w:r>
    </w:p>
    <w:p w14:paraId="42B445C0" w14:textId="77777777" w:rsidR="00F507E4" w:rsidRDefault="00F507E4">
      <w:pPr>
        <w:spacing w:line="360" w:lineRule="auto"/>
        <w:rPr>
          <w:b/>
          <w:bCs/>
          <w:rtl/>
        </w:rPr>
      </w:pPr>
    </w:p>
    <w:p w14:paraId="18E4AE0B" w14:textId="77777777" w:rsidR="00F507E4" w:rsidRDefault="005A721A">
      <w:pPr>
        <w:spacing w:line="360" w:lineRule="auto"/>
        <w:rPr>
          <w:b/>
          <w:bCs/>
          <w:rtl/>
        </w:rPr>
      </w:pPr>
      <w:r>
        <w:rPr>
          <w:rFonts w:hint="cs"/>
          <w:b/>
          <w:bCs/>
          <w:rtl/>
        </w:rPr>
        <w:t>על כן, תישאר הרשעתו של הנאשם על כנה.</w:t>
      </w:r>
    </w:p>
    <w:p w14:paraId="17F5A6ED" w14:textId="77777777" w:rsidR="00F507E4" w:rsidRDefault="005A721A">
      <w:pPr>
        <w:spacing w:line="360" w:lineRule="auto"/>
        <w:rPr>
          <w:b/>
          <w:bCs/>
          <w:rtl/>
        </w:rPr>
      </w:pPr>
      <w:r>
        <w:rPr>
          <w:rFonts w:hint="cs"/>
          <w:b/>
          <w:bCs/>
          <w:rtl/>
        </w:rPr>
        <w:t>ובאשר לעונש שיש לגזור על הנאשם.</w:t>
      </w:r>
    </w:p>
    <w:p w14:paraId="46119E26" w14:textId="77777777" w:rsidR="00F507E4" w:rsidRDefault="00F507E4">
      <w:pPr>
        <w:spacing w:line="360" w:lineRule="auto"/>
        <w:rPr>
          <w:b/>
          <w:bCs/>
          <w:rtl/>
        </w:rPr>
      </w:pPr>
    </w:p>
    <w:p w14:paraId="2CECFFA8" w14:textId="77777777" w:rsidR="00F507E4" w:rsidRDefault="005A721A">
      <w:pPr>
        <w:spacing w:line="360" w:lineRule="auto"/>
        <w:rPr>
          <w:b/>
          <w:bCs/>
          <w:rtl/>
        </w:rPr>
      </w:pPr>
      <w:r>
        <w:rPr>
          <w:rFonts w:hint="cs"/>
          <w:b/>
          <w:bCs/>
          <w:rtl/>
        </w:rPr>
        <w:t>שקלתי את נסיבות המקרה, כפי שפורטו לעיל ומנגד שקלתי כי אכן עשה הנאשם מאז צעדים לשינוי דרכיו, כפי שפורט בתסקירי שירות המבחן וכי הוא בחור צעיר המצוי בראשית חייו.</w:t>
      </w:r>
    </w:p>
    <w:p w14:paraId="1B18A06F" w14:textId="77777777" w:rsidR="00F507E4" w:rsidRDefault="00F507E4">
      <w:pPr>
        <w:spacing w:line="360" w:lineRule="auto"/>
        <w:rPr>
          <w:b/>
          <w:bCs/>
          <w:rtl/>
        </w:rPr>
      </w:pPr>
    </w:p>
    <w:p w14:paraId="1ACF71FB" w14:textId="77777777" w:rsidR="00F507E4" w:rsidRDefault="005A721A">
      <w:pPr>
        <w:spacing w:line="360" w:lineRule="auto"/>
        <w:rPr>
          <w:b/>
          <w:bCs/>
          <w:rtl/>
        </w:rPr>
      </w:pPr>
      <w:r>
        <w:rPr>
          <w:rFonts w:hint="cs"/>
          <w:b/>
          <w:bCs/>
          <w:rtl/>
        </w:rPr>
        <w:t>על כן, אני גוזרת על הנאשם שני חודשי מאסר לריצוי בפועל שירוצו בדרך של עבודות שירות, כפי שהתווה הממונה על עבודות השירות בחוות דעתו מיום  24/2/13.</w:t>
      </w:r>
    </w:p>
    <w:p w14:paraId="235471BE" w14:textId="77777777" w:rsidR="00F507E4" w:rsidRDefault="00F507E4">
      <w:pPr>
        <w:spacing w:line="360" w:lineRule="auto"/>
        <w:rPr>
          <w:b/>
          <w:bCs/>
          <w:rtl/>
        </w:rPr>
      </w:pPr>
    </w:p>
    <w:p w14:paraId="799C4B67" w14:textId="77777777" w:rsidR="00F507E4" w:rsidRDefault="005A721A">
      <w:pPr>
        <w:spacing w:line="360" w:lineRule="auto"/>
        <w:rPr>
          <w:b/>
          <w:bCs/>
          <w:rtl/>
        </w:rPr>
      </w:pPr>
      <w:r>
        <w:rPr>
          <w:rFonts w:hint="cs"/>
          <w:b/>
          <w:bCs/>
          <w:rtl/>
        </w:rPr>
        <w:t xml:space="preserve">עוד אני גוזרת על הנאשם שישה חודשי מאסר על תנאי למשך שלוש שנים לבל יעבור עבירה כלשהי לפי </w:t>
      </w:r>
      <w:hyperlink r:id="rId6" w:history="1">
        <w:r w:rsidRPr="005A721A">
          <w:rPr>
            <w:b/>
            <w:bCs/>
            <w:color w:val="0000FF"/>
            <w:u w:val="single"/>
            <w:rtl/>
          </w:rPr>
          <w:t>פקודת הסמים המסוכנים</w:t>
        </w:r>
      </w:hyperlink>
      <w:r>
        <w:rPr>
          <w:rFonts w:hint="cs"/>
          <w:b/>
          <w:bCs/>
          <w:rtl/>
        </w:rPr>
        <w:t>.</w:t>
      </w:r>
    </w:p>
    <w:p w14:paraId="7C05B642" w14:textId="77777777" w:rsidR="00F507E4" w:rsidRDefault="00F507E4">
      <w:pPr>
        <w:spacing w:line="360" w:lineRule="auto"/>
        <w:rPr>
          <w:b/>
          <w:bCs/>
          <w:rtl/>
        </w:rPr>
      </w:pPr>
    </w:p>
    <w:p w14:paraId="022E0E52" w14:textId="77777777" w:rsidR="00F507E4" w:rsidRDefault="005A721A">
      <w:pPr>
        <w:spacing w:line="360" w:lineRule="auto"/>
        <w:rPr>
          <w:b/>
          <w:bCs/>
          <w:rtl/>
        </w:rPr>
      </w:pPr>
      <w:r>
        <w:rPr>
          <w:rFonts w:hint="cs"/>
          <w:b/>
          <w:bCs/>
          <w:rtl/>
        </w:rPr>
        <w:t>הנאשם יתייצב לתחילת ריצוי עונשו ביום 10/4/13 בשעה 8.00 ביחידה לעבודות שירות במפקדת מחוז מרכז ברמלה. מובהר לנאשם כי עליו לעמוד בכל תנאי עבודות השירות ובביקורת הפתע שייערכו בהן. כל הפרה של תנאי מתנאי עבודות השירות תביא להפסקתן המנהלית ולריצוי העונש בדרך של כליאה ממשית.</w:t>
      </w:r>
    </w:p>
    <w:p w14:paraId="3BE81B82" w14:textId="77777777" w:rsidR="00F507E4" w:rsidRDefault="00F507E4">
      <w:pPr>
        <w:spacing w:line="360" w:lineRule="auto"/>
        <w:rPr>
          <w:b/>
          <w:bCs/>
          <w:rtl/>
        </w:rPr>
      </w:pPr>
    </w:p>
    <w:p w14:paraId="52741B27" w14:textId="77777777" w:rsidR="00F507E4" w:rsidRDefault="005A721A">
      <w:pPr>
        <w:spacing w:line="360" w:lineRule="auto"/>
        <w:rPr>
          <w:b/>
          <w:bCs/>
          <w:rtl/>
        </w:rPr>
      </w:pPr>
      <w:r>
        <w:rPr>
          <w:rFonts w:hint="cs"/>
          <w:b/>
          <w:bCs/>
          <w:rtl/>
        </w:rPr>
        <w:t xml:space="preserve">זרעי קנביס שנתפסו בחקירה זו וכן כלים להכנת סם </w:t>
      </w:r>
      <w:r>
        <w:rPr>
          <w:b/>
          <w:bCs/>
          <w:rtl/>
        </w:rPr>
        <w:t>–</w:t>
      </w:r>
      <w:r>
        <w:rPr>
          <w:rFonts w:hint="cs"/>
          <w:b/>
          <w:bCs/>
          <w:rtl/>
        </w:rPr>
        <w:t>יושמדו .</w:t>
      </w:r>
    </w:p>
    <w:p w14:paraId="4B42783D" w14:textId="77777777" w:rsidR="00F507E4" w:rsidRDefault="005A721A">
      <w:pPr>
        <w:spacing w:line="360" w:lineRule="auto"/>
        <w:rPr>
          <w:b/>
          <w:bCs/>
          <w:rtl/>
        </w:rPr>
      </w:pPr>
      <w:r>
        <w:rPr>
          <w:rFonts w:hint="cs"/>
          <w:b/>
          <w:bCs/>
          <w:rtl/>
        </w:rPr>
        <w:t xml:space="preserve">יתר המוצגים שנתפסו במהלך החקירה יעשה ע"פ שיקול דעתו של קצין משטרה כאשר אם מדובר בחפצים שהם פרטי ציוד אישי של הנאשם ואין להם כל קשר למעשה העבירה, יש להחזיר אותם לנאשם. </w:t>
      </w:r>
    </w:p>
    <w:p w14:paraId="500BAA87" w14:textId="77777777" w:rsidR="00F507E4" w:rsidRDefault="00F507E4">
      <w:pPr>
        <w:spacing w:line="360" w:lineRule="auto"/>
        <w:rPr>
          <w:b/>
          <w:bCs/>
          <w:rtl/>
        </w:rPr>
      </w:pPr>
    </w:p>
    <w:p w14:paraId="6A99EC3C" w14:textId="77777777" w:rsidR="00F507E4" w:rsidRDefault="005A721A">
      <w:pPr>
        <w:spacing w:line="360" w:lineRule="auto"/>
        <w:rPr>
          <w:b/>
          <w:bCs/>
          <w:rtl/>
        </w:rPr>
      </w:pPr>
      <w:r>
        <w:rPr>
          <w:rFonts w:hint="cs"/>
          <w:b/>
          <w:bCs/>
          <w:rtl/>
        </w:rPr>
        <w:t>עותק גזר הדין יועבר לממונה על עבודות שירות .</w:t>
      </w:r>
    </w:p>
    <w:p w14:paraId="2E08A8EB" w14:textId="77777777" w:rsidR="00F507E4" w:rsidRDefault="00F507E4">
      <w:pPr>
        <w:spacing w:line="360" w:lineRule="auto"/>
        <w:rPr>
          <w:b/>
          <w:bCs/>
          <w:rtl/>
        </w:rPr>
      </w:pPr>
    </w:p>
    <w:p w14:paraId="1D450129" w14:textId="77777777" w:rsidR="00F507E4" w:rsidRDefault="005A721A">
      <w:pPr>
        <w:spacing w:line="360" w:lineRule="auto"/>
        <w:rPr>
          <w:b/>
          <w:bCs/>
          <w:rtl/>
        </w:rPr>
      </w:pPr>
      <w:r>
        <w:rPr>
          <w:rFonts w:hint="cs"/>
          <w:b/>
          <w:bCs/>
          <w:rtl/>
        </w:rPr>
        <w:t xml:space="preserve">בתיק </w:t>
      </w:r>
      <w:hyperlink r:id="rId7" w:history="1">
        <w:r w:rsidRPr="005A721A">
          <w:rPr>
            <w:b/>
            <w:bCs/>
            <w:color w:val="0000FF"/>
            <w:u w:val="single"/>
            <w:rtl/>
          </w:rPr>
          <w:t>מ"ת 45720-02-11</w:t>
        </w:r>
      </w:hyperlink>
      <w:r>
        <w:rPr>
          <w:rFonts w:hint="cs"/>
          <w:b/>
          <w:bCs/>
          <w:rtl/>
        </w:rPr>
        <w:t xml:space="preserve"> הופקד במהלך ההליך סכום של 3.500 ₪ -יש להחזיר סכום זה למר יעקב שרון ת.ז 030406326. </w:t>
      </w:r>
      <w:bookmarkStart w:id="6" w:name="_GoBack"/>
      <w:bookmarkEnd w:id="6"/>
    </w:p>
    <w:p w14:paraId="7B4A47CD" w14:textId="77777777" w:rsidR="00F507E4" w:rsidRDefault="00F507E4">
      <w:pPr>
        <w:spacing w:line="360" w:lineRule="auto"/>
        <w:rPr>
          <w:b/>
          <w:bCs/>
          <w:rtl/>
        </w:rPr>
      </w:pPr>
    </w:p>
    <w:p w14:paraId="6BB16F5E" w14:textId="77777777" w:rsidR="00F507E4" w:rsidRDefault="005A721A">
      <w:pPr>
        <w:spacing w:line="360" w:lineRule="auto"/>
        <w:rPr>
          <w:b/>
          <w:bCs/>
          <w:rtl/>
        </w:rPr>
      </w:pPr>
      <w:r>
        <w:rPr>
          <w:rFonts w:hint="cs"/>
          <w:b/>
          <w:bCs/>
          <w:rtl/>
        </w:rPr>
        <w:t>זכות ערעור כחוק.</w:t>
      </w:r>
    </w:p>
    <w:p w14:paraId="110A5892" w14:textId="77777777" w:rsidR="00F507E4" w:rsidRPr="005A721A" w:rsidRDefault="005A721A">
      <w:pPr>
        <w:spacing w:line="360" w:lineRule="auto"/>
        <w:rPr>
          <w:b/>
          <w:bCs/>
          <w:color w:val="FFFFFF"/>
          <w:sz w:val="2"/>
          <w:szCs w:val="2"/>
          <w:rtl/>
        </w:rPr>
      </w:pPr>
      <w:r w:rsidRPr="005A721A">
        <w:rPr>
          <w:b/>
          <w:bCs/>
          <w:color w:val="FFFFFF"/>
          <w:sz w:val="2"/>
          <w:szCs w:val="2"/>
          <w:rtl/>
        </w:rPr>
        <w:t>5129371</w:t>
      </w:r>
    </w:p>
    <w:p w14:paraId="54F49069" w14:textId="77777777" w:rsidR="00F507E4" w:rsidRDefault="000E3142">
      <w:pPr>
        <w:spacing w:line="360" w:lineRule="auto"/>
        <w:rPr>
          <w:b/>
          <w:bCs/>
          <w:rtl/>
        </w:rPr>
      </w:pPr>
      <w:r w:rsidRPr="000E3142">
        <w:rPr>
          <w:rFonts w:ascii="Arial" w:hAnsi="Arial"/>
          <w:b/>
          <w:bCs/>
          <w:color w:val="FFFFFF"/>
          <w:sz w:val="2"/>
          <w:szCs w:val="2"/>
          <w:rtl/>
        </w:rPr>
        <w:t>5129371</w:t>
      </w:r>
      <w:r w:rsidR="005A721A" w:rsidRPr="005A721A">
        <w:rPr>
          <w:rFonts w:ascii="Arial" w:hAnsi="Arial"/>
          <w:b/>
          <w:bCs/>
          <w:color w:val="FFFFFF"/>
          <w:sz w:val="2"/>
          <w:szCs w:val="2"/>
          <w:rtl/>
        </w:rPr>
        <w:t>54678313</w:t>
      </w:r>
      <w:r w:rsidR="005A721A">
        <w:rPr>
          <w:rFonts w:ascii="Arial" w:hAnsi="Arial"/>
          <w:b/>
          <w:bCs/>
          <w:rtl/>
        </w:rPr>
        <w:t xml:space="preserve">ניתן היום,  ט"ז אדר תשע"ג, 26 פברואר 2013, במעמד הצדדים. </w:t>
      </w:r>
    </w:p>
    <w:p w14:paraId="4554EEE6" w14:textId="77777777" w:rsidR="005A721A" w:rsidRPr="000E3142" w:rsidRDefault="000E3142" w:rsidP="005A721A">
      <w:pPr>
        <w:keepNext/>
        <w:spacing w:line="360" w:lineRule="auto"/>
        <w:rPr>
          <w:rFonts w:ascii="David" w:hAnsi="David"/>
          <w:color w:val="FFFFFF"/>
          <w:sz w:val="2"/>
          <w:szCs w:val="2"/>
          <w:rtl/>
        </w:rPr>
      </w:pPr>
      <w:r w:rsidRPr="000E3142">
        <w:rPr>
          <w:rFonts w:ascii="David" w:hAnsi="David"/>
          <w:color w:val="FFFFFF"/>
          <w:sz w:val="2"/>
          <w:szCs w:val="2"/>
          <w:rtl/>
        </w:rPr>
        <w:t>54678313</w:t>
      </w:r>
    </w:p>
    <w:p w14:paraId="665DD6D4" w14:textId="77777777" w:rsidR="000E3142" w:rsidRPr="000E3142" w:rsidRDefault="000E3142" w:rsidP="000E3142">
      <w:pPr>
        <w:keepNext/>
        <w:spacing w:line="360" w:lineRule="auto"/>
        <w:rPr>
          <w:rFonts w:ascii="David" w:hAnsi="David"/>
          <w:color w:val="000000"/>
          <w:sz w:val="22"/>
          <w:szCs w:val="22"/>
          <w:rtl/>
        </w:rPr>
      </w:pPr>
    </w:p>
    <w:p w14:paraId="390764B9" w14:textId="77777777" w:rsidR="000E3142" w:rsidRPr="000E3142" w:rsidRDefault="000E3142" w:rsidP="000E3142">
      <w:pPr>
        <w:keepNext/>
        <w:spacing w:line="360" w:lineRule="auto"/>
        <w:rPr>
          <w:rFonts w:ascii="David" w:hAnsi="David"/>
          <w:color w:val="000000"/>
          <w:sz w:val="22"/>
          <w:szCs w:val="22"/>
          <w:rtl/>
        </w:rPr>
      </w:pPr>
      <w:r w:rsidRPr="000E3142">
        <w:rPr>
          <w:rFonts w:ascii="David" w:hAnsi="David"/>
          <w:color w:val="000000"/>
          <w:sz w:val="22"/>
          <w:szCs w:val="22"/>
          <w:rtl/>
        </w:rPr>
        <w:t>עינת רון 54678313-/</w:t>
      </w:r>
    </w:p>
    <w:p w14:paraId="6BAFE1A6" w14:textId="77777777" w:rsidR="005A721A" w:rsidRDefault="005A721A" w:rsidP="005A721A">
      <w:r w:rsidRPr="005A721A">
        <w:rPr>
          <w:color w:val="000000"/>
          <w:rtl/>
        </w:rPr>
        <w:t>נוסח מסמך זה כפוף לשינויי ניסוח ועריכה</w:t>
      </w:r>
    </w:p>
    <w:p w14:paraId="55709257" w14:textId="77777777" w:rsidR="005A721A" w:rsidRDefault="005A721A" w:rsidP="005A721A">
      <w:pPr>
        <w:rPr>
          <w:rtl/>
        </w:rPr>
      </w:pPr>
    </w:p>
    <w:p w14:paraId="5AAB0951" w14:textId="77777777" w:rsidR="005A721A" w:rsidRDefault="005A721A" w:rsidP="005A721A">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sectPr w:rsidR="005A721A" w:rsidSect="000E3142">
      <w:headerReference w:type="even" r:id="rId9"/>
      <w:headerReference w:type="default" r:id="rId10"/>
      <w:footerReference w:type="even" r:id="rId11"/>
      <w:footerReference w:type="default" r:id="rId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E6209" w14:textId="77777777" w:rsidR="00347CA0" w:rsidRPr="00EA119E" w:rsidRDefault="00347CA0">
      <w:pPr>
        <w:rPr>
          <w:rFonts w:cs="Arial"/>
          <w:szCs w:val="20"/>
        </w:rPr>
      </w:pPr>
      <w:r>
        <w:separator/>
      </w:r>
    </w:p>
  </w:endnote>
  <w:endnote w:type="continuationSeparator" w:id="0">
    <w:p w14:paraId="35E878E5" w14:textId="77777777" w:rsidR="00347CA0" w:rsidRPr="00EA119E" w:rsidRDefault="00347CA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28630" w14:textId="77777777" w:rsidR="000E3142" w:rsidRDefault="000E3142" w:rsidP="000E314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62DA05" w14:textId="77777777" w:rsidR="000E3142" w:rsidRPr="000E3142" w:rsidRDefault="000E3142" w:rsidP="000E3142">
    <w:pPr>
      <w:pStyle w:val="a4"/>
      <w:pBdr>
        <w:top w:val="single" w:sz="4" w:space="1" w:color="auto"/>
        <w:between w:val="single" w:sz="4" w:space="0" w:color="auto"/>
      </w:pBdr>
      <w:spacing w:after="60"/>
      <w:jc w:val="center"/>
      <w:rPr>
        <w:rFonts w:ascii="FrankRuehl" w:hAnsi="FrankRuehl" w:cs="FrankRuehl"/>
        <w:color w:val="000000"/>
      </w:rPr>
    </w:pPr>
    <w:r w:rsidRPr="000E31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D32D8" w14:textId="77777777" w:rsidR="000E3142" w:rsidRDefault="000E3142" w:rsidP="000E314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65A43A98" w14:textId="77777777" w:rsidR="000E3142" w:rsidRPr="000E3142" w:rsidRDefault="000E3142" w:rsidP="000E3142">
    <w:pPr>
      <w:pStyle w:val="a4"/>
      <w:pBdr>
        <w:top w:val="single" w:sz="4" w:space="1" w:color="auto"/>
        <w:between w:val="single" w:sz="4" w:space="0" w:color="auto"/>
      </w:pBdr>
      <w:spacing w:after="60"/>
      <w:jc w:val="center"/>
      <w:rPr>
        <w:rFonts w:ascii="FrankRuehl" w:hAnsi="FrankRuehl" w:cs="FrankRuehl"/>
        <w:color w:val="000000"/>
      </w:rPr>
    </w:pPr>
    <w:r w:rsidRPr="000E3142">
      <w:rPr>
        <w:rFonts w:ascii="FrankRuehl" w:hAnsi="FrankRuehl" w:cs="FrankRuehl"/>
        <w:color w:val="000000"/>
      </w:rPr>
      <w:pict w14:anchorId="264FD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604B5" w14:textId="77777777" w:rsidR="00347CA0" w:rsidRPr="00EA119E" w:rsidRDefault="00347CA0">
      <w:pPr>
        <w:rPr>
          <w:rFonts w:cs="Arial"/>
          <w:szCs w:val="20"/>
        </w:rPr>
      </w:pPr>
      <w:r>
        <w:separator/>
      </w:r>
    </w:p>
  </w:footnote>
  <w:footnote w:type="continuationSeparator" w:id="0">
    <w:p w14:paraId="2464DBE8" w14:textId="77777777" w:rsidR="00347CA0" w:rsidRPr="00EA119E" w:rsidRDefault="00347CA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551B1" w14:textId="77777777" w:rsidR="000E3142" w:rsidRPr="000E3142" w:rsidRDefault="000E3142" w:rsidP="000E31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45698-02-11</w:t>
    </w:r>
    <w:r>
      <w:rPr>
        <w:rFonts w:ascii="David" w:hAnsi="David"/>
        <w:color w:val="000000"/>
        <w:sz w:val="22"/>
        <w:szCs w:val="22"/>
        <w:rtl/>
      </w:rPr>
      <w:tab/>
      <w:t xml:space="preserve"> מדינת ישראל נ' מנחם חיים שרון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7B83B" w14:textId="77777777" w:rsidR="000E3142" w:rsidRPr="000E3142" w:rsidRDefault="000E3142" w:rsidP="000E31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45698-02-11</w:t>
    </w:r>
    <w:r>
      <w:rPr>
        <w:rFonts w:ascii="David" w:hAnsi="David"/>
        <w:color w:val="000000"/>
        <w:sz w:val="22"/>
        <w:szCs w:val="22"/>
        <w:rtl/>
      </w:rPr>
      <w:tab/>
      <w:t xml:space="preserve"> מדינת ישראל נ' מנחם חיים שרון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07E4"/>
    <w:rsid w:val="000C6971"/>
    <w:rsid w:val="000E3142"/>
    <w:rsid w:val="00347CA0"/>
    <w:rsid w:val="005951DD"/>
    <w:rsid w:val="005A721A"/>
    <w:rsid w:val="005E10AE"/>
    <w:rsid w:val="00F50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B877BB"/>
  <w15:chartTrackingRefBased/>
  <w15:docId w15:val="{569F6580-9857-43E6-966B-D7025455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07E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507E4"/>
    <w:pPr>
      <w:tabs>
        <w:tab w:val="center" w:pos="4153"/>
        <w:tab w:val="right" w:pos="8306"/>
      </w:tabs>
    </w:pPr>
  </w:style>
  <w:style w:type="paragraph" w:styleId="a4">
    <w:name w:val="footer"/>
    <w:basedOn w:val="a"/>
    <w:rsid w:val="00F507E4"/>
    <w:pPr>
      <w:tabs>
        <w:tab w:val="center" w:pos="4153"/>
        <w:tab w:val="right" w:pos="8306"/>
      </w:tabs>
    </w:pPr>
  </w:style>
  <w:style w:type="character" w:styleId="a5">
    <w:name w:val="page number"/>
    <w:basedOn w:val="a0"/>
    <w:rsid w:val="00F507E4"/>
  </w:style>
  <w:style w:type="character" w:styleId="Hyperlink">
    <w:name w:val="Hyperlink"/>
    <w:basedOn w:val="a0"/>
    <w:rsid w:val="005A7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inks/psika/?NEWPROC=&#1502;&#1514;&amp;NEWPARTA=45720&amp;NEWPARTB=02&amp;NEWPARTC=11"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5742</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99091926</vt:i4>
      </vt:variant>
      <vt:variant>
        <vt:i4>3</vt:i4>
      </vt:variant>
      <vt:variant>
        <vt:i4>0</vt:i4>
      </vt:variant>
      <vt:variant>
        <vt:i4>5</vt:i4>
      </vt:variant>
      <vt:variant>
        <vt:lpwstr>http://www.nevo.co.il/links/psika/?NEWPROC=מת&amp;NEWPARTA=45720&amp;NEWPARTB=02&amp;NEWPARTC=11</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45698</vt:lpwstr>
  </property>
  <property fmtid="{D5CDD505-2E9C-101B-9397-08002B2CF9AE}" pid="6" name="NEWPARTB">
    <vt:lpwstr>02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מנחם חיים שרון</vt:lpwstr>
  </property>
  <property fmtid="{D5CDD505-2E9C-101B-9397-08002B2CF9AE}" pid="10" name="LAWYER">
    <vt:lpwstr>יניב פרטוק;זוהר משה</vt:lpwstr>
  </property>
  <property fmtid="{D5CDD505-2E9C-101B-9397-08002B2CF9AE}" pid="11" name="JUDGE">
    <vt:lpwstr>עינת רון</vt:lpwstr>
  </property>
  <property fmtid="{D5CDD505-2E9C-101B-9397-08002B2CF9AE}" pid="12" name="CITY">
    <vt:lpwstr>פ"ת</vt:lpwstr>
  </property>
  <property fmtid="{D5CDD505-2E9C-101B-9397-08002B2CF9AE}" pid="13" name="DATE">
    <vt:lpwstr>20130226</vt:lpwstr>
  </property>
  <property fmtid="{D5CDD505-2E9C-101B-9397-08002B2CF9AE}" pid="14" name="TYPE_N_DATE">
    <vt:lpwstr>38020130226</vt:lpwstr>
  </property>
  <property fmtid="{D5CDD505-2E9C-101B-9397-08002B2CF9AE}" pid="15" name="WORDNUMPAGES">
    <vt:lpwstr>4</vt:lpwstr>
  </property>
  <property fmtid="{D5CDD505-2E9C-101B-9397-08002B2CF9AE}" pid="16" name="TYPE_ABS_DATE">
    <vt:lpwstr>380020130226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