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F11BA9" w:rsidRPr="007B0A36" w14:paraId="1DB30167" w14:textId="77777777">
        <w:trPr>
          <w:trHeight w:hRule="exact" w:val="418"/>
          <w:jc w:val="center"/>
        </w:trPr>
        <w:tc>
          <w:tcPr>
            <w:tcW w:w="8720" w:type="dxa"/>
            <w:gridSpan w:val="2"/>
          </w:tcPr>
          <w:p w14:paraId="5DD3B426" w14:textId="77777777" w:rsidR="00F11BA9" w:rsidRPr="007B0A36" w:rsidRDefault="007B0A36">
            <w:pPr>
              <w:pStyle w:val="a3"/>
              <w:tabs>
                <w:tab w:val="clear" w:pos="8306"/>
              </w:tabs>
              <w:jc w:val="center"/>
              <w:rPr>
                <w:rFonts w:ascii="Tahoma" w:hAnsi="Tahoma" w:cs="Tahoma"/>
                <w:b/>
                <w:bCs/>
                <w:color w:val="000080"/>
                <w:sz w:val="20"/>
                <w:szCs w:val="20"/>
                <w:rtl/>
              </w:rPr>
            </w:pPr>
            <w:bookmarkStart w:id="0" w:name="LastJudge"/>
            <w:r w:rsidRPr="007B0A36">
              <w:rPr>
                <w:rFonts w:ascii="Tahoma" w:hAnsi="Tahoma" w:cs="Tahoma"/>
                <w:b/>
                <w:bCs/>
                <w:color w:val="000080"/>
                <w:sz w:val="20"/>
                <w:szCs w:val="20"/>
                <w:rtl/>
              </w:rPr>
              <w:t>בית משפט השלום בתל אביב - יפו</w:t>
            </w:r>
          </w:p>
        </w:tc>
      </w:tr>
      <w:tr w:rsidR="00F11BA9" w:rsidRPr="007B0A36" w14:paraId="4BD68674" w14:textId="77777777">
        <w:trPr>
          <w:trHeight w:val="337"/>
          <w:jc w:val="center"/>
        </w:trPr>
        <w:tc>
          <w:tcPr>
            <w:tcW w:w="5041" w:type="dxa"/>
          </w:tcPr>
          <w:p w14:paraId="77499FF6" w14:textId="77777777" w:rsidR="00F11BA9" w:rsidRPr="007B0A36" w:rsidRDefault="007B0A36">
            <w:pPr>
              <w:rPr>
                <w:b/>
                <w:bCs/>
                <w:sz w:val="26"/>
                <w:szCs w:val="26"/>
                <w:rtl/>
              </w:rPr>
            </w:pPr>
            <w:r w:rsidRPr="007B0A36">
              <w:rPr>
                <w:b/>
                <w:bCs/>
                <w:sz w:val="26"/>
                <w:szCs w:val="26"/>
                <w:rtl/>
              </w:rPr>
              <w:t>ת"פ</w:t>
            </w:r>
            <w:r w:rsidRPr="007B0A36">
              <w:rPr>
                <w:rFonts w:hint="cs"/>
                <w:b/>
                <w:bCs/>
                <w:sz w:val="26"/>
                <w:szCs w:val="26"/>
                <w:rtl/>
              </w:rPr>
              <w:t xml:space="preserve"> </w:t>
            </w:r>
            <w:r w:rsidRPr="007B0A36">
              <w:rPr>
                <w:b/>
                <w:bCs/>
                <w:sz w:val="26"/>
                <w:szCs w:val="26"/>
                <w:rtl/>
              </w:rPr>
              <w:t>10971-03-11</w:t>
            </w:r>
            <w:r w:rsidRPr="007B0A36">
              <w:rPr>
                <w:rFonts w:hint="cs"/>
                <w:b/>
                <w:bCs/>
                <w:sz w:val="26"/>
                <w:szCs w:val="26"/>
                <w:rtl/>
              </w:rPr>
              <w:t xml:space="preserve"> </w:t>
            </w:r>
            <w:r w:rsidRPr="007B0A36">
              <w:rPr>
                <w:b/>
                <w:bCs/>
                <w:sz w:val="26"/>
                <w:szCs w:val="26"/>
                <w:rtl/>
              </w:rPr>
              <w:t>מדינת ישראל נ' מגל</w:t>
            </w:r>
          </w:p>
          <w:p w14:paraId="5E8A8E83" w14:textId="77777777" w:rsidR="00F11BA9" w:rsidRPr="007B0A36" w:rsidRDefault="00F11BA9">
            <w:pPr>
              <w:rPr>
                <w:b/>
                <w:bCs/>
                <w:sz w:val="26"/>
                <w:szCs w:val="26"/>
                <w:rtl/>
              </w:rPr>
            </w:pPr>
          </w:p>
          <w:p w14:paraId="048A1208" w14:textId="77777777" w:rsidR="00F11BA9" w:rsidRPr="007B0A36" w:rsidRDefault="007B0A36">
            <w:pPr>
              <w:tabs>
                <w:tab w:val="left" w:pos="5460"/>
              </w:tabs>
              <w:rPr>
                <w:b/>
                <w:bCs/>
                <w:sz w:val="26"/>
                <w:szCs w:val="26"/>
              </w:rPr>
            </w:pPr>
            <w:r w:rsidRPr="007B0A36">
              <w:rPr>
                <w:rFonts w:hint="cs"/>
                <w:b/>
                <w:bCs/>
                <w:rtl/>
              </w:rPr>
              <w:t>בפני כב' השופטת דניאלה שריזלי</w:t>
            </w:r>
          </w:p>
          <w:p w14:paraId="3FE27999" w14:textId="77777777" w:rsidR="00F11BA9" w:rsidRPr="007B0A36" w:rsidRDefault="00F11BA9">
            <w:pPr>
              <w:rPr>
                <w:b/>
                <w:bCs/>
                <w:sz w:val="26"/>
                <w:szCs w:val="26"/>
                <w:rtl/>
              </w:rPr>
            </w:pPr>
          </w:p>
          <w:p w14:paraId="6E5FC15D" w14:textId="77777777" w:rsidR="00F11BA9" w:rsidRPr="007B0A36" w:rsidRDefault="00F11BA9">
            <w:pPr>
              <w:pStyle w:val="a3"/>
              <w:jc w:val="right"/>
              <w:rPr>
                <w:b/>
                <w:bCs/>
                <w:sz w:val="26"/>
                <w:szCs w:val="26"/>
                <w:rtl/>
              </w:rPr>
            </w:pPr>
          </w:p>
        </w:tc>
        <w:tc>
          <w:tcPr>
            <w:tcW w:w="3679" w:type="dxa"/>
          </w:tcPr>
          <w:p w14:paraId="6A8A045E" w14:textId="77777777" w:rsidR="00F11BA9" w:rsidRPr="007B0A36" w:rsidRDefault="007B0A36">
            <w:pPr>
              <w:pStyle w:val="a3"/>
              <w:tabs>
                <w:tab w:val="clear" w:pos="4153"/>
              </w:tabs>
              <w:jc w:val="right"/>
              <w:rPr>
                <w:b/>
                <w:bCs/>
                <w:sz w:val="26"/>
                <w:szCs w:val="26"/>
                <w:rtl/>
              </w:rPr>
            </w:pPr>
            <w:r w:rsidRPr="007B0A36">
              <w:rPr>
                <w:rFonts w:hint="cs"/>
                <w:b/>
                <w:bCs/>
                <w:sz w:val="26"/>
                <w:szCs w:val="26"/>
                <w:rtl/>
              </w:rPr>
              <w:t>10</w:t>
            </w:r>
            <w:r w:rsidRPr="007B0A36">
              <w:rPr>
                <w:b/>
                <w:bCs/>
                <w:sz w:val="26"/>
                <w:szCs w:val="26"/>
                <w:rtl/>
              </w:rPr>
              <w:t xml:space="preserve"> פברואר 2015</w:t>
            </w:r>
          </w:p>
        </w:tc>
      </w:tr>
    </w:tbl>
    <w:p w14:paraId="7FF0F717" w14:textId="77777777" w:rsidR="00F11BA9" w:rsidRPr="007B0A36" w:rsidRDefault="007B0A36">
      <w:pPr>
        <w:pStyle w:val="a3"/>
        <w:tabs>
          <w:tab w:val="left" w:pos="2954"/>
        </w:tabs>
        <w:rPr>
          <w:rFonts w:ascii="Tahoma" w:hAnsi="Tahoma" w:cs="Tahoma"/>
          <w:b/>
          <w:bCs/>
          <w:color w:val="000080"/>
          <w:sz w:val="20"/>
          <w:szCs w:val="20"/>
          <w:rtl/>
        </w:rPr>
      </w:pPr>
      <w:r w:rsidRPr="007B0A36">
        <w:rPr>
          <w:rFonts w:ascii="Tahoma" w:hAnsi="Tahoma" w:cs="Tahoma"/>
          <w:b/>
          <w:bCs/>
          <w:color w:val="000080"/>
          <w:sz w:val="20"/>
          <w:szCs w:val="20"/>
          <w:rtl/>
        </w:rPr>
        <w:tab/>
      </w:r>
      <w:r w:rsidRPr="007B0A36">
        <w:rPr>
          <w:rFonts w:ascii="Tahoma" w:hAnsi="Tahoma" w:cs="Tahoma"/>
          <w:b/>
          <w:bCs/>
          <w:color w:val="000080"/>
          <w:sz w:val="20"/>
          <w:szCs w:val="20"/>
          <w:rtl/>
        </w:rPr>
        <w:tab/>
      </w:r>
    </w:p>
    <w:tbl>
      <w:tblPr>
        <w:bidiVisual/>
        <w:tblW w:w="8802" w:type="dxa"/>
        <w:tblInd w:w="-28" w:type="dxa"/>
        <w:tblLayout w:type="fixed"/>
        <w:tblLook w:val="01E0" w:firstRow="1" w:lastRow="1" w:firstColumn="1" w:lastColumn="1" w:noHBand="0" w:noVBand="0"/>
      </w:tblPr>
      <w:tblGrid>
        <w:gridCol w:w="3240"/>
        <w:gridCol w:w="5562"/>
      </w:tblGrid>
      <w:tr w:rsidR="00F11BA9" w:rsidRPr="007B0A36" w14:paraId="6BBC98DB" w14:textId="77777777">
        <w:tc>
          <w:tcPr>
            <w:tcW w:w="3240" w:type="dxa"/>
          </w:tcPr>
          <w:p w14:paraId="5A441D39" w14:textId="77777777" w:rsidR="00F11BA9" w:rsidRPr="007B0A36" w:rsidRDefault="007B0A36">
            <w:pPr>
              <w:spacing w:line="360" w:lineRule="auto"/>
              <w:jc w:val="both"/>
              <w:rPr>
                <w:rFonts w:ascii="Times New Roman" w:eastAsia="Times New Roman" w:hAnsi="Times New Roman"/>
                <w:b/>
                <w:bCs/>
                <w:sz w:val="26"/>
                <w:szCs w:val="26"/>
                <w:rtl/>
              </w:rPr>
            </w:pPr>
            <w:bookmarkStart w:id="1" w:name="FirstAppellant"/>
            <w:r w:rsidRPr="007B0A36">
              <w:rPr>
                <w:rFonts w:ascii="Times New Roman" w:eastAsia="Times New Roman" w:hAnsi="Times New Roman" w:hint="cs"/>
                <w:b/>
                <w:bCs/>
                <w:sz w:val="26"/>
                <w:szCs w:val="26"/>
                <w:rtl/>
              </w:rPr>
              <w:t>המאשימה</w:t>
            </w:r>
          </w:p>
        </w:tc>
        <w:tc>
          <w:tcPr>
            <w:tcW w:w="5562" w:type="dxa"/>
          </w:tcPr>
          <w:p w14:paraId="0221F4E5" w14:textId="77777777" w:rsidR="00F11BA9" w:rsidRPr="007B0A36" w:rsidRDefault="007B0A36">
            <w:pPr>
              <w:rPr>
                <w:rFonts w:ascii="Times New Roman" w:eastAsia="Times New Roman" w:hAnsi="Times New Roman"/>
                <w:b/>
                <w:bCs/>
                <w:sz w:val="26"/>
                <w:szCs w:val="26"/>
                <w:rtl/>
              </w:rPr>
            </w:pPr>
            <w:r w:rsidRPr="007B0A36">
              <w:rPr>
                <w:rFonts w:ascii="Times New Roman" w:eastAsia="Times New Roman" w:hAnsi="Times New Roman" w:hint="cs"/>
                <w:b/>
                <w:bCs/>
                <w:sz w:val="26"/>
                <w:szCs w:val="26"/>
                <w:rtl/>
              </w:rPr>
              <w:t xml:space="preserve"> </w:t>
            </w:r>
            <w:r w:rsidRPr="007B0A36">
              <w:rPr>
                <w:rFonts w:ascii="Times New Roman" w:eastAsia="Times New Roman" w:hAnsi="Times New Roman" w:hint="cs"/>
                <w:rtl/>
              </w:rPr>
              <w:t>מדינת ישראל</w:t>
            </w:r>
          </w:p>
        </w:tc>
      </w:tr>
      <w:bookmarkEnd w:id="1"/>
      <w:tr w:rsidR="00F11BA9" w:rsidRPr="007B0A36" w14:paraId="37F648E2" w14:textId="77777777">
        <w:tc>
          <w:tcPr>
            <w:tcW w:w="8802" w:type="dxa"/>
            <w:gridSpan w:val="2"/>
          </w:tcPr>
          <w:p w14:paraId="3D40F515" w14:textId="77777777" w:rsidR="00F11BA9" w:rsidRPr="007B0A36" w:rsidRDefault="00F11BA9">
            <w:pPr>
              <w:jc w:val="both"/>
              <w:rPr>
                <w:rFonts w:ascii="Arial" w:eastAsia="Times New Roman" w:hAnsi="Arial"/>
                <w:b/>
                <w:bCs/>
                <w:sz w:val="26"/>
                <w:szCs w:val="26"/>
                <w:rtl/>
              </w:rPr>
            </w:pPr>
          </w:p>
          <w:p w14:paraId="00070A36" w14:textId="77777777" w:rsidR="00F11BA9" w:rsidRPr="007B0A36" w:rsidRDefault="007B0A36">
            <w:pPr>
              <w:jc w:val="center"/>
              <w:rPr>
                <w:rFonts w:ascii="Arial" w:eastAsia="Times New Roman" w:hAnsi="Arial"/>
                <w:b/>
                <w:bCs/>
                <w:sz w:val="26"/>
                <w:szCs w:val="26"/>
                <w:rtl/>
              </w:rPr>
            </w:pPr>
            <w:r w:rsidRPr="007B0A36">
              <w:rPr>
                <w:rFonts w:ascii="Arial" w:eastAsia="Times New Roman" w:hAnsi="Arial"/>
                <w:b/>
                <w:bCs/>
                <w:sz w:val="26"/>
                <w:szCs w:val="26"/>
                <w:rtl/>
              </w:rPr>
              <w:t>נגד</w:t>
            </w:r>
          </w:p>
          <w:p w14:paraId="291F7C74" w14:textId="77777777" w:rsidR="00F11BA9" w:rsidRPr="007B0A36" w:rsidRDefault="00F11BA9">
            <w:pPr>
              <w:jc w:val="center"/>
              <w:rPr>
                <w:rFonts w:ascii="Arial" w:eastAsia="Times New Roman" w:hAnsi="Arial"/>
                <w:b/>
                <w:bCs/>
                <w:sz w:val="26"/>
                <w:szCs w:val="26"/>
              </w:rPr>
            </w:pPr>
          </w:p>
        </w:tc>
      </w:tr>
      <w:tr w:rsidR="00F11BA9" w:rsidRPr="007B0A36" w14:paraId="7BBCC61C" w14:textId="77777777">
        <w:tc>
          <w:tcPr>
            <w:tcW w:w="3240" w:type="dxa"/>
          </w:tcPr>
          <w:p w14:paraId="7E56C5F0" w14:textId="77777777" w:rsidR="00F11BA9" w:rsidRPr="007B0A36" w:rsidRDefault="007B0A36">
            <w:pPr>
              <w:ind w:left="26"/>
              <w:rPr>
                <w:rFonts w:ascii="Times New Roman" w:eastAsia="Times New Roman" w:hAnsi="Times New Roman"/>
                <w:b/>
                <w:bCs/>
                <w:sz w:val="26"/>
                <w:szCs w:val="26"/>
                <w:rtl/>
              </w:rPr>
            </w:pPr>
            <w:r w:rsidRPr="007B0A36">
              <w:rPr>
                <w:rFonts w:ascii="Times New Roman" w:eastAsia="Times New Roman" w:hAnsi="Times New Roman" w:hint="cs"/>
                <w:b/>
                <w:bCs/>
                <w:sz w:val="26"/>
                <w:szCs w:val="26"/>
                <w:rtl/>
              </w:rPr>
              <w:t>ה</w:t>
            </w:r>
            <w:r w:rsidRPr="007B0A36">
              <w:rPr>
                <w:rFonts w:ascii="Times New Roman" w:eastAsia="Times New Roman" w:hAnsi="Times New Roman" w:hint="cs"/>
                <w:rtl/>
              </w:rPr>
              <w:t>נאשם</w:t>
            </w:r>
          </w:p>
        </w:tc>
        <w:tc>
          <w:tcPr>
            <w:tcW w:w="5562" w:type="dxa"/>
          </w:tcPr>
          <w:p w14:paraId="61F47F19" w14:textId="77777777" w:rsidR="00F11BA9" w:rsidRPr="007B0A36" w:rsidRDefault="007B0A36">
            <w:pPr>
              <w:rPr>
                <w:rFonts w:ascii="Times New Roman" w:eastAsia="Times New Roman" w:hAnsi="Times New Roman"/>
                <w:b/>
                <w:bCs/>
                <w:sz w:val="26"/>
                <w:szCs w:val="26"/>
                <w:rtl/>
              </w:rPr>
            </w:pPr>
            <w:r w:rsidRPr="007B0A36">
              <w:rPr>
                <w:rFonts w:ascii="Times New Roman" w:eastAsia="Times New Roman" w:hAnsi="Times New Roman" w:hint="cs"/>
                <w:b/>
                <w:bCs/>
                <w:sz w:val="26"/>
                <w:szCs w:val="26"/>
                <w:rtl/>
              </w:rPr>
              <w:t xml:space="preserve"> </w:t>
            </w:r>
            <w:r w:rsidRPr="007B0A36">
              <w:rPr>
                <w:rFonts w:ascii="Times New Roman" w:eastAsia="Times New Roman" w:hAnsi="Times New Roman" w:hint="cs"/>
                <w:rtl/>
              </w:rPr>
              <w:t>יוסי מגל</w:t>
            </w:r>
          </w:p>
        </w:tc>
      </w:tr>
    </w:tbl>
    <w:p w14:paraId="14090CD2" w14:textId="77777777" w:rsidR="00F11BA9" w:rsidRPr="007B0A36" w:rsidRDefault="00F11BA9">
      <w:pPr>
        <w:spacing w:line="360" w:lineRule="auto"/>
        <w:jc w:val="both"/>
        <w:rPr>
          <w:rFonts w:ascii="Arial" w:hAnsi="Arial"/>
          <w:rtl/>
        </w:rPr>
      </w:pPr>
    </w:p>
    <w:p w14:paraId="3A3D9674" w14:textId="77777777" w:rsidR="00F11BA9" w:rsidRPr="007B0A36" w:rsidRDefault="007B0A36">
      <w:pPr>
        <w:spacing w:line="360" w:lineRule="auto"/>
        <w:jc w:val="both"/>
        <w:rPr>
          <w:b/>
          <w:bCs/>
          <w:rtl/>
        </w:rPr>
      </w:pPr>
      <w:r w:rsidRPr="007B0A36">
        <w:rPr>
          <w:rFonts w:hint="cs"/>
          <w:b/>
          <w:bCs/>
          <w:rtl/>
        </w:rPr>
        <w:t>נוכחים:</w:t>
      </w:r>
    </w:p>
    <w:p w14:paraId="67C1A286" w14:textId="77777777" w:rsidR="00F11BA9" w:rsidRPr="007B0A36" w:rsidRDefault="007B0A36">
      <w:pPr>
        <w:spacing w:line="360" w:lineRule="auto"/>
        <w:jc w:val="both"/>
        <w:rPr>
          <w:b/>
          <w:bCs/>
          <w:rtl/>
        </w:rPr>
      </w:pPr>
      <w:bookmarkStart w:id="2" w:name="FirstLawyer"/>
      <w:r w:rsidRPr="007B0A36">
        <w:rPr>
          <w:rFonts w:hint="cs"/>
          <w:b/>
          <w:bCs/>
          <w:rtl/>
        </w:rPr>
        <w:t>ב"כ</w:t>
      </w:r>
      <w:bookmarkEnd w:id="2"/>
      <w:r w:rsidRPr="007B0A36">
        <w:rPr>
          <w:rFonts w:hint="cs"/>
          <w:b/>
          <w:bCs/>
          <w:rtl/>
        </w:rPr>
        <w:t xml:space="preserve"> המאשימה- עו"ד נעמה פנן</w:t>
      </w:r>
    </w:p>
    <w:p w14:paraId="0A84EC57" w14:textId="77777777" w:rsidR="00F11BA9" w:rsidRPr="007B0A36" w:rsidRDefault="007B0A36">
      <w:pPr>
        <w:spacing w:line="360" w:lineRule="auto"/>
        <w:jc w:val="both"/>
        <w:rPr>
          <w:b/>
          <w:bCs/>
          <w:rtl/>
        </w:rPr>
      </w:pPr>
      <w:r w:rsidRPr="007B0A36">
        <w:rPr>
          <w:rFonts w:hint="cs"/>
          <w:b/>
          <w:bCs/>
          <w:rtl/>
        </w:rPr>
        <w:t xml:space="preserve">ב"כ הנאשם </w:t>
      </w:r>
      <w:r w:rsidRPr="007B0A36">
        <w:rPr>
          <w:b/>
          <w:bCs/>
          <w:rtl/>
        </w:rPr>
        <w:t>–</w:t>
      </w:r>
      <w:r w:rsidRPr="007B0A36">
        <w:rPr>
          <w:rFonts w:hint="cs"/>
          <w:b/>
          <w:bCs/>
          <w:rtl/>
        </w:rPr>
        <w:t xml:space="preserve"> עו"ד אייל אוחיון</w:t>
      </w:r>
    </w:p>
    <w:p w14:paraId="286B6A2C" w14:textId="77777777" w:rsidR="00B31B86" w:rsidRDefault="007B0A36">
      <w:pPr>
        <w:spacing w:line="360" w:lineRule="auto"/>
        <w:jc w:val="both"/>
        <w:rPr>
          <w:b/>
          <w:bCs/>
          <w:rtl/>
        </w:rPr>
      </w:pPr>
      <w:r w:rsidRPr="007B0A36">
        <w:rPr>
          <w:rFonts w:hint="cs"/>
          <w:b/>
          <w:bCs/>
          <w:rtl/>
        </w:rPr>
        <w:t>הנאשם בעצמ</w:t>
      </w:r>
      <w:bookmarkStart w:id="3" w:name="LawTable"/>
      <w:bookmarkEnd w:id="3"/>
    </w:p>
    <w:p w14:paraId="3BD4E60A" w14:textId="77777777" w:rsidR="00B31B86" w:rsidRPr="00B31B86" w:rsidRDefault="00B31B86" w:rsidP="00B31B86">
      <w:pPr>
        <w:spacing w:after="120" w:line="240" w:lineRule="exact"/>
        <w:ind w:left="283" w:hanging="283"/>
        <w:jc w:val="both"/>
        <w:rPr>
          <w:rFonts w:ascii="FrankRuehl" w:hAnsi="FrankRuehl" w:cs="FrankRuehl"/>
          <w:rtl/>
        </w:rPr>
      </w:pPr>
    </w:p>
    <w:p w14:paraId="7189CF1E" w14:textId="77777777" w:rsidR="00B31B86" w:rsidRPr="00B31B86" w:rsidRDefault="00B31B86" w:rsidP="00B31B86">
      <w:pPr>
        <w:spacing w:after="120" w:line="240" w:lineRule="exact"/>
        <w:ind w:left="283" w:hanging="283"/>
        <w:jc w:val="both"/>
        <w:rPr>
          <w:rFonts w:ascii="FrankRuehl" w:hAnsi="FrankRuehl" w:cs="FrankRuehl"/>
          <w:rtl/>
        </w:rPr>
      </w:pPr>
      <w:r w:rsidRPr="00B31B86">
        <w:rPr>
          <w:rFonts w:ascii="FrankRuehl" w:hAnsi="FrankRuehl" w:cs="FrankRuehl"/>
          <w:rtl/>
        </w:rPr>
        <w:t xml:space="preserve">חקיקה שאוזכרה: </w:t>
      </w:r>
    </w:p>
    <w:p w14:paraId="4EDBA8A9" w14:textId="77777777" w:rsidR="00B31B86" w:rsidRPr="00B31B86" w:rsidRDefault="00B31B86" w:rsidP="00B31B86">
      <w:pPr>
        <w:spacing w:after="120" w:line="240" w:lineRule="exact"/>
        <w:ind w:left="283" w:hanging="283"/>
        <w:jc w:val="both"/>
        <w:rPr>
          <w:rFonts w:ascii="FrankRuehl" w:hAnsi="FrankRuehl" w:cs="FrankRuehl"/>
          <w:color w:val="0000FF"/>
          <w:u w:val="single"/>
          <w:rtl/>
        </w:rPr>
      </w:pPr>
      <w:hyperlink r:id="rId6" w:history="1">
        <w:r w:rsidRPr="00B31B86">
          <w:rPr>
            <w:rStyle w:val="Hyperlink"/>
            <w:rFonts w:ascii="FrankRuehl" w:hAnsi="FrankRuehl" w:cs="FrankRuehl"/>
            <w:rtl/>
          </w:rPr>
          <w:t>פקודת הסמים המסוכנים [נוסח חדש], תשל"ג-1973</w:t>
        </w:r>
      </w:hyperlink>
      <w:r w:rsidRPr="00B31B86">
        <w:rPr>
          <w:rFonts w:ascii="FrankRuehl" w:hAnsi="FrankRuehl" w:cs="FrankRuehl"/>
          <w:color w:val="0000FF"/>
          <w:u w:val="single"/>
          <w:rtl/>
        </w:rPr>
        <w:t xml:space="preserve">: סע'  </w:t>
      </w:r>
      <w:hyperlink r:id="rId7" w:history="1">
        <w:r w:rsidRPr="00B31B86">
          <w:rPr>
            <w:rStyle w:val="Hyperlink"/>
            <w:rFonts w:ascii="FrankRuehl" w:hAnsi="FrankRuehl" w:cs="FrankRuehl"/>
          </w:rPr>
          <w:t>7(</w:t>
        </w:r>
        <w:r w:rsidRPr="00B31B86">
          <w:rPr>
            <w:rStyle w:val="Hyperlink"/>
            <w:rFonts w:ascii="FrankRuehl" w:hAnsi="FrankRuehl" w:cs="FrankRuehl"/>
            <w:rtl/>
          </w:rPr>
          <w:t>א</w:t>
        </w:r>
        <w:r w:rsidRPr="00B31B86">
          <w:rPr>
            <w:rStyle w:val="Hyperlink"/>
            <w:rFonts w:ascii="FrankRuehl" w:hAnsi="FrankRuehl" w:cs="FrankRuehl"/>
          </w:rPr>
          <w:t>)</w:t>
        </w:r>
      </w:hyperlink>
      <w:r w:rsidRPr="00B31B86">
        <w:rPr>
          <w:rFonts w:ascii="FrankRuehl" w:hAnsi="FrankRuehl" w:cs="FrankRuehl"/>
          <w:color w:val="0000FF"/>
          <w:u w:val="single"/>
          <w:rtl/>
        </w:rPr>
        <w:t xml:space="preserve">, </w:t>
      </w:r>
      <w:hyperlink r:id="rId8" w:history="1">
        <w:r w:rsidRPr="00B31B86">
          <w:rPr>
            <w:rStyle w:val="Hyperlink"/>
            <w:rFonts w:ascii="FrankRuehl" w:hAnsi="FrankRuehl" w:cs="FrankRuehl"/>
          </w:rPr>
          <w:t>7(</w:t>
        </w:r>
        <w:r w:rsidRPr="00B31B86">
          <w:rPr>
            <w:rStyle w:val="Hyperlink"/>
            <w:rFonts w:ascii="FrankRuehl" w:hAnsi="FrankRuehl" w:cs="FrankRuehl"/>
            <w:rtl/>
          </w:rPr>
          <w:t>ג</w:t>
        </w:r>
        <w:r w:rsidRPr="00B31B86">
          <w:rPr>
            <w:rStyle w:val="Hyperlink"/>
            <w:rFonts w:ascii="FrankRuehl" w:hAnsi="FrankRuehl" w:cs="FrankRuehl"/>
          </w:rPr>
          <w:t>)</w:t>
        </w:r>
      </w:hyperlink>
    </w:p>
    <w:p w14:paraId="5BE2317C" w14:textId="77777777" w:rsidR="00B31B86" w:rsidRPr="00B31B86" w:rsidRDefault="00B31B86" w:rsidP="00B31B86">
      <w:pPr>
        <w:spacing w:after="120" w:line="240" w:lineRule="exact"/>
        <w:ind w:left="283" w:hanging="283"/>
        <w:jc w:val="both"/>
        <w:rPr>
          <w:rFonts w:ascii="FrankRuehl" w:hAnsi="FrankRuehl" w:cs="FrankRuehl"/>
          <w:color w:val="0000FF"/>
          <w:u w:val="single"/>
          <w:rtl/>
        </w:rPr>
      </w:pPr>
      <w:hyperlink r:id="rId9" w:history="1">
        <w:r w:rsidRPr="00B31B86">
          <w:rPr>
            <w:rStyle w:val="Hyperlink"/>
            <w:rFonts w:ascii="FrankRuehl" w:hAnsi="FrankRuehl" w:cs="FrankRuehl"/>
            <w:rtl/>
          </w:rPr>
          <w:t>חוק העונשין, תשל"ז-1977</w:t>
        </w:r>
      </w:hyperlink>
      <w:r w:rsidRPr="00B31B86">
        <w:rPr>
          <w:rFonts w:ascii="FrankRuehl" w:hAnsi="FrankRuehl" w:cs="FrankRuehl"/>
          <w:color w:val="0000FF"/>
          <w:u w:val="single"/>
          <w:rtl/>
        </w:rPr>
        <w:t xml:space="preserve">: סע'  </w:t>
      </w:r>
      <w:hyperlink r:id="rId10" w:history="1">
        <w:r w:rsidRPr="00B31B86">
          <w:rPr>
            <w:rStyle w:val="Hyperlink"/>
            <w:rFonts w:ascii="FrankRuehl" w:hAnsi="FrankRuehl" w:cs="FrankRuehl"/>
          </w:rPr>
          <w:t>40</w:t>
        </w:r>
        <w:r w:rsidRPr="00B31B86">
          <w:rPr>
            <w:rStyle w:val="Hyperlink"/>
            <w:rFonts w:ascii="FrankRuehl" w:hAnsi="FrankRuehl" w:cs="FrankRuehl"/>
            <w:rtl/>
          </w:rPr>
          <w:t>ג</w:t>
        </w:r>
        <w:r w:rsidRPr="00B31B86">
          <w:rPr>
            <w:rStyle w:val="Hyperlink"/>
            <w:rFonts w:ascii="FrankRuehl" w:hAnsi="FrankRuehl" w:cs="FrankRuehl"/>
          </w:rPr>
          <w:t>'</w:t>
        </w:r>
      </w:hyperlink>
      <w:r w:rsidRPr="00B31B86">
        <w:rPr>
          <w:rFonts w:ascii="FrankRuehl" w:hAnsi="FrankRuehl" w:cs="FrankRuehl"/>
          <w:color w:val="0000FF"/>
          <w:u w:val="single"/>
          <w:rtl/>
        </w:rPr>
        <w:t xml:space="preserve">, </w:t>
      </w:r>
      <w:hyperlink r:id="rId11" w:history="1">
        <w:r w:rsidRPr="00B31B86">
          <w:rPr>
            <w:rStyle w:val="Hyperlink"/>
            <w:rFonts w:ascii="FrankRuehl" w:hAnsi="FrankRuehl" w:cs="FrankRuehl"/>
          </w:rPr>
          <w:t>275</w:t>
        </w:r>
      </w:hyperlink>
      <w:r w:rsidRPr="00B31B86">
        <w:rPr>
          <w:rFonts w:ascii="FrankRuehl" w:hAnsi="FrankRuehl" w:cs="FrankRuehl"/>
          <w:color w:val="0000FF"/>
          <w:u w:val="single"/>
          <w:rtl/>
        </w:rPr>
        <w:t xml:space="preserve">, </w:t>
      </w:r>
      <w:hyperlink r:id="rId12" w:history="1">
        <w:r w:rsidRPr="00B31B86">
          <w:rPr>
            <w:rStyle w:val="Hyperlink"/>
            <w:rFonts w:ascii="FrankRuehl" w:hAnsi="FrankRuehl" w:cs="FrankRuehl"/>
          </w:rPr>
          <w:t>40</w:t>
        </w:r>
        <w:r w:rsidRPr="00B31B86">
          <w:rPr>
            <w:rStyle w:val="Hyperlink"/>
            <w:rFonts w:ascii="FrankRuehl" w:hAnsi="FrankRuehl" w:cs="FrankRuehl"/>
            <w:rtl/>
          </w:rPr>
          <w:t>יא</w:t>
        </w:r>
        <w:r w:rsidRPr="00B31B86">
          <w:rPr>
            <w:rStyle w:val="Hyperlink"/>
            <w:rFonts w:ascii="FrankRuehl" w:hAnsi="FrankRuehl" w:cs="FrankRuehl"/>
          </w:rPr>
          <w:t>'</w:t>
        </w:r>
      </w:hyperlink>
    </w:p>
    <w:p w14:paraId="0F9156F0" w14:textId="77777777" w:rsidR="00B31B86" w:rsidRPr="00B31B86" w:rsidRDefault="00B31B86" w:rsidP="00B31B86">
      <w:pPr>
        <w:spacing w:after="120" w:line="240" w:lineRule="exact"/>
        <w:ind w:left="283" w:hanging="283"/>
        <w:jc w:val="both"/>
        <w:rPr>
          <w:rFonts w:ascii="FrankRuehl" w:hAnsi="FrankRuehl" w:cs="FrankRuehl"/>
          <w:rtl/>
        </w:rPr>
      </w:pPr>
    </w:p>
    <w:p w14:paraId="55C0F673" w14:textId="77777777" w:rsidR="00B31B86" w:rsidRPr="00B31B86" w:rsidRDefault="00B31B86">
      <w:pPr>
        <w:spacing w:line="360" w:lineRule="auto"/>
        <w:jc w:val="both"/>
        <w:rPr>
          <w:rtl/>
        </w:rPr>
      </w:pPr>
      <w:bookmarkStart w:id="4" w:name="LawTable_End"/>
      <w:bookmarkEnd w:id="4"/>
    </w:p>
    <w:p w14:paraId="66BB7BA2" w14:textId="77777777" w:rsidR="00B31B86" w:rsidRPr="00B31B86" w:rsidRDefault="00B31B86">
      <w:pPr>
        <w:spacing w:line="360" w:lineRule="auto"/>
        <w:jc w:val="both"/>
        <w:rPr>
          <w:b/>
          <w:bCs/>
          <w:rtl/>
        </w:rPr>
      </w:pPr>
    </w:p>
    <w:p w14:paraId="4182D83C" w14:textId="77777777" w:rsidR="004E3842" w:rsidRDefault="007B0A36">
      <w:pPr>
        <w:spacing w:line="360" w:lineRule="auto"/>
        <w:jc w:val="both"/>
        <w:rPr>
          <w:b/>
          <w:bCs/>
          <w:rtl/>
        </w:rPr>
      </w:pPr>
      <w:r w:rsidRPr="00B31B86">
        <w:rPr>
          <w:rFonts w:hint="cs"/>
          <w:b/>
          <w:bCs/>
          <w:rtl/>
        </w:rPr>
        <w:t>ו</w:t>
      </w:r>
    </w:p>
    <w:p w14:paraId="53AE3C3B" w14:textId="77777777" w:rsidR="004E3842" w:rsidRPr="004E3842" w:rsidRDefault="004E3842" w:rsidP="004E3842">
      <w:pPr>
        <w:spacing w:after="120" w:line="240" w:lineRule="exact"/>
        <w:ind w:left="283" w:hanging="283"/>
        <w:jc w:val="both"/>
        <w:rPr>
          <w:rFonts w:ascii="FrankRuehl" w:hAnsi="FrankRuehl" w:cs="FrankRuehl"/>
          <w:rtl/>
        </w:rPr>
      </w:pPr>
    </w:p>
    <w:p w14:paraId="5E497361" w14:textId="77777777" w:rsidR="004E3842" w:rsidRPr="004E3842" w:rsidRDefault="004E3842" w:rsidP="004E3842">
      <w:pPr>
        <w:spacing w:after="120" w:line="240" w:lineRule="exact"/>
        <w:ind w:left="283" w:hanging="283"/>
        <w:jc w:val="both"/>
        <w:rPr>
          <w:rFonts w:ascii="FrankRuehl" w:hAnsi="FrankRuehl" w:cs="FrankRuehl"/>
          <w:rtl/>
        </w:rPr>
      </w:pPr>
      <w:r w:rsidRPr="004E3842">
        <w:rPr>
          <w:rFonts w:ascii="FrankRuehl" w:hAnsi="FrankRuehl" w:cs="FrankRuehl"/>
          <w:rtl/>
        </w:rPr>
        <w:t xml:space="preserve">חקיקה שאוזכרה: </w:t>
      </w:r>
    </w:p>
    <w:p w14:paraId="42DC492C" w14:textId="77777777" w:rsidR="004E3842" w:rsidRPr="004E3842" w:rsidRDefault="004E3842" w:rsidP="004E3842">
      <w:pPr>
        <w:spacing w:after="120" w:line="240" w:lineRule="exact"/>
        <w:ind w:left="283" w:hanging="283"/>
        <w:jc w:val="both"/>
        <w:rPr>
          <w:rFonts w:ascii="FrankRuehl" w:hAnsi="FrankRuehl" w:cs="FrankRuehl"/>
          <w:color w:val="0000FF"/>
          <w:u w:val="single"/>
          <w:rtl/>
        </w:rPr>
      </w:pPr>
      <w:hyperlink r:id="rId13" w:history="1">
        <w:r w:rsidRPr="004E3842">
          <w:rPr>
            <w:rStyle w:val="Hyperlink"/>
            <w:rFonts w:ascii="FrankRuehl" w:hAnsi="FrankRuehl" w:cs="FrankRuehl"/>
            <w:rtl/>
          </w:rPr>
          <w:t>פקודת הסמים המסוכנים [נוסח חדש], תשל"ג-1973</w:t>
        </w:r>
      </w:hyperlink>
      <w:r w:rsidRPr="004E3842">
        <w:rPr>
          <w:rFonts w:ascii="FrankRuehl" w:hAnsi="FrankRuehl" w:cs="FrankRuehl"/>
          <w:color w:val="0000FF"/>
          <w:u w:val="single"/>
          <w:rtl/>
        </w:rPr>
        <w:t xml:space="preserve">: סע'  </w:t>
      </w:r>
      <w:hyperlink r:id="rId14" w:history="1">
        <w:r w:rsidRPr="004E3842">
          <w:rPr>
            <w:rStyle w:val="Hyperlink"/>
            <w:rFonts w:ascii="FrankRuehl" w:hAnsi="FrankRuehl" w:cs="FrankRuehl"/>
          </w:rPr>
          <w:t>7(</w:t>
        </w:r>
        <w:r w:rsidRPr="004E3842">
          <w:rPr>
            <w:rStyle w:val="Hyperlink"/>
            <w:rFonts w:ascii="FrankRuehl" w:hAnsi="FrankRuehl" w:cs="FrankRuehl"/>
            <w:rtl/>
          </w:rPr>
          <w:t>א</w:t>
        </w:r>
        <w:r w:rsidRPr="004E3842">
          <w:rPr>
            <w:rStyle w:val="Hyperlink"/>
            <w:rFonts w:ascii="FrankRuehl" w:hAnsi="FrankRuehl" w:cs="FrankRuehl"/>
          </w:rPr>
          <w:t>)</w:t>
        </w:r>
      </w:hyperlink>
      <w:r w:rsidRPr="004E3842">
        <w:rPr>
          <w:rFonts w:ascii="FrankRuehl" w:hAnsi="FrankRuehl" w:cs="FrankRuehl"/>
          <w:color w:val="0000FF"/>
          <w:u w:val="single"/>
          <w:rtl/>
        </w:rPr>
        <w:t xml:space="preserve">, </w:t>
      </w:r>
      <w:hyperlink r:id="rId15" w:history="1">
        <w:r w:rsidRPr="004E3842">
          <w:rPr>
            <w:rStyle w:val="Hyperlink"/>
            <w:rFonts w:ascii="FrankRuehl" w:hAnsi="FrankRuehl" w:cs="FrankRuehl"/>
          </w:rPr>
          <w:t>7(</w:t>
        </w:r>
        <w:r w:rsidRPr="004E3842">
          <w:rPr>
            <w:rStyle w:val="Hyperlink"/>
            <w:rFonts w:ascii="FrankRuehl" w:hAnsi="FrankRuehl" w:cs="FrankRuehl"/>
            <w:rtl/>
          </w:rPr>
          <w:t>ג</w:t>
        </w:r>
        <w:r w:rsidRPr="004E3842">
          <w:rPr>
            <w:rStyle w:val="Hyperlink"/>
            <w:rFonts w:ascii="FrankRuehl" w:hAnsi="FrankRuehl" w:cs="FrankRuehl"/>
          </w:rPr>
          <w:t>)</w:t>
        </w:r>
      </w:hyperlink>
    </w:p>
    <w:p w14:paraId="17EFFD45" w14:textId="77777777" w:rsidR="004E3842" w:rsidRPr="004E3842" w:rsidRDefault="004E3842" w:rsidP="004E3842">
      <w:pPr>
        <w:spacing w:after="120" w:line="240" w:lineRule="exact"/>
        <w:ind w:left="283" w:hanging="283"/>
        <w:jc w:val="both"/>
        <w:rPr>
          <w:rFonts w:ascii="FrankRuehl" w:hAnsi="FrankRuehl" w:cs="FrankRuehl"/>
          <w:color w:val="0000FF"/>
          <w:u w:val="single"/>
          <w:rtl/>
        </w:rPr>
      </w:pPr>
      <w:hyperlink r:id="rId16" w:history="1">
        <w:r w:rsidRPr="004E3842">
          <w:rPr>
            <w:rStyle w:val="Hyperlink"/>
            <w:rFonts w:ascii="FrankRuehl" w:hAnsi="FrankRuehl" w:cs="FrankRuehl"/>
            <w:rtl/>
          </w:rPr>
          <w:t>חוק העונשין, תשל"ז-1977</w:t>
        </w:r>
      </w:hyperlink>
      <w:r w:rsidRPr="004E3842">
        <w:rPr>
          <w:rFonts w:ascii="FrankRuehl" w:hAnsi="FrankRuehl" w:cs="FrankRuehl"/>
          <w:color w:val="0000FF"/>
          <w:u w:val="single"/>
          <w:rtl/>
        </w:rPr>
        <w:t xml:space="preserve">: סע'  </w:t>
      </w:r>
      <w:hyperlink r:id="rId17" w:history="1">
        <w:r w:rsidRPr="004E3842">
          <w:rPr>
            <w:rStyle w:val="Hyperlink"/>
            <w:rFonts w:ascii="FrankRuehl" w:hAnsi="FrankRuehl" w:cs="FrankRuehl"/>
          </w:rPr>
          <w:t>40</w:t>
        </w:r>
        <w:r w:rsidRPr="004E3842">
          <w:rPr>
            <w:rStyle w:val="Hyperlink"/>
            <w:rFonts w:ascii="FrankRuehl" w:hAnsi="FrankRuehl" w:cs="FrankRuehl"/>
            <w:rtl/>
          </w:rPr>
          <w:t>ג</w:t>
        </w:r>
        <w:r w:rsidRPr="004E3842">
          <w:rPr>
            <w:rStyle w:val="Hyperlink"/>
            <w:rFonts w:ascii="FrankRuehl" w:hAnsi="FrankRuehl" w:cs="FrankRuehl"/>
          </w:rPr>
          <w:t>'</w:t>
        </w:r>
      </w:hyperlink>
      <w:r w:rsidRPr="004E3842">
        <w:rPr>
          <w:rFonts w:ascii="FrankRuehl" w:hAnsi="FrankRuehl" w:cs="FrankRuehl"/>
          <w:color w:val="0000FF"/>
          <w:u w:val="single"/>
          <w:rtl/>
        </w:rPr>
        <w:t xml:space="preserve">, </w:t>
      </w:r>
      <w:hyperlink r:id="rId18" w:history="1">
        <w:r w:rsidRPr="004E3842">
          <w:rPr>
            <w:rStyle w:val="Hyperlink"/>
            <w:rFonts w:ascii="FrankRuehl" w:hAnsi="FrankRuehl" w:cs="FrankRuehl"/>
          </w:rPr>
          <w:t>275</w:t>
        </w:r>
      </w:hyperlink>
      <w:r w:rsidRPr="004E3842">
        <w:rPr>
          <w:rFonts w:ascii="FrankRuehl" w:hAnsi="FrankRuehl" w:cs="FrankRuehl"/>
          <w:color w:val="0000FF"/>
          <w:u w:val="single"/>
          <w:rtl/>
        </w:rPr>
        <w:t xml:space="preserve">, </w:t>
      </w:r>
      <w:hyperlink r:id="rId19" w:history="1">
        <w:r w:rsidRPr="004E3842">
          <w:rPr>
            <w:rStyle w:val="Hyperlink"/>
            <w:rFonts w:ascii="FrankRuehl" w:hAnsi="FrankRuehl" w:cs="FrankRuehl"/>
          </w:rPr>
          <w:t>40</w:t>
        </w:r>
        <w:r w:rsidRPr="004E3842">
          <w:rPr>
            <w:rStyle w:val="Hyperlink"/>
            <w:rFonts w:ascii="FrankRuehl" w:hAnsi="FrankRuehl" w:cs="FrankRuehl"/>
            <w:rtl/>
          </w:rPr>
          <w:t>יא</w:t>
        </w:r>
        <w:r w:rsidRPr="004E3842">
          <w:rPr>
            <w:rStyle w:val="Hyperlink"/>
            <w:rFonts w:ascii="FrankRuehl" w:hAnsi="FrankRuehl" w:cs="FrankRuehl"/>
          </w:rPr>
          <w:t>'</w:t>
        </w:r>
      </w:hyperlink>
    </w:p>
    <w:p w14:paraId="6CD40333" w14:textId="77777777" w:rsidR="007B0A36" w:rsidRPr="007B0A36" w:rsidRDefault="007B0A36">
      <w:pPr>
        <w:pStyle w:val="12"/>
        <w:jc w:val="center"/>
        <w:rPr>
          <w:sz w:val="32"/>
          <w:szCs w:val="32"/>
          <w:u w:val="none"/>
          <w:rtl/>
        </w:rPr>
      </w:pPr>
      <w:bookmarkStart w:id="5" w:name="StartProtocol"/>
    </w:p>
    <w:p w14:paraId="1C8BB224" w14:textId="77777777" w:rsidR="00F11BA9" w:rsidRDefault="007B0A36">
      <w:pPr>
        <w:spacing w:line="360" w:lineRule="auto"/>
        <w:jc w:val="center"/>
        <w:rPr>
          <w:rFonts w:ascii="Arial" w:hAnsi="Arial"/>
          <w:b/>
          <w:bCs/>
          <w:sz w:val="28"/>
          <w:szCs w:val="28"/>
          <w:u w:val="single"/>
          <w:rtl/>
        </w:rPr>
      </w:pPr>
      <w:bookmarkStart w:id="6" w:name="PsakDin"/>
      <w:bookmarkEnd w:id="0"/>
      <w:bookmarkEnd w:id="5"/>
      <w:r>
        <w:rPr>
          <w:rFonts w:ascii="Arial" w:hAnsi="Arial" w:hint="cs"/>
          <w:b/>
          <w:bCs/>
          <w:sz w:val="28"/>
          <w:szCs w:val="28"/>
          <w:u w:val="single"/>
          <w:rtl/>
        </w:rPr>
        <w:t>ג  ז  ר     ד  י  ן</w:t>
      </w:r>
    </w:p>
    <w:bookmarkEnd w:id="6"/>
    <w:p w14:paraId="363DD73C" w14:textId="77777777" w:rsidR="00F11BA9" w:rsidRDefault="007B0A36">
      <w:pPr>
        <w:spacing w:line="360" w:lineRule="auto"/>
        <w:rPr>
          <w:b/>
          <w:bCs/>
          <w:sz w:val="28"/>
          <w:szCs w:val="26"/>
          <w:rtl/>
        </w:rPr>
      </w:pPr>
      <w:r>
        <w:rPr>
          <w:b/>
          <w:bCs/>
          <w:sz w:val="28"/>
          <w:szCs w:val="26"/>
          <w:rtl/>
        </w:rPr>
        <w:t>האישומים וההליך הפלילי</w:t>
      </w:r>
    </w:p>
    <w:p w14:paraId="7D76EF8F" w14:textId="77777777" w:rsidR="00F11BA9" w:rsidRDefault="007B0A36">
      <w:pPr>
        <w:spacing w:line="360" w:lineRule="auto"/>
        <w:jc w:val="both"/>
        <w:rPr>
          <w:sz w:val="26"/>
          <w:szCs w:val="26"/>
          <w:rtl/>
        </w:rPr>
      </w:pPr>
      <w:r>
        <w:rPr>
          <w:sz w:val="26"/>
          <w:szCs w:val="26"/>
          <w:rtl/>
        </w:rPr>
        <w:t>1.</w:t>
      </w:r>
      <w:r>
        <w:rPr>
          <w:sz w:val="26"/>
          <w:szCs w:val="26"/>
          <w:rtl/>
        </w:rPr>
        <w:tab/>
        <w:t xml:space="preserve">הנאשם, צעיר יליד 1986, עומד לדין בגין עבירות לפי </w:t>
      </w:r>
      <w:hyperlink r:id="rId20" w:history="1">
        <w:r w:rsidRPr="007B0A36">
          <w:rPr>
            <w:rStyle w:val="Hyperlink"/>
            <w:sz w:val="26"/>
            <w:szCs w:val="26"/>
            <w:rtl/>
          </w:rPr>
          <w:t>פקודת הסמים המסוכנים</w:t>
        </w:r>
      </w:hyperlink>
      <w:r>
        <w:rPr>
          <w:sz w:val="26"/>
          <w:szCs w:val="26"/>
          <w:rtl/>
        </w:rPr>
        <w:t xml:space="preserve"> [נוסח חדש], תשל"ג-1973 (להלן: </w:t>
      </w:r>
      <w:r>
        <w:rPr>
          <w:b/>
          <w:bCs/>
          <w:sz w:val="26"/>
          <w:szCs w:val="26"/>
          <w:rtl/>
        </w:rPr>
        <w:t>פקודת הסמים</w:t>
      </w:r>
      <w:r>
        <w:rPr>
          <w:sz w:val="26"/>
          <w:szCs w:val="26"/>
          <w:rtl/>
        </w:rPr>
        <w:t>) ועבירות נלוות. כתב האישום כולל שני אישומים שעובדותיהם כדלקמן:</w:t>
      </w:r>
    </w:p>
    <w:p w14:paraId="56D14E30" w14:textId="77777777" w:rsidR="00F11BA9" w:rsidRDefault="00F11BA9">
      <w:pPr>
        <w:spacing w:line="360" w:lineRule="auto"/>
        <w:jc w:val="both"/>
        <w:rPr>
          <w:sz w:val="26"/>
          <w:szCs w:val="26"/>
          <w:rtl/>
        </w:rPr>
      </w:pPr>
    </w:p>
    <w:p w14:paraId="36B1706A" w14:textId="77777777" w:rsidR="00F11BA9" w:rsidRDefault="007B0A36">
      <w:pPr>
        <w:spacing w:line="360" w:lineRule="auto"/>
        <w:jc w:val="both"/>
        <w:rPr>
          <w:sz w:val="26"/>
          <w:szCs w:val="26"/>
          <w:rtl/>
        </w:rPr>
      </w:pPr>
      <w:r>
        <w:rPr>
          <w:rFonts w:hint="cs"/>
          <w:sz w:val="26"/>
          <w:szCs w:val="26"/>
          <w:rtl/>
        </w:rPr>
        <w:t>2.</w:t>
      </w:r>
      <w:r>
        <w:rPr>
          <w:sz w:val="26"/>
          <w:szCs w:val="26"/>
          <w:rtl/>
        </w:rPr>
        <w:tab/>
        <w:t>באישום הראשון נאמר, כי בתאריך 1.10.09 בחיפוש בדירת הנאשם ברח' סוקולוב בחולון, החזיק הנאשם סם מסוכן מסוג חשיש (ב-12 יחידות נפרדות) שמשקלו הכולל כ-</w:t>
      </w:r>
      <w:smartTag w:uri="urn:schemas-microsoft-com:office:smarttags" w:element="metricconverter">
        <w:smartTagPr>
          <w:attr w:name="ProductID" w:val="267 גרם"/>
        </w:smartTagPr>
        <w:r>
          <w:rPr>
            <w:sz w:val="26"/>
            <w:szCs w:val="26"/>
            <w:rtl/>
          </w:rPr>
          <w:t xml:space="preserve">267 </w:t>
        </w:r>
        <w:r>
          <w:rPr>
            <w:sz w:val="26"/>
            <w:szCs w:val="26"/>
            <w:rtl/>
          </w:rPr>
          <w:lastRenderedPageBreak/>
          <w:t>גרם</w:t>
        </w:r>
      </w:smartTag>
      <w:r>
        <w:rPr>
          <w:sz w:val="26"/>
          <w:szCs w:val="26"/>
          <w:rtl/>
        </w:rPr>
        <w:t xml:space="preserve"> נטו, שלא לצריכה עצמית. הנאשם הואשם ב</w:t>
      </w:r>
      <w:r>
        <w:rPr>
          <w:b/>
          <w:bCs/>
          <w:sz w:val="26"/>
          <w:szCs w:val="26"/>
          <w:rtl/>
        </w:rPr>
        <w:t>החזקת סם מסוכן שלא לצריכה עצמית</w:t>
      </w:r>
      <w:r>
        <w:rPr>
          <w:sz w:val="26"/>
          <w:szCs w:val="26"/>
          <w:rtl/>
        </w:rPr>
        <w:t xml:space="preserve">, לפי </w:t>
      </w:r>
      <w:hyperlink r:id="rId21" w:history="1">
        <w:r w:rsidR="004E3842" w:rsidRPr="004E3842">
          <w:rPr>
            <w:rStyle w:val="Hyperlink"/>
            <w:sz w:val="26"/>
            <w:szCs w:val="26"/>
            <w:rtl/>
          </w:rPr>
          <w:t>הסעיפים 7(א)</w:t>
        </w:r>
      </w:hyperlink>
      <w:r>
        <w:rPr>
          <w:sz w:val="26"/>
          <w:szCs w:val="26"/>
          <w:rtl/>
        </w:rPr>
        <w:t xml:space="preserve"> ו-</w:t>
      </w:r>
      <w:hyperlink r:id="rId22" w:history="1">
        <w:r w:rsidR="004E3842" w:rsidRPr="004E3842">
          <w:rPr>
            <w:rStyle w:val="Hyperlink"/>
            <w:sz w:val="26"/>
            <w:szCs w:val="26"/>
            <w:rtl/>
          </w:rPr>
          <w:t>7(ג)</w:t>
        </w:r>
      </w:hyperlink>
      <w:r>
        <w:rPr>
          <w:sz w:val="26"/>
          <w:szCs w:val="26"/>
          <w:rtl/>
        </w:rPr>
        <w:t xml:space="preserve"> רישא לפקודת הסמים. </w:t>
      </w:r>
    </w:p>
    <w:p w14:paraId="50325857" w14:textId="77777777" w:rsidR="00F11BA9" w:rsidRDefault="00F11BA9">
      <w:pPr>
        <w:spacing w:line="360" w:lineRule="auto"/>
        <w:jc w:val="both"/>
        <w:rPr>
          <w:sz w:val="26"/>
          <w:szCs w:val="26"/>
          <w:rtl/>
        </w:rPr>
      </w:pPr>
    </w:p>
    <w:p w14:paraId="3673E689" w14:textId="77777777" w:rsidR="00F11BA9" w:rsidRDefault="007B0A36">
      <w:pPr>
        <w:spacing w:line="360" w:lineRule="auto"/>
        <w:jc w:val="both"/>
        <w:rPr>
          <w:sz w:val="26"/>
          <w:szCs w:val="26"/>
          <w:rtl/>
        </w:rPr>
      </w:pPr>
      <w:r>
        <w:rPr>
          <w:sz w:val="26"/>
          <w:szCs w:val="26"/>
          <w:rtl/>
        </w:rPr>
        <w:t>3.</w:t>
      </w:r>
      <w:r>
        <w:rPr>
          <w:sz w:val="26"/>
          <w:szCs w:val="26"/>
          <w:rtl/>
        </w:rPr>
        <w:tab/>
        <w:t xml:space="preserve">באותו אישום נאמר, כי הנאשם מסר לשוטר בתפקיד כתובת לא נכונה, ולפיכך הואשם בעבירה של </w:t>
      </w:r>
      <w:r>
        <w:rPr>
          <w:b/>
          <w:bCs/>
          <w:sz w:val="26"/>
          <w:szCs w:val="26"/>
          <w:rtl/>
        </w:rPr>
        <w:t>הפרעה לשוטר בשעת מילוי תפקידו</w:t>
      </w:r>
      <w:r>
        <w:rPr>
          <w:sz w:val="26"/>
          <w:szCs w:val="26"/>
          <w:rtl/>
        </w:rPr>
        <w:t xml:space="preserve">, לפי </w:t>
      </w:r>
      <w:hyperlink r:id="rId23" w:history="1">
        <w:r w:rsidR="004E3842" w:rsidRPr="004E3842">
          <w:rPr>
            <w:rStyle w:val="Hyperlink"/>
            <w:sz w:val="26"/>
            <w:szCs w:val="26"/>
            <w:rtl/>
          </w:rPr>
          <w:t>סעיף 275</w:t>
        </w:r>
      </w:hyperlink>
      <w:r>
        <w:rPr>
          <w:sz w:val="26"/>
          <w:szCs w:val="26"/>
          <w:rtl/>
        </w:rPr>
        <w:t xml:space="preserve"> ל</w:t>
      </w:r>
      <w:hyperlink r:id="rId24" w:history="1">
        <w:r w:rsidRPr="007B0A36">
          <w:rPr>
            <w:rStyle w:val="Hyperlink"/>
            <w:sz w:val="26"/>
            <w:szCs w:val="26"/>
            <w:rtl/>
          </w:rPr>
          <w:t>חוק העונשין</w:t>
        </w:r>
      </w:hyperlink>
      <w:r>
        <w:rPr>
          <w:sz w:val="26"/>
          <w:szCs w:val="26"/>
          <w:rtl/>
        </w:rPr>
        <w:t xml:space="preserve">, התשל"ז-1977 (להלן: </w:t>
      </w:r>
      <w:r>
        <w:rPr>
          <w:b/>
          <w:bCs/>
          <w:sz w:val="26"/>
          <w:szCs w:val="26"/>
          <w:rtl/>
        </w:rPr>
        <w:t>חוק העונשין</w:t>
      </w:r>
      <w:r>
        <w:rPr>
          <w:sz w:val="26"/>
          <w:szCs w:val="26"/>
          <w:rtl/>
        </w:rPr>
        <w:t>).</w:t>
      </w:r>
    </w:p>
    <w:p w14:paraId="175FE2F3" w14:textId="77777777" w:rsidR="00F11BA9" w:rsidRDefault="00F11BA9">
      <w:pPr>
        <w:spacing w:line="360" w:lineRule="auto"/>
        <w:jc w:val="both"/>
        <w:rPr>
          <w:sz w:val="26"/>
          <w:szCs w:val="26"/>
          <w:rtl/>
        </w:rPr>
      </w:pPr>
    </w:p>
    <w:p w14:paraId="54923B33" w14:textId="77777777" w:rsidR="00F11BA9" w:rsidRDefault="007B0A36">
      <w:pPr>
        <w:spacing w:line="360" w:lineRule="auto"/>
        <w:jc w:val="both"/>
        <w:rPr>
          <w:sz w:val="26"/>
          <w:szCs w:val="26"/>
          <w:rtl/>
        </w:rPr>
      </w:pPr>
      <w:r>
        <w:rPr>
          <w:sz w:val="26"/>
          <w:szCs w:val="26"/>
          <w:rtl/>
        </w:rPr>
        <w:t>4.</w:t>
      </w:r>
      <w:r>
        <w:rPr>
          <w:sz w:val="26"/>
          <w:szCs w:val="26"/>
          <w:rtl/>
        </w:rPr>
        <w:tab/>
        <w:t xml:space="preserve">באישום השני מואשם הנאשם בכך שבתאריך 24.8.10, בפינת הרחובות החשמונאים וקרייתי בעיר בת-ים, החזיק הנאשם ברשותו, שלא לצריכה עצמית, סם מסוכן מסוג חשיש שמשקלו </w:t>
      </w:r>
      <w:smartTag w:uri="urn:schemas-microsoft-com:office:smarttags" w:element="metricconverter">
        <w:smartTagPr>
          <w:attr w:name="ProductID" w:val="51.9 גרם"/>
        </w:smartTagPr>
        <w:r>
          <w:rPr>
            <w:sz w:val="26"/>
            <w:szCs w:val="26"/>
            <w:rtl/>
          </w:rPr>
          <w:t>51.9 גרם</w:t>
        </w:r>
      </w:smartTag>
      <w:r>
        <w:rPr>
          <w:sz w:val="26"/>
          <w:szCs w:val="26"/>
          <w:rtl/>
        </w:rPr>
        <w:t xml:space="preserve"> נטו. הוא מואשם ב</w:t>
      </w:r>
      <w:r>
        <w:rPr>
          <w:b/>
          <w:bCs/>
          <w:sz w:val="26"/>
          <w:szCs w:val="26"/>
          <w:rtl/>
        </w:rPr>
        <w:t>החזקת סם מסוכן שלא לצריכה עצמית</w:t>
      </w:r>
      <w:r>
        <w:rPr>
          <w:sz w:val="26"/>
          <w:szCs w:val="26"/>
          <w:rtl/>
        </w:rPr>
        <w:t xml:space="preserve">, לפי </w:t>
      </w:r>
      <w:hyperlink r:id="rId25" w:history="1">
        <w:r w:rsidR="004E3842" w:rsidRPr="004E3842">
          <w:rPr>
            <w:rStyle w:val="Hyperlink"/>
            <w:sz w:val="26"/>
            <w:szCs w:val="26"/>
            <w:rtl/>
          </w:rPr>
          <w:t>הסעיפים 7(א)</w:t>
        </w:r>
      </w:hyperlink>
      <w:r>
        <w:rPr>
          <w:sz w:val="26"/>
          <w:szCs w:val="26"/>
          <w:rtl/>
        </w:rPr>
        <w:t xml:space="preserve"> ו-</w:t>
      </w:r>
      <w:hyperlink r:id="rId26" w:history="1">
        <w:r w:rsidR="004E3842" w:rsidRPr="004E3842">
          <w:rPr>
            <w:rStyle w:val="Hyperlink"/>
            <w:sz w:val="26"/>
            <w:szCs w:val="26"/>
            <w:rtl/>
          </w:rPr>
          <w:t>7(ג)</w:t>
        </w:r>
      </w:hyperlink>
      <w:r>
        <w:rPr>
          <w:sz w:val="26"/>
          <w:szCs w:val="26"/>
          <w:rtl/>
        </w:rPr>
        <w:t xml:space="preserve"> רישא לפקודת הסמים, וכן בעבירה שעניינה </w:t>
      </w:r>
      <w:r>
        <w:rPr>
          <w:b/>
          <w:bCs/>
          <w:sz w:val="26"/>
          <w:szCs w:val="26"/>
          <w:rtl/>
        </w:rPr>
        <w:t xml:space="preserve">הפרעה לשוטר בשעת מילוי תפקידו, </w:t>
      </w:r>
      <w:r>
        <w:rPr>
          <w:sz w:val="26"/>
          <w:szCs w:val="26"/>
          <w:rtl/>
        </w:rPr>
        <w:t xml:space="preserve"> </w:t>
      </w:r>
    </w:p>
    <w:p w14:paraId="08F5F2D7" w14:textId="77777777" w:rsidR="00F11BA9" w:rsidRDefault="007B0A36">
      <w:pPr>
        <w:spacing w:line="360" w:lineRule="auto"/>
        <w:jc w:val="both"/>
        <w:rPr>
          <w:sz w:val="26"/>
          <w:szCs w:val="26"/>
          <w:rtl/>
        </w:rPr>
      </w:pPr>
      <w:r>
        <w:rPr>
          <w:sz w:val="26"/>
          <w:szCs w:val="26"/>
          <w:rtl/>
        </w:rPr>
        <w:t xml:space="preserve">משום שהשליך את הסם ארצה לבל ייתפס. </w:t>
      </w:r>
    </w:p>
    <w:p w14:paraId="5E71D761" w14:textId="77777777" w:rsidR="00F11BA9" w:rsidRDefault="00F11BA9">
      <w:pPr>
        <w:spacing w:line="360" w:lineRule="auto"/>
        <w:jc w:val="both"/>
        <w:rPr>
          <w:sz w:val="26"/>
          <w:szCs w:val="26"/>
          <w:rtl/>
        </w:rPr>
      </w:pPr>
    </w:p>
    <w:p w14:paraId="506083B2" w14:textId="77777777" w:rsidR="00F11BA9" w:rsidRDefault="007B0A36">
      <w:pPr>
        <w:spacing w:line="360" w:lineRule="auto"/>
        <w:jc w:val="both"/>
        <w:rPr>
          <w:sz w:val="26"/>
          <w:szCs w:val="26"/>
          <w:rtl/>
        </w:rPr>
      </w:pPr>
      <w:r>
        <w:rPr>
          <w:sz w:val="26"/>
          <w:szCs w:val="26"/>
          <w:rtl/>
        </w:rPr>
        <w:t>5.</w:t>
      </w:r>
      <w:r>
        <w:rPr>
          <w:sz w:val="26"/>
          <w:szCs w:val="26"/>
          <w:rtl/>
        </w:rPr>
        <w:tab/>
        <w:t>הליכי המשפט נמשכו ונפתלו, שכן, תחילה כפר הנאשם במיוחס לו ונקבע מועד לשמיעת ההוכחות, אלא שהמועד נדחה לבקשתו, ורק ב-16.5.13 הגענו כדי שמיעת ההוכחות בתיק. במהלכן הודיע הסנגור, כי המחלוקת מתמקדת בשאלה אחת - האם החזיק הנאשם בסם לצריכה עצמית או שלא לצריכה עצמית.</w:t>
      </w:r>
    </w:p>
    <w:p w14:paraId="21A92D3D" w14:textId="77777777" w:rsidR="00F11BA9" w:rsidRDefault="00F11BA9">
      <w:pPr>
        <w:spacing w:line="360" w:lineRule="auto"/>
        <w:jc w:val="both"/>
        <w:rPr>
          <w:sz w:val="26"/>
          <w:szCs w:val="26"/>
          <w:rtl/>
        </w:rPr>
      </w:pPr>
    </w:p>
    <w:p w14:paraId="72395460" w14:textId="77777777" w:rsidR="00F11BA9" w:rsidRDefault="007B0A36">
      <w:pPr>
        <w:spacing w:line="360" w:lineRule="auto"/>
        <w:jc w:val="both"/>
        <w:rPr>
          <w:sz w:val="26"/>
          <w:szCs w:val="26"/>
          <w:rtl/>
        </w:rPr>
      </w:pPr>
      <w:r>
        <w:rPr>
          <w:sz w:val="26"/>
          <w:szCs w:val="26"/>
          <w:rtl/>
        </w:rPr>
        <w:t>6.</w:t>
      </w:r>
      <w:r>
        <w:rPr>
          <w:sz w:val="26"/>
          <w:szCs w:val="26"/>
          <w:rtl/>
        </w:rPr>
        <w:tab/>
        <w:t xml:space="preserve">בסיום אותו דיון ביקש הנאשם לחזור בו מכפירתו, והודה במיוחס לו. על יסוד ההודאה הורשע הנאשם בשני פרטי אישום שעניינם </w:t>
      </w:r>
      <w:r>
        <w:rPr>
          <w:b/>
          <w:bCs/>
          <w:sz w:val="26"/>
          <w:szCs w:val="26"/>
          <w:rtl/>
        </w:rPr>
        <w:t>החזקת סם מסוכן שלא לצריכה עצמית</w:t>
      </w:r>
      <w:r>
        <w:rPr>
          <w:sz w:val="26"/>
          <w:szCs w:val="26"/>
          <w:rtl/>
        </w:rPr>
        <w:t xml:space="preserve">, לפי </w:t>
      </w:r>
      <w:hyperlink r:id="rId27" w:history="1">
        <w:r w:rsidR="004E3842" w:rsidRPr="004E3842">
          <w:rPr>
            <w:rStyle w:val="Hyperlink"/>
            <w:sz w:val="26"/>
            <w:szCs w:val="26"/>
            <w:rtl/>
          </w:rPr>
          <w:t>הסעיפים 7(א)</w:t>
        </w:r>
      </w:hyperlink>
      <w:r>
        <w:rPr>
          <w:sz w:val="26"/>
          <w:szCs w:val="26"/>
          <w:rtl/>
        </w:rPr>
        <w:t xml:space="preserve"> ו-</w:t>
      </w:r>
      <w:hyperlink r:id="rId28" w:history="1">
        <w:r w:rsidR="004E3842" w:rsidRPr="004E3842">
          <w:rPr>
            <w:rStyle w:val="Hyperlink"/>
            <w:sz w:val="26"/>
            <w:szCs w:val="26"/>
            <w:rtl/>
          </w:rPr>
          <w:t>7(ג)</w:t>
        </w:r>
      </w:hyperlink>
      <w:r>
        <w:rPr>
          <w:sz w:val="26"/>
          <w:szCs w:val="26"/>
          <w:rtl/>
        </w:rPr>
        <w:t xml:space="preserve"> רישא לפקודת הסמים, וכן, בשני פרטי אישום שעניינם </w:t>
      </w:r>
      <w:r>
        <w:rPr>
          <w:b/>
          <w:bCs/>
          <w:sz w:val="26"/>
          <w:szCs w:val="26"/>
          <w:rtl/>
        </w:rPr>
        <w:t>הפרעה לשוטר בשעת מילוי תפקידו</w:t>
      </w:r>
      <w:r>
        <w:rPr>
          <w:sz w:val="26"/>
          <w:szCs w:val="26"/>
          <w:rtl/>
        </w:rPr>
        <w:t xml:space="preserve">, לפי </w:t>
      </w:r>
      <w:hyperlink r:id="rId29" w:history="1">
        <w:r w:rsidR="004E3842" w:rsidRPr="004E3842">
          <w:rPr>
            <w:rStyle w:val="Hyperlink"/>
            <w:sz w:val="26"/>
            <w:szCs w:val="26"/>
            <w:rtl/>
          </w:rPr>
          <w:t>סעיף 275</w:t>
        </w:r>
      </w:hyperlink>
      <w:r>
        <w:rPr>
          <w:sz w:val="26"/>
          <w:szCs w:val="26"/>
          <w:rtl/>
        </w:rPr>
        <w:t xml:space="preserve"> ל</w:t>
      </w:r>
      <w:hyperlink r:id="rId30" w:history="1">
        <w:r w:rsidRPr="007B0A36">
          <w:rPr>
            <w:rStyle w:val="Hyperlink"/>
            <w:sz w:val="26"/>
            <w:szCs w:val="26"/>
            <w:rtl/>
          </w:rPr>
          <w:t>חוק העונשין</w:t>
        </w:r>
      </w:hyperlink>
      <w:r>
        <w:rPr>
          <w:sz w:val="26"/>
          <w:szCs w:val="26"/>
          <w:rtl/>
        </w:rPr>
        <w:t>.</w:t>
      </w:r>
    </w:p>
    <w:p w14:paraId="1C66D133" w14:textId="77777777" w:rsidR="00F11BA9" w:rsidRDefault="007B0A36">
      <w:pPr>
        <w:spacing w:line="360" w:lineRule="auto"/>
        <w:jc w:val="both"/>
        <w:rPr>
          <w:sz w:val="26"/>
          <w:szCs w:val="26"/>
          <w:rtl/>
        </w:rPr>
      </w:pPr>
      <w:r>
        <w:rPr>
          <w:sz w:val="26"/>
          <w:szCs w:val="26"/>
          <w:rtl/>
        </w:rPr>
        <w:t xml:space="preserve">  </w:t>
      </w:r>
      <w:r>
        <w:rPr>
          <w:sz w:val="26"/>
          <w:szCs w:val="26"/>
          <w:rtl/>
        </w:rPr>
        <w:tab/>
      </w:r>
    </w:p>
    <w:p w14:paraId="2F7461C7" w14:textId="77777777" w:rsidR="00F11BA9" w:rsidRDefault="007B0A36">
      <w:pPr>
        <w:spacing w:line="360" w:lineRule="auto"/>
        <w:jc w:val="both"/>
        <w:rPr>
          <w:sz w:val="26"/>
          <w:szCs w:val="26"/>
          <w:rtl/>
        </w:rPr>
      </w:pPr>
      <w:r>
        <w:rPr>
          <w:sz w:val="26"/>
          <w:szCs w:val="26"/>
          <w:rtl/>
        </w:rPr>
        <w:t>7.</w:t>
      </w:r>
      <w:r>
        <w:rPr>
          <w:sz w:val="26"/>
          <w:szCs w:val="26"/>
          <w:rtl/>
        </w:rPr>
        <w:tab/>
        <w:t>שמיעת הטיעונים לעונש נקבעה לתאריך 8.10.13, מועד שבו התקבל תסקיר מבחן שפרט את נסיבותיו האישיות של הנאשם. בתסקיר נסקרו נסיבותיו האישיות של הנאשם, נסיבותיו המשפחתיות, הידרדרותו לשימוש בסמים, והעבר המכביד שצבר, אלא שהוטעם, כי הנאשם נרתם להליך טיפולי-שיקומי, והוא מקפיד לשתף פעולה, אף משתף בעולמו הפנימי, וכיום השתפרה מודעותו למגבלותיו ודחפיו, ולצורך בעריכת שינוי משמעותי בחייו. בתאריך 1.1.14 התקבל תסקיר משלים. דווח בו כי הטיפול השיקומי הקבוצתי הופסק לאחר תקופה ממושכת, וזאת, משום שהנאשם לא הצליח לשמור על כללי המסגרת. יחד עם זאת, ממשיך הנאשם בטיפול פרטני, ובדיקות השתן שהוא מוסר בקביעות נקיות משרידי סם. קצין המבחן התרשם כי השתפרה מודעותו של הנאשם לעצמו ולדחפיו התוקפניים, וכיום הוא חדור מוטיבציה להתקדם בטיפול ולהשיג הישגים. קצין המבחן, מר יבגני פקין המליץ על עונש של מאסר שירוצה בעבודות שרות, והטלת צו של"צ למשך 18 חודשים.</w:t>
      </w:r>
    </w:p>
    <w:p w14:paraId="1ED7D760" w14:textId="77777777" w:rsidR="00F11BA9" w:rsidRDefault="00F11BA9">
      <w:pPr>
        <w:spacing w:line="360" w:lineRule="auto"/>
        <w:jc w:val="both"/>
        <w:rPr>
          <w:sz w:val="26"/>
          <w:szCs w:val="26"/>
          <w:rtl/>
        </w:rPr>
      </w:pPr>
    </w:p>
    <w:p w14:paraId="596E4DAC" w14:textId="77777777" w:rsidR="00F11BA9" w:rsidRDefault="007B0A36">
      <w:pPr>
        <w:spacing w:line="360" w:lineRule="auto"/>
        <w:jc w:val="both"/>
        <w:rPr>
          <w:sz w:val="26"/>
          <w:szCs w:val="26"/>
          <w:rtl/>
        </w:rPr>
      </w:pPr>
      <w:r>
        <w:rPr>
          <w:sz w:val="26"/>
          <w:szCs w:val="26"/>
          <w:rtl/>
        </w:rPr>
        <w:t>8.</w:t>
      </w:r>
      <w:r>
        <w:rPr>
          <w:sz w:val="26"/>
          <w:szCs w:val="26"/>
          <w:rtl/>
        </w:rPr>
        <w:tab/>
        <w:t xml:space="preserve">עקב מורכבות מצבו המשפטי של הנאשם, שנבע מהליך פלילי נוסף שהתנהל במקביל בבית משפט השלום בראשל"צ, בו הואשם בעבירות </w:t>
      </w:r>
      <w:r>
        <w:rPr>
          <w:b/>
          <w:bCs/>
          <w:sz w:val="26"/>
          <w:szCs w:val="26"/>
          <w:rtl/>
        </w:rPr>
        <w:t>סחר בסם מסוכן</w:t>
      </w:r>
      <w:r>
        <w:rPr>
          <w:sz w:val="26"/>
          <w:szCs w:val="26"/>
          <w:rtl/>
        </w:rPr>
        <w:t xml:space="preserve"> (</w:t>
      </w:r>
      <w:hyperlink r:id="rId31" w:history="1">
        <w:r w:rsidRPr="007B0A36">
          <w:rPr>
            <w:rStyle w:val="Hyperlink"/>
            <w:sz w:val="26"/>
            <w:szCs w:val="26"/>
            <w:rtl/>
          </w:rPr>
          <w:t>ת"פ 12585-10-10</w:t>
        </w:r>
      </w:hyperlink>
      <w:r>
        <w:rPr>
          <w:sz w:val="26"/>
          <w:szCs w:val="26"/>
          <w:rtl/>
        </w:rPr>
        <w:t>), ונראה שהצדדים הגיעו בו להסדר טיעון, והדיונים נדחו בהמלצת בית המשפט מעת לעת במטרה לעקוב אחרי ולעמוד על מידת הצלחת ההליך השיקומי שעובר הנאשם, התבקשתי גם אני לדחות את הטיעונים לעונש בתיק זה למועד אחר, עד לאחר שיתחיל הנאשם לשאת עונש מאסר בעבודות שרות. הצעותיי לסנגור לצרף תיק זה לתיק האחר נדחו בשתי ידיים. רק ב-12.2.14 ניתן גזר הדין בבית משפט השלום בראשל"צ. על הנאשם נגזרו 6 חודשי מאסר לריצוי בעבודות שרות, ועונשי מאסר על תנאי, וניתן צו פיקוח מבחן למשך 18 חודשים.</w:t>
      </w:r>
    </w:p>
    <w:p w14:paraId="77A6AA7B" w14:textId="77777777" w:rsidR="00F11BA9" w:rsidRDefault="00F11BA9">
      <w:pPr>
        <w:spacing w:line="360" w:lineRule="auto"/>
        <w:jc w:val="both"/>
        <w:rPr>
          <w:sz w:val="26"/>
          <w:szCs w:val="26"/>
          <w:rtl/>
        </w:rPr>
      </w:pPr>
    </w:p>
    <w:p w14:paraId="4FE71935" w14:textId="77777777" w:rsidR="00F11BA9" w:rsidRDefault="007B0A36">
      <w:pPr>
        <w:spacing w:line="360" w:lineRule="auto"/>
        <w:jc w:val="both"/>
        <w:rPr>
          <w:b/>
          <w:bCs/>
          <w:sz w:val="26"/>
          <w:szCs w:val="26"/>
          <w:rtl/>
        </w:rPr>
      </w:pPr>
      <w:r>
        <w:rPr>
          <w:b/>
          <w:bCs/>
          <w:sz w:val="26"/>
          <w:szCs w:val="26"/>
          <w:rtl/>
        </w:rPr>
        <w:t>הטיעונים לעונש</w:t>
      </w:r>
    </w:p>
    <w:p w14:paraId="6FBEEF13" w14:textId="77777777" w:rsidR="00F11BA9" w:rsidRDefault="00F11BA9">
      <w:pPr>
        <w:spacing w:line="360" w:lineRule="auto"/>
        <w:jc w:val="both"/>
        <w:rPr>
          <w:sz w:val="26"/>
          <w:szCs w:val="26"/>
          <w:rtl/>
        </w:rPr>
      </w:pPr>
    </w:p>
    <w:p w14:paraId="0AE6B087" w14:textId="77777777" w:rsidR="00F11BA9" w:rsidRDefault="007B0A36">
      <w:pPr>
        <w:spacing w:line="360" w:lineRule="auto"/>
        <w:jc w:val="both"/>
        <w:rPr>
          <w:sz w:val="26"/>
          <w:szCs w:val="26"/>
          <w:rtl/>
        </w:rPr>
      </w:pPr>
      <w:r>
        <w:rPr>
          <w:sz w:val="26"/>
          <w:szCs w:val="26"/>
          <w:rtl/>
        </w:rPr>
        <w:t>9.</w:t>
      </w:r>
      <w:r>
        <w:rPr>
          <w:sz w:val="26"/>
          <w:szCs w:val="26"/>
          <w:rtl/>
        </w:rPr>
        <w:tab/>
        <w:t xml:space="preserve">ב"כ המאשימה ביקשה בטיעוניה לעונש לתת משקל רב לחומרה לעבירות שעבר לפי פקודת הסמים, לנסיבות הכרוכות בעבירות, קרי: כמויות הסם שהחזיק, והעובדה שבמהלך תפיסתו הפריע לשוטרים בשעת מילוי תפקידם, וכן, פגיעתם של המעשים בערכים חברתיים מוגנים, שעיקרם מלחמת החורמה שמנהלת החברה בתופעת הסמים. לטענת ב"כ המאשימה, מתחם העונש ההולם את עבירות הסמים שעבר הנאשם הוא בין 4 חודשי מאסר בפועל ברף התחתון, ו-12 חודשי מאסר בפועל ברף העליון, בצירוף רכיבים עונשיים נוספים. המתחם ההולם, לדעתה, את העבירות שעניינן הפרעה לשוטר בשעת מילוי תפקידו הוא בין מספר חודשי מאסר על תנאי ברף התחתון, לבין חודשי מאסר ספורים ברף העליון. </w:t>
      </w:r>
    </w:p>
    <w:p w14:paraId="4F0EF200" w14:textId="77777777" w:rsidR="00F11BA9" w:rsidRDefault="00F11BA9">
      <w:pPr>
        <w:spacing w:line="360" w:lineRule="auto"/>
        <w:jc w:val="both"/>
        <w:rPr>
          <w:sz w:val="26"/>
          <w:szCs w:val="26"/>
          <w:rtl/>
        </w:rPr>
      </w:pPr>
    </w:p>
    <w:p w14:paraId="0B66C45E" w14:textId="77777777" w:rsidR="00F11BA9" w:rsidRDefault="007B0A36">
      <w:pPr>
        <w:spacing w:line="360" w:lineRule="auto"/>
        <w:jc w:val="both"/>
        <w:rPr>
          <w:sz w:val="26"/>
          <w:szCs w:val="26"/>
          <w:rtl/>
        </w:rPr>
      </w:pPr>
      <w:r>
        <w:rPr>
          <w:sz w:val="26"/>
          <w:szCs w:val="26"/>
          <w:rtl/>
        </w:rPr>
        <w:t>10.</w:t>
      </w:r>
      <w:r>
        <w:rPr>
          <w:sz w:val="26"/>
          <w:szCs w:val="26"/>
          <w:rtl/>
        </w:rPr>
        <w:tab/>
        <w:t>בהתייחסה לעברו הפלילי המכביד של הנאשם - 6 הרשעות קודמות המחזיקות 16 תיקים, ועונשי מאסר בפועל שכבר ריצה, גורם מחמיר בקביעת מקומו של העונש בתוך המתחם; ומאידך גיסא, הירתמותו של הנאשם להליך טיפולי שיקומי בחסות שרות המבחן, וכן, לאורה של מדיניות הענישה הנוהגת [</w:t>
      </w:r>
      <w:hyperlink r:id="rId32" w:history="1">
        <w:r w:rsidRPr="007B0A36">
          <w:rPr>
            <w:rStyle w:val="Hyperlink"/>
            <w:sz w:val="26"/>
            <w:szCs w:val="26"/>
            <w:rtl/>
          </w:rPr>
          <w:t>רע"פ 8374/06</w:t>
        </w:r>
      </w:hyperlink>
      <w:r>
        <w:rPr>
          <w:sz w:val="26"/>
          <w:szCs w:val="26"/>
          <w:rtl/>
        </w:rPr>
        <w:t xml:space="preserve"> </w:t>
      </w:r>
      <w:r>
        <w:rPr>
          <w:b/>
          <w:bCs/>
          <w:sz w:val="26"/>
          <w:szCs w:val="26"/>
          <w:rtl/>
        </w:rPr>
        <w:t>גילילוב נ' מדינת ישראל</w:t>
      </w:r>
      <w:r>
        <w:rPr>
          <w:sz w:val="26"/>
          <w:szCs w:val="26"/>
          <w:rtl/>
        </w:rPr>
        <w:t xml:space="preserve"> (12.12.06)], עתרה ב"כ המאשימה לגזור על הנאשם מאסר בפועל בן 6 חודשים שאותו יוכל הנאשם לשאת בעבודות שרות אם יימצא מתאים, ובצדו מאסר על תנאי וקנס כספי.</w:t>
      </w:r>
    </w:p>
    <w:p w14:paraId="0087FFE0" w14:textId="77777777" w:rsidR="00F11BA9" w:rsidRDefault="00F11BA9">
      <w:pPr>
        <w:spacing w:line="360" w:lineRule="auto"/>
        <w:jc w:val="both"/>
        <w:rPr>
          <w:sz w:val="26"/>
          <w:szCs w:val="26"/>
          <w:rtl/>
        </w:rPr>
      </w:pPr>
    </w:p>
    <w:p w14:paraId="7C6FF0EA" w14:textId="77777777" w:rsidR="00F11BA9" w:rsidRDefault="007B0A36">
      <w:pPr>
        <w:spacing w:line="360" w:lineRule="auto"/>
        <w:jc w:val="both"/>
        <w:rPr>
          <w:sz w:val="26"/>
          <w:szCs w:val="26"/>
          <w:rtl/>
        </w:rPr>
      </w:pPr>
      <w:r>
        <w:rPr>
          <w:sz w:val="26"/>
          <w:szCs w:val="26"/>
          <w:rtl/>
        </w:rPr>
        <w:t>11.</w:t>
      </w:r>
      <w:r>
        <w:rPr>
          <w:sz w:val="26"/>
          <w:szCs w:val="26"/>
          <w:rtl/>
        </w:rPr>
        <w:tab/>
        <w:t xml:space="preserve">ב"כ  הנאשם לא הקל ראש בחומרת העבירות, ועם זאת, סבר, כי יש לתת משקל מכריע בקביעת העונש לעובדה שמדובר בעבירות משנת 2009 ומשנת 2010, וכן, ובעיקר לעובדה שמאז עובר הנאשם הליך טיפולי מוצלח במסגרת צו פיקוח מבחן, הוא נקי מסמים ואין סיכוי שישוב להסתבך. בנסיבות אלה, עתר ב"כ הנאשם להימנע מענישה קונקרטית, אלא לאמץ את המלצת שרות המבחן ולהסתפק בצו מבחן למשך 18 חודשים. </w:t>
      </w:r>
    </w:p>
    <w:p w14:paraId="6D7A3838" w14:textId="77777777" w:rsidR="00F11BA9" w:rsidRDefault="00F11BA9">
      <w:pPr>
        <w:spacing w:line="360" w:lineRule="auto"/>
        <w:jc w:val="both"/>
        <w:rPr>
          <w:sz w:val="26"/>
          <w:szCs w:val="26"/>
          <w:rtl/>
        </w:rPr>
      </w:pPr>
    </w:p>
    <w:p w14:paraId="04CBA16D" w14:textId="77777777" w:rsidR="00F11BA9" w:rsidRDefault="007B0A36">
      <w:pPr>
        <w:spacing w:line="360" w:lineRule="auto"/>
        <w:jc w:val="both"/>
        <w:rPr>
          <w:sz w:val="26"/>
          <w:szCs w:val="26"/>
          <w:rtl/>
        </w:rPr>
      </w:pPr>
      <w:r>
        <w:rPr>
          <w:sz w:val="26"/>
          <w:szCs w:val="26"/>
          <w:rtl/>
        </w:rPr>
        <w:t>12.</w:t>
      </w:r>
      <w:r>
        <w:rPr>
          <w:sz w:val="26"/>
          <w:szCs w:val="26"/>
          <w:rtl/>
        </w:rPr>
        <w:tab/>
        <w:t>נוכח עתירת ב"כ המאשימה, הופנה הנאשם אל הממונה על עבודות השרות. הודעתו האחרונה הייתה כי הנאשם נמצא כשיר לשאת עונש מאסר בעבודות שרות ציבוריות.</w:t>
      </w:r>
    </w:p>
    <w:p w14:paraId="12FC876D" w14:textId="77777777" w:rsidR="00F11BA9" w:rsidRDefault="00F11BA9">
      <w:pPr>
        <w:spacing w:line="360" w:lineRule="auto"/>
        <w:jc w:val="both"/>
        <w:rPr>
          <w:sz w:val="26"/>
          <w:szCs w:val="26"/>
          <w:rtl/>
        </w:rPr>
      </w:pPr>
    </w:p>
    <w:p w14:paraId="7CE4163E" w14:textId="77777777" w:rsidR="00F11BA9" w:rsidRDefault="007B0A36">
      <w:pPr>
        <w:spacing w:line="360" w:lineRule="auto"/>
        <w:jc w:val="both"/>
        <w:rPr>
          <w:sz w:val="26"/>
          <w:szCs w:val="26"/>
          <w:rtl/>
        </w:rPr>
      </w:pPr>
      <w:r>
        <w:rPr>
          <w:sz w:val="26"/>
          <w:szCs w:val="26"/>
          <w:rtl/>
        </w:rPr>
        <w:t>13.</w:t>
      </w:r>
      <w:r>
        <w:rPr>
          <w:sz w:val="26"/>
          <w:szCs w:val="26"/>
          <w:rtl/>
        </w:rPr>
        <w:tab/>
        <w:t>הנאשם עצמו הכה על חטא, ובפנותו לבית המשפט הצהיר כי הוא "נמצא במסלול", כי ההליך הטיפולי, הגמילה מסמים והשיחות הטיפוליות החדירו בו כוחות חדשים, ועתה הוא עושה מאמצים להרחיב את משפחתו.</w:t>
      </w:r>
    </w:p>
    <w:p w14:paraId="55364AD3" w14:textId="77777777" w:rsidR="00F11BA9" w:rsidRDefault="00F11BA9">
      <w:pPr>
        <w:spacing w:line="360" w:lineRule="auto"/>
        <w:jc w:val="both"/>
        <w:rPr>
          <w:sz w:val="26"/>
          <w:szCs w:val="26"/>
          <w:rtl/>
        </w:rPr>
      </w:pPr>
    </w:p>
    <w:p w14:paraId="1EE155B3" w14:textId="77777777" w:rsidR="00F11BA9" w:rsidRDefault="007B0A36">
      <w:pPr>
        <w:spacing w:line="360" w:lineRule="auto"/>
        <w:jc w:val="both"/>
        <w:rPr>
          <w:b/>
          <w:bCs/>
          <w:sz w:val="26"/>
          <w:szCs w:val="26"/>
          <w:rtl/>
        </w:rPr>
      </w:pPr>
      <w:r>
        <w:rPr>
          <w:b/>
          <w:bCs/>
          <w:sz w:val="26"/>
          <w:szCs w:val="26"/>
          <w:rtl/>
        </w:rPr>
        <w:t>דיון והכרעה</w:t>
      </w:r>
    </w:p>
    <w:p w14:paraId="45A16DB9" w14:textId="77777777" w:rsidR="00F11BA9" w:rsidRDefault="00F11BA9">
      <w:pPr>
        <w:spacing w:line="360" w:lineRule="auto"/>
        <w:jc w:val="both"/>
        <w:rPr>
          <w:sz w:val="26"/>
          <w:szCs w:val="26"/>
          <w:rtl/>
        </w:rPr>
      </w:pPr>
    </w:p>
    <w:p w14:paraId="5CFB26CD" w14:textId="77777777" w:rsidR="00F11BA9" w:rsidRDefault="007B0A36">
      <w:pPr>
        <w:spacing w:line="360" w:lineRule="auto"/>
        <w:jc w:val="both"/>
        <w:rPr>
          <w:sz w:val="26"/>
          <w:szCs w:val="26"/>
          <w:rtl/>
        </w:rPr>
      </w:pPr>
      <w:r>
        <w:rPr>
          <w:sz w:val="26"/>
          <w:szCs w:val="26"/>
          <w:rtl/>
        </w:rPr>
        <w:t>14.</w:t>
      </w:r>
      <w:r>
        <w:rPr>
          <w:sz w:val="26"/>
          <w:szCs w:val="26"/>
          <w:rtl/>
        </w:rPr>
        <w:tab/>
        <w:t>קביעת מתחם העונש ההולם את העבירות שעבר הנאשם, כמפורט לעיל, היא פועל יוצא של העקרונות והשיקולים שהתווה המחוקק בתיקון 113 ל</w:t>
      </w:r>
      <w:hyperlink r:id="rId33" w:history="1">
        <w:r w:rsidRPr="007B0A36">
          <w:rPr>
            <w:rStyle w:val="Hyperlink"/>
            <w:sz w:val="26"/>
            <w:szCs w:val="26"/>
            <w:rtl/>
          </w:rPr>
          <w:t>חוק העונשין</w:t>
        </w:r>
      </w:hyperlink>
      <w:r>
        <w:rPr>
          <w:sz w:val="26"/>
          <w:szCs w:val="26"/>
          <w:rtl/>
        </w:rPr>
        <w:t xml:space="preserve">, ביניהם, חומרת העבירות בנסיבותיהן הקונקרטיות, חומרת הנסיבות בהן בוצעו, לרבות, אופי התוצאות, וכן, פגיעתן של העבירות בערכים חברתיים מוגנים. לאור האמור, העבירות שעבר הנאשם במועדים שונים, וכמויות הסם שהחזיק, הן עבירות חמורות. כחברה שחרטה על דגלה מלחמת חורמה בהפצת הסמים והשימוש בהם, הרי שמעשי הנאשם פגעו בערכים חברתיים ראשונים במעלה. מעשי ההפרעה לשוטרים שנלוו לעבירות הסמים מהווים לדעתי חלק בלתי נפרד מהמסכת כולה, ועל כן, ראוי להכלילם במתחם מאוחד. </w:t>
      </w:r>
    </w:p>
    <w:p w14:paraId="2A0C6316" w14:textId="77777777" w:rsidR="00F11BA9" w:rsidRDefault="00F11BA9">
      <w:pPr>
        <w:spacing w:line="360" w:lineRule="auto"/>
        <w:jc w:val="both"/>
        <w:rPr>
          <w:sz w:val="26"/>
          <w:szCs w:val="26"/>
          <w:rtl/>
        </w:rPr>
      </w:pPr>
    </w:p>
    <w:p w14:paraId="384209F3" w14:textId="77777777" w:rsidR="00F11BA9" w:rsidRDefault="007B0A36">
      <w:pPr>
        <w:spacing w:line="360" w:lineRule="auto"/>
        <w:jc w:val="both"/>
        <w:rPr>
          <w:sz w:val="26"/>
          <w:szCs w:val="26"/>
          <w:rtl/>
        </w:rPr>
      </w:pPr>
      <w:r>
        <w:rPr>
          <w:sz w:val="26"/>
          <w:szCs w:val="26"/>
          <w:rtl/>
        </w:rPr>
        <w:t>15.</w:t>
      </w:r>
      <w:r>
        <w:rPr>
          <w:sz w:val="26"/>
          <w:szCs w:val="26"/>
          <w:rtl/>
        </w:rPr>
        <w:tab/>
        <w:t xml:space="preserve">לאור האמור, </w:t>
      </w:r>
      <w:r>
        <w:rPr>
          <w:sz w:val="26"/>
          <w:szCs w:val="26"/>
          <w:u w:val="single"/>
          <w:rtl/>
        </w:rPr>
        <w:t>מתחם העונש ההולם את העבירות שעבר הנאשם (עבירות הסמים והעבירות שעניינן הפרעה לשוטר בשעת מילוי תפקידו), בנסיבותיהם הקונקרטיות, הוא בטווח שבין 4 חודשי מאסר בפועל - ברף התחתון, בצירוף רכיבים עונשיים נוספים, לבין מאסר בפועל בן שמונה חודשים, בצירוף רכיבים עונשיים נוספים - ברף העליון</w:t>
      </w:r>
      <w:r>
        <w:rPr>
          <w:sz w:val="26"/>
          <w:szCs w:val="26"/>
          <w:rtl/>
        </w:rPr>
        <w:t xml:space="preserve">. </w:t>
      </w:r>
    </w:p>
    <w:p w14:paraId="588489A4" w14:textId="77777777" w:rsidR="00F11BA9" w:rsidRDefault="007B0A36">
      <w:pPr>
        <w:spacing w:line="360" w:lineRule="auto"/>
        <w:ind w:left="-2" w:firstLine="2"/>
        <w:jc w:val="both"/>
        <w:rPr>
          <w:sz w:val="26"/>
          <w:szCs w:val="26"/>
          <w:rtl/>
        </w:rPr>
      </w:pPr>
      <w:r>
        <w:rPr>
          <w:sz w:val="26"/>
          <w:szCs w:val="26"/>
          <w:rtl/>
        </w:rPr>
        <w:t>16.</w:t>
      </w:r>
      <w:r>
        <w:rPr>
          <w:sz w:val="26"/>
          <w:szCs w:val="26"/>
          <w:rtl/>
        </w:rPr>
        <w:tab/>
        <w:t xml:space="preserve">עונשו של הנאשם אמור להיקבע, בהתאם </w:t>
      </w:r>
      <w:hyperlink r:id="rId34" w:history="1">
        <w:r w:rsidR="004E3842" w:rsidRPr="004E3842">
          <w:rPr>
            <w:rStyle w:val="Hyperlink"/>
            <w:sz w:val="26"/>
            <w:szCs w:val="26"/>
            <w:rtl/>
          </w:rPr>
          <w:t>לסעיף 40ג'</w:t>
        </w:r>
      </w:hyperlink>
      <w:r>
        <w:rPr>
          <w:sz w:val="26"/>
          <w:szCs w:val="26"/>
          <w:rtl/>
        </w:rPr>
        <w:t xml:space="preserve"> ל</w:t>
      </w:r>
      <w:hyperlink r:id="rId35" w:history="1">
        <w:r w:rsidRPr="007B0A36">
          <w:rPr>
            <w:rStyle w:val="Hyperlink"/>
            <w:sz w:val="26"/>
            <w:szCs w:val="26"/>
            <w:rtl/>
          </w:rPr>
          <w:t>חוק העונשין</w:t>
        </w:r>
      </w:hyperlink>
      <w:r>
        <w:rPr>
          <w:sz w:val="26"/>
          <w:szCs w:val="26"/>
          <w:rtl/>
        </w:rPr>
        <w:t>, בתוך המתחם האמור, בהתחשב בנסיבות שאינן קשורות בביצוע העבירות (</w:t>
      </w:r>
      <w:hyperlink r:id="rId36" w:history="1">
        <w:r w:rsidR="004E3842" w:rsidRPr="004E3842">
          <w:rPr>
            <w:rStyle w:val="Hyperlink"/>
            <w:sz w:val="26"/>
            <w:szCs w:val="26"/>
            <w:rtl/>
          </w:rPr>
          <w:t>סעיף 40יא'</w:t>
        </w:r>
      </w:hyperlink>
      <w:r>
        <w:rPr>
          <w:sz w:val="26"/>
          <w:szCs w:val="26"/>
          <w:rtl/>
        </w:rPr>
        <w:t xml:space="preserve"> לחוק העונשין), לרבות, נסיבותיו האישיות של הנאשם, וקיומו או העדרו של עבר פלילי; פגיעת העונש בנאשם ו/או במשפחתו; נטילת אחריות על המעשים, ו/או מאמצי הנאשם לתיקון תוצאות העבירות; חלוף הזמן מעת ביצוע העבירה, ועוד שיקולים. בית המשפט רשאי לחרוג בנסיבות מסוימות שתירשמנה ממתחם הענישה שקבע. </w:t>
      </w:r>
    </w:p>
    <w:p w14:paraId="6FA134AA" w14:textId="77777777" w:rsidR="00F11BA9" w:rsidRDefault="00F11BA9">
      <w:pPr>
        <w:spacing w:line="360" w:lineRule="auto"/>
        <w:ind w:left="-2" w:firstLine="2"/>
        <w:jc w:val="both"/>
        <w:rPr>
          <w:sz w:val="26"/>
          <w:szCs w:val="26"/>
          <w:rtl/>
        </w:rPr>
      </w:pPr>
    </w:p>
    <w:p w14:paraId="166E40AB" w14:textId="77777777" w:rsidR="00F11BA9" w:rsidRDefault="007B0A36">
      <w:pPr>
        <w:spacing w:line="360" w:lineRule="auto"/>
        <w:ind w:left="-2" w:firstLine="2"/>
        <w:jc w:val="both"/>
        <w:rPr>
          <w:b/>
          <w:bCs/>
          <w:sz w:val="26"/>
          <w:szCs w:val="26"/>
          <w:rtl/>
        </w:rPr>
      </w:pPr>
      <w:r>
        <w:rPr>
          <w:sz w:val="26"/>
          <w:szCs w:val="26"/>
          <w:rtl/>
        </w:rPr>
        <w:t>17.</w:t>
      </w:r>
      <w:r>
        <w:rPr>
          <w:rFonts w:hint="cs"/>
          <w:sz w:val="26"/>
          <w:szCs w:val="26"/>
          <w:rtl/>
        </w:rPr>
        <w:t xml:space="preserve"> </w:t>
      </w:r>
      <w:r>
        <w:rPr>
          <w:sz w:val="26"/>
          <w:szCs w:val="26"/>
          <w:rtl/>
        </w:rPr>
        <w:tab/>
        <w:t>הנאשם הוא כיום כבן 28, הוא גרוש ואב לקטינים. לנאשם עבר פלילי הכולל שורה של הרשעות (במ/1) בעבירות אלימות, כולל שוד, אך גם בעבירות סמים. נטען בפניי, כי הנאשם יצא מאפלה לאור גדול בעקבות הליך שיקומי מוצלח; וכיום פתח דף חדש בחייו. נתתי משקל נכבד לדיווח בתסקיר המבחן לפיו, ערך הנאשם שינוי משמעותי בחייו, והוא חדור מוטיבציה להתמיד במסלול החיובי. אפשר שהנאשם אכן עבר לרובד אחר ושונה בחייו, רובד חיובי, והלואי ולא אתבדה. למרות טיעוני הסנגור, אינני סבורה כי עונש מאסר בפועל, גם אם ירוצה בעבודות שרות ישים לאל את ההישגים. האיזו</w:t>
      </w:r>
      <w:r>
        <w:rPr>
          <w:rFonts w:hint="cs"/>
          <w:sz w:val="26"/>
          <w:szCs w:val="26"/>
          <w:rtl/>
        </w:rPr>
        <w:t>ן</w:t>
      </w:r>
      <w:r>
        <w:rPr>
          <w:sz w:val="26"/>
          <w:szCs w:val="26"/>
          <w:rtl/>
        </w:rPr>
        <w:t xml:space="preserve"> בין חומרת העבירות לבין מכלול הנסיבות האישיות מצדיק ענישה בדרך של ריצוי מאסר בעבודות שרות, לפחות לתקופה מינימלית. </w:t>
      </w:r>
    </w:p>
    <w:p w14:paraId="1EB38A9C" w14:textId="77777777" w:rsidR="00F11BA9" w:rsidRDefault="00F11BA9">
      <w:pPr>
        <w:spacing w:line="360" w:lineRule="auto"/>
        <w:ind w:left="-2" w:firstLine="2"/>
        <w:jc w:val="both"/>
        <w:rPr>
          <w:b/>
          <w:bCs/>
          <w:sz w:val="26"/>
          <w:szCs w:val="26"/>
          <w:rtl/>
        </w:rPr>
      </w:pPr>
    </w:p>
    <w:p w14:paraId="68D935C5" w14:textId="77777777" w:rsidR="00F11BA9" w:rsidRDefault="007B0A36">
      <w:pPr>
        <w:spacing w:line="360" w:lineRule="auto"/>
        <w:jc w:val="both"/>
        <w:rPr>
          <w:b/>
          <w:bCs/>
          <w:sz w:val="26"/>
          <w:szCs w:val="26"/>
          <w:rtl/>
        </w:rPr>
      </w:pPr>
      <w:r>
        <w:rPr>
          <w:sz w:val="26"/>
          <w:szCs w:val="26"/>
          <w:rtl/>
        </w:rPr>
        <w:t>20.</w:t>
      </w:r>
      <w:r>
        <w:rPr>
          <w:sz w:val="26"/>
          <w:szCs w:val="26"/>
          <w:rtl/>
        </w:rPr>
        <w:tab/>
      </w:r>
      <w:r>
        <w:rPr>
          <w:b/>
          <w:bCs/>
          <w:sz w:val="26"/>
          <w:szCs w:val="26"/>
          <w:rtl/>
        </w:rPr>
        <w:t>החלטתי לגזור על הנאשם את העונשים הבאים:</w:t>
      </w:r>
    </w:p>
    <w:p w14:paraId="6FF0C21F" w14:textId="77777777" w:rsidR="00F11BA9" w:rsidRDefault="00F11BA9">
      <w:pPr>
        <w:spacing w:line="360" w:lineRule="auto"/>
        <w:ind w:left="567" w:hanging="567"/>
        <w:jc w:val="both"/>
        <w:rPr>
          <w:b/>
          <w:bCs/>
          <w:sz w:val="26"/>
          <w:szCs w:val="26"/>
          <w:rtl/>
        </w:rPr>
      </w:pPr>
    </w:p>
    <w:p w14:paraId="02540D43" w14:textId="77777777" w:rsidR="00F11BA9" w:rsidRDefault="007B0A36">
      <w:pPr>
        <w:spacing w:line="360" w:lineRule="auto"/>
        <w:ind w:left="567" w:hanging="567"/>
        <w:jc w:val="both"/>
        <w:rPr>
          <w:sz w:val="26"/>
          <w:szCs w:val="26"/>
          <w:rtl/>
        </w:rPr>
      </w:pPr>
      <w:r>
        <w:rPr>
          <w:rFonts w:hint="cs"/>
          <w:b/>
          <w:bCs/>
          <w:sz w:val="26"/>
          <w:szCs w:val="26"/>
          <w:rtl/>
        </w:rPr>
        <w:t>א.</w:t>
      </w:r>
      <w:r>
        <w:rPr>
          <w:b/>
          <w:bCs/>
          <w:sz w:val="26"/>
          <w:szCs w:val="26"/>
          <w:rtl/>
        </w:rPr>
        <w:tab/>
      </w:r>
      <w:r>
        <w:rPr>
          <w:sz w:val="26"/>
          <w:szCs w:val="26"/>
          <w:rtl/>
        </w:rPr>
        <w:t xml:space="preserve">4 חודשי מאסר. </w:t>
      </w:r>
    </w:p>
    <w:p w14:paraId="6D8D6953" w14:textId="77777777" w:rsidR="00F11BA9" w:rsidRDefault="00F11BA9">
      <w:pPr>
        <w:spacing w:line="360" w:lineRule="auto"/>
        <w:ind w:left="567" w:hanging="567"/>
        <w:jc w:val="both"/>
        <w:rPr>
          <w:sz w:val="26"/>
          <w:szCs w:val="26"/>
          <w:rtl/>
        </w:rPr>
      </w:pPr>
    </w:p>
    <w:p w14:paraId="650E98E0" w14:textId="77777777" w:rsidR="00F11BA9" w:rsidRDefault="007B0A36">
      <w:pPr>
        <w:spacing w:line="360" w:lineRule="auto"/>
        <w:ind w:left="567" w:hanging="567"/>
        <w:jc w:val="both"/>
        <w:rPr>
          <w:sz w:val="26"/>
          <w:szCs w:val="26"/>
          <w:rtl/>
        </w:rPr>
      </w:pPr>
      <w:r>
        <w:rPr>
          <w:sz w:val="26"/>
          <w:szCs w:val="26"/>
          <w:rtl/>
        </w:rPr>
        <w:t>ב.</w:t>
      </w:r>
      <w:r>
        <w:rPr>
          <w:sz w:val="26"/>
          <w:szCs w:val="26"/>
          <w:rtl/>
        </w:rPr>
        <w:tab/>
        <w:t xml:space="preserve">7 חודשי מאסר על תנאי, והתנאי הוא שהנאשם לא יעבור משך 3 שנים מהיום עבירה של החזקת סם מסוכן שלא לצריכה עצמית. </w:t>
      </w:r>
    </w:p>
    <w:p w14:paraId="7C0BC6BA" w14:textId="77777777" w:rsidR="00F11BA9" w:rsidRDefault="00F11BA9">
      <w:pPr>
        <w:spacing w:line="360" w:lineRule="auto"/>
        <w:ind w:left="567" w:hanging="567"/>
        <w:jc w:val="both"/>
        <w:rPr>
          <w:sz w:val="26"/>
          <w:szCs w:val="26"/>
          <w:rtl/>
        </w:rPr>
      </w:pPr>
    </w:p>
    <w:p w14:paraId="6AD3C959" w14:textId="77777777" w:rsidR="00F11BA9" w:rsidRDefault="007B0A36">
      <w:pPr>
        <w:spacing w:line="360" w:lineRule="auto"/>
        <w:ind w:left="567" w:hanging="567"/>
        <w:jc w:val="both"/>
        <w:rPr>
          <w:sz w:val="26"/>
          <w:szCs w:val="26"/>
          <w:rtl/>
        </w:rPr>
      </w:pPr>
      <w:r>
        <w:rPr>
          <w:sz w:val="26"/>
          <w:szCs w:val="26"/>
          <w:rtl/>
        </w:rPr>
        <w:t>ג.</w:t>
      </w:r>
      <w:r>
        <w:rPr>
          <w:sz w:val="26"/>
          <w:szCs w:val="26"/>
          <w:rtl/>
        </w:rPr>
        <w:tab/>
        <w:t xml:space="preserve">2 חודשי מאסר על תנאי, </w:t>
      </w:r>
      <w:r>
        <w:rPr>
          <w:rFonts w:hint="cs"/>
          <w:sz w:val="26"/>
          <w:szCs w:val="26"/>
          <w:rtl/>
        </w:rPr>
        <w:t xml:space="preserve">והתנאי הוא שהנאשם לא יעבור משך שנתיים מהיום עבירה של הפרעה לשוטר בשעת מילוי תפקידו, ועבירה של החזקת סם מסוכן לצריכה עצמית. </w:t>
      </w:r>
    </w:p>
    <w:p w14:paraId="59E05E3B" w14:textId="77777777" w:rsidR="00F11BA9" w:rsidRDefault="00F11BA9">
      <w:pPr>
        <w:spacing w:line="360" w:lineRule="auto"/>
        <w:ind w:left="567" w:hanging="567"/>
        <w:jc w:val="both"/>
        <w:rPr>
          <w:sz w:val="26"/>
          <w:szCs w:val="26"/>
          <w:rtl/>
        </w:rPr>
      </w:pPr>
    </w:p>
    <w:p w14:paraId="0F8BE3DD" w14:textId="77777777" w:rsidR="00F11BA9" w:rsidRDefault="00F11BA9">
      <w:pPr>
        <w:spacing w:line="360" w:lineRule="auto"/>
        <w:ind w:left="567" w:hanging="567"/>
        <w:jc w:val="both"/>
        <w:rPr>
          <w:b/>
          <w:bCs/>
          <w:sz w:val="26"/>
          <w:szCs w:val="26"/>
          <w:rtl/>
        </w:rPr>
      </w:pPr>
    </w:p>
    <w:p w14:paraId="04B15461" w14:textId="77777777" w:rsidR="00F11BA9" w:rsidRDefault="007B0A36">
      <w:pPr>
        <w:spacing w:line="360" w:lineRule="auto"/>
        <w:ind w:left="567" w:hanging="567"/>
        <w:jc w:val="both"/>
        <w:rPr>
          <w:sz w:val="26"/>
          <w:szCs w:val="26"/>
          <w:rtl/>
        </w:rPr>
      </w:pPr>
      <w:r>
        <w:rPr>
          <w:rFonts w:hint="cs"/>
          <w:sz w:val="26"/>
          <w:szCs w:val="26"/>
          <w:rtl/>
        </w:rPr>
        <w:t>ד</w:t>
      </w:r>
      <w:r>
        <w:rPr>
          <w:sz w:val="26"/>
          <w:szCs w:val="26"/>
          <w:rtl/>
        </w:rPr>
        <w:t>.</w:t>
      </w:r>
      <w:r>
        <w:rPr>
          <w:sz w:val="26"/>
          <w:szCs w:val="26"/>
          <w:rtl/>
        </w:rPr>
        <w:tab/>
        <w:t xml:space="preserve">חתימה על התחייבות כספית בסך 2000 ₪ לפיה יימנע הנאשם משך שנתיים מהיום מלעבור עבירה של </w:t>
      </w:r>
      <w:r>
        <w:rPr>
          <w:rFonts w:hint="cs"/>
          <w:sz w:val="26"/>
          <w:szCs w:val="26"/>
          <w:rtl/>
        </w:rPr>
        <w:t>החזקת סם מסוכן לצריכה עצמית ושלא לצריכה עצמית</w:t>
      </w:r>
      <w:r>
        <w:rPr>
          <w:sz w:val="26"/>
          <w:szCs w:val="26"/>
          <w:rtl/>
        </w:rPr>
        <w:t xml:space="preserve">. </w:t>
      </w:r>
    </w:p>
    <w:p w14:paraId="21FEBE78" w14:textId="77777777" w:rsidR="00F11BA9" w:rsidRDefault="007B0A36">
      <w:pPr>
        <w:spacing w:line="360" w:lineRule="auto"/>
        <w:ind w:left="567"/>
        <w:jc w:val="both"/>
        <w:rPr>
          <w:sz w:val="26"/>
          <w:szCs w:val="26"/>
          <w:rtl/>
        </w:rPr>
      </w:pPr>
      <w:r>
        <w:rPr>
          <w:sz w:val="26"/>
          <w:szCs w:val="26"/>
          <w:rtl/>
        </w:rPr>
        <w:t>לא יחתום על ההתחייבות</w:t>
      </w:r>
      <w:r>
        <w:rPr>
          <w:rFonts w:hint="cs"/>
          <w:sz w:val="26"/>
          <w:szCs w:val="26"/>
          <w:rtl/>
        </w:rPr>
        <w:t xml:space="preserve"> ייאסר למשך 10 ימים. </w:t>
      </w:r>
    </w:p>
    <w:p w14:paraId="44DDC208" w14:textId="77777777" w:rsidR="00F11BA9" w:rsidRDefault="00F11BA9">
      <w:pPr>
        <w:spacing w:line="480" w:lineRule="auto"/>
        <w:ind w:left="360"/>
        <w:jc w:val="both"/>
        <w:rPr>
          <w:sz w:val="26"/>
          <w:szCs w:val="26"/>
          <w:rtl/>
        </w:rPr>
      </w:pPr>
    </w:p>
    <w:p w14:paraId="0A698ED7" w14:textId="77777777" w:rsidR="00F11BA9" w:rsidRDefault="007B0A36">
      <w:pPr>
        <w:pStyle w:val="a6"/>
        <w:spacing w:line="360" w:lineRule="auto"/>
        <w:jc w:val="both"/>
        <w:rPr>
          <w:sz w:val="26"/>
          <w:szCs w:val="26"/>
          <w:rtl/>
        </w:rPr>
      </w:pPr>
      <w:r>
        <w:rPr>
          <w:rFonts w:hint="cs"/>
          <w:sz w:val="26"/>
          <w:szCs w:val="26"/>
          <w:rtl/>
        </w:rPr>
        <w:t xml:space="preserve">לאור חוות דעת הממונה על עבודות השירות והמצאות הנאשם כשיר לרצות את עונש המאסר בן 4 חודשים בעבודה ציבורית, אני מחליטה כי הנאשם ירצה את עונש המאסר שגזרתי עליו בן 4 חודשים בעבודות שירות ברח' הבנאי 14 חולון, מפעל שווים. </w:t>
      </w:r>
    </w:p>
    <w:p w14:paraId="0E999118" w14:textId="77777777" w:rsidR="00F11BA9" w:rsidRDefault="00F11BA9">
      <w:pPr>
        <w:spacing w:line="360" w:lineRule="auto"/>
        <w:jc w:val="both"/>
        <w:rPr>
          <w:rFonts w:ascii="Arial" w:hAnsi="Arial"/>
          <w:sz w:val="28"/>
          <w:szCs w:val="26"/>
          <w:rtl/>
        </w:rPr>
      </w:pPr>
    </w:p>
    <w:p w14:paraId="34600808" w14:textId="77777777" w:rsidR="00F11BA9" w:rsidRDefault="007B0A36">
      <w:pPr>
        <w:spacing w:line="360" w:lineRule="auto"/>
        <w:jc w:val="both"/>
        <w:rPr>
          <w:rFonts w:ascii="Arial" w:hAnsi="Arial"/>
          <w:sz w:val="28"/>
          <w:szCs w:val="26"/>
          <w:rtl/>
        </w:rPr>
      </w:pPr>
      <w:r>
        <w:rPr>
          <w:rFonts w:ascii="Arial" w:hAnsi="Arial" w:hint="cs"/>
          <w:sz w:val="28"/>
          <w:szCs w:val="26"/>
          <w:rtl/>
        </w:rPr>
        <w:t xml:space="preserve">שעות העבודה ותנאי העבודה הם כפי שנקבעו על ידי הממונה על עבודות השירות והמפקח האחראי הוא פרץ שמעון. </w:t>
      </w:r>
    </w:p>
    <w:p w14:paraId="6320EB3A" w14:textId="77777777" w:rsidR="00F11BA9" w:rsidRDefault="00F11BA9">
      <w:pPr>
        <w:spacing w:line="360" w:lineRule="auto"/>
        <w:jc w:val="both"/>
        <w:rPr>
          <w:rFonts w:ascii="Arial" w:hAnsi="Arial"/>
          <w:sz w:val="28"/>
          <w:szCs w:val="26"/>
          <w:rtl/>
        </w:rPr>
      </w:pPr>
    </w:p>
    <w:p w14:paraId="00ED057D" w14:textId="77777777" w:rsidR="00F11BA9" w:rsidRDefault="007B0A36">
      <w:pPr>
        <w:spacing w:line="360" w:lineRule="auto"/>
        <w:jc w:val="both"/>
        <w:rPr>
          <w:rFonts w:ascii="Arial" w:hAnsi="Arial"/>
          <w:sz w:val="28"/>
          <w:szCs w:val="26"/>
          <w:rtl/>
        </w:rPr>
      </w:pPr>
      <w:r>
        <w:rPr>
          <w:rFonts w:ascii="Arial" w:hAnsi="Arial" w:hint="cs"/>
          <w:sz w:val="28"/>
          <w:szCs w:val="26"/>
          <w:rtl/>
        </w:rPr>
        <w:t>תחילת ריצוי עבודות השירות הוא 11.2.15.</w:t>
      </w:r>
    </w:p>
    <w:p w14:paraId="1FF831BA" w14:textId="77777777" w:rsidR="00F11BA9" w:rsidRDefault="00F11BA9">
      <w:pPr>
        <w:spacing w:line="360" w:lineRule="auto"/>
        <w:jc w:val="both"/>
        <w:rPr>
          <w:rFonts w:ascii="Arial" w:hAnsi="Arial"/>
          <w:sz w:val="28"/>
          <w:szCs w:val="26"/>
          <w:rtl/>
        </w:rPr>
      </w:pPr>
    </w:p>
    <w:p w14:paraId="0F987195" w14:textId="77777777" w:rsidR="00F11BA9" w:rsidRDefault="007B0A36">
      <w:pPr>
        <w:spacing w:line="360" w:lineRule="auto"/>
        <w:jc w:val="both"/>
        <w:rPr>
          <w:rFonts w:ascii="Arial" w:hAnsi="Arial"/>
          <w:sz w:val="28"/>
          <w:szCs w:val="26"/>
          <w:rtl/>
        </w:rPr>
      </w:pPr>
      <w:r>
        <w:rPr>
          <w:rFonts w:ascii="Arial" w:hAnsi="Arial" w:hint="cs"/>
          <w:sz w:val="28"/>
          <w:szCs w:val="26"/>
          <w:rtl/>
        </w:rPr>
        <w:t>מובהר בזאת לנאשם כי עליו לעמוד בתנאי הפיקוח וביקורות פתע, וכל הפרה בעבודות השירות תביא להפסקה מנהלית ולריצוי העונש במאסר ממש.</w:t>
      </w:r>
    </w:p>
    <w:p w14:paraId="664A2B45" w14:textId="77777777" w:rsidR="00F11BA9" w:rsidRDefault="00F11BA9">
      <w:pPr>
        <w:spacing w:line="360" w:lineRule="auto"/>
        <w:jc w:val="both"/>
        <w:rPr>
          <w:rFonts w:ascii="Arial" w:hAnsi="Arial"/>
          <w:sz w:val="28"/>
          <w:szCs w:val="26"/>
          <w:rtl/>
        </w:rPr>
      </w:pPr>
    </w:p>
    <w:p w14:paraId="466AD8DC" w14:textId="77777777" w:rsidR="00F11BA9" w:rsidRDefault="007B0A36">
      <w:pPr>
        <w:spacing w:line="360" w:lineRule="auto"/>
        <w:jc w:val="both"/>
        <w:rPr>
          <w:rFonts w:ascii="Arial" w:hAnsi="Arial"/>
          <w:sz w:val="28"/>
          <w:szCs w:val="26"/>
          <w:rtl/>
        </w:rPr>
      </w:pPr>
      <w:r>
        <w:rPr>
          <w:rFonts w:ascii="Arial" w:hAnsi="Arial" w:hint="cs"/>
          <w:sz w:val="28"/>
          <w:szCs w:val="26"/>
          <w:rtl/>
        </w:rPr>
        <w:t>כמו כן, על הנאשם להודיע מיד לממונה על כל שינוי בכתובתו.</w:t>
      </w:r>
    </w:p>
    <w:p w14:paraId="0C0E498A" w14:textId="77777777" w:rsidR="00F11BA9" w:rsidRDefault="00F11BA9">
      <w:pPr>
        <w:spacing w:line="360" w:lineRule="auto"/>
        <w:jc w:val="both"/>
        <w:rPr>
          <w:rFonts w:ascii="Arial" w:hAnsi="Arial"/>
          <w:sz w:val="28"/>
          <w:szCs w:val="26"/>
          <w:rtl/>
        </w:rPr>
      </w:pPr>
    </w:p>
    <w:p w14:paraId="1B27EFE7" w14:textId="77777777" w:rsidR="00F11BA9" w:rsidRDefault="007B0A36">
      <w:pPr>
        <w:spacing w:line="360" w:lineRule="auto"/>
        <w:jc w:val="both"/>
        <w:rPr>
          <w:rFonts w:ascii="Arial" w:hAnsi="Arial"/>
          <w:sz w:val="28"/>
          <w:szCs w:val="26"/>
          <w:rtl/>
        </w:rPr>
      </w:pPr>
      <w:r>
        <w:rPr>
          <w:rFonts w:ascii="Arial" w:hAnsi="Arial" w:hint="cs"/>
          <w:sz w:val="28"/>
          <w:szCs w:val="26"/>
          <w:rtl/>
        </w:rPr>
        <w:t>אני מורה לנאשם להתייצב בפני המפקח על עבודות השירות לצורך קליטה והצבה בתאריך האמור, בשעה 8:00, מפקדת גוש מרכז, ת.ד. 81 רמלה, קו אוטובוסים 247 (מהתחנה המרכזית של רמלה או לוד).</w:t>
      </w:r>
    </w:p>
    <w:p w14:paraId="662B304E" w14:textId="77777777" w:rsidR="00F11BA9" w:rsidRDefault="00F11BA9">
      <w:pPr>
        <w:spacing w:line="360" w:lineRule="auto"/>
        <w:jc w:val="both"/>
        <w:rPr>
          <w:rFonts w:ascii="Arial" w:hAnsi="Arial"/>
          <w:sz w:val="28"/>
          <w:szCs w:val="26"/>
          <w:rtl/>
        </w:rPr>
      </w:pPr>
    </w:p>
    <w:p w14:paraId="21E913CD" w14:textId="77777777" w:rsidR="00F11BA9" w:rsidRDefault="007B0A36">
      <w:pPr>
        <w:spacing w:line="360" w:lineRule="auto"/>
        <w:jc w:val="both"/>
        <w:rPr>
          <w:rFonts w:ascii="Arial" w:hAnsi="Arial"/>
          <w:sz w:val="28"/>
          <w:szCs w:val="26"/>
          <w:u w:val="single"/>
          <w:rtl/>
        </w:rPr>
      </w:pPr>
      <w:r>
        <w:rPr>
          <w:rFonts w:ascii="Arial" w:hAnsi="Arial" w:hint="cs"/>
          <w:sz w:val="28"/>
          <w:szCs w:val="26"/>
          <w:u w:val="single"/>
          <w:rtl/>
        </w:rPr>
        <w:t>המזכירות תעביר העתק לממונה על עבודות השירות.</w:t>
      </w:r>
    </w:p>
    <w:p w14:paraId="05A975CB" w14:textId="77777777" w:rsidR="00F11BA9" w:rsidRDefault="007B0A36">
      <w:pPr>
        <w:bidi w:val="0"/>
        <w:rPr>
          <w:rFonts w:ascii="Arial" w:hAnsi="Arial"/>
          <w:sz w:val="28"/>
          <w:szCs w:val="26"/>
        </w:rPr>
      </w:pPr>
      <w:r>
        <w:rPr>
          <w:rFonts w:ascii="Arial" w:hAnsi="Arial"/>
          <w:sz w:val="28"/>
          <w:szCs w:val="26"/>
          <w:rtl/>
        </w:rPr>
        <w:br w:type="page"/>
      </w:r>
    </w:p>
    <w:p w14:paraId="5118A9D0" w14:textId="77777777" w:rsidR="00F11BA9" w:rsidRDefault="00F11BA9">
      <w:pPr>
        <w:spacing w:line="360" w:lineRule="auto"/>
        <w:rPr>
          <w:rFonts w:ascii="Arial" w:hAnsi="Arial"/>
          <w:sz w:val="28"/>
          <w:szCs w:val="26"/>
          <w:rtl/>
        </w:rPr>
      </w:pPr>
    </w:p>
    <w:p w14:paraId="3A376BD3" w14:textId="77777777" w:rsidR="00F11BA9" w:rsidRDefault="007B0A36">
      <w:pPr>
        <w:spacing w:line="360" w:lineRule="auto"/>
        <w:rPr>
          <w:rFonts w:ascii="Arial" w:hAnsi="Arial"/>
          <w:sz w:val="28"/>
          <w:szCs w:val="26"/>
          <w:rtl/>
        </w:rPr>
      </w:pPr>
      <w:r>
        <w:rPr>
          <w:rFonts w:ascii="Arial" w:hAnsi="Arial" w:hint="cs"/>
          <w:sz w:val="28"/>
          <w:szCs w:val="26"/>
          <w:rtl/>
        </w:rPr>
        <w:t xml:space="preserve">מוצג שהוא סמים </w:t>
      </w:r>
      <w:r>
        <w:rPr>
          <w:rFonts w:ascii="Arial" w:hAnsi="Arial"/>
          <w:sz w:val="28"/>
          <w:szCs w:val="26"/>
          <w:rtl/>
        </w:rPr>
        <w:t>–</w:t>
      </w:r>
      <w:r>
        <w:rPr>
          <w:rFonts w:ascii="Arial" w:hAnsi="Arial" w:hint="cs"/>
          <w:sz w:val="28"/>
          <w:szCs w:val="26"/>
          <w:rtl/>
        </w:rPr>
        <w:t xml:space="preserve"> יושמד (קיימים מספר תיקים). </w:t>
      </w:r>
    </w:p>
    <w:p w14:paraId="7B3060A1" w14:textId="77777777" w:rsidR="00F11BA9" w:rsidRDefault="00F11BA9">
      <w:pPr>
        <w:spacing w:line="360" w:lineRule="auto"/>
        <w:rPr>
          <w:rFonts w:ascii="Arial" w:hAnsi="Arial"/>
          <w:sz w:val="28"/>
          <w:szCs w:val="26"/>
          <w:rtl/>
        </w:rPr>
      </w:pPr>
    </w:p>
    <w:p w14:paraId="09F7FEAC" w14:textId="77777777" w:rsidR="00F11BA9" w:rsidRDefault="007B0A36">
      <w:pPr>
        <w:spacing w:line="360" w:lineRule="auto"/>
        <w:rPr>
          <w:rFonts w:ascii="Arial" w:hAnsi="Arial"/>
          <w:sz w:val="28"/>
          <w:szCs w:val="26"/>
          <w:rtl/>
        </w:rPr>
      </w:pPr>
      <w:r>
        <w:rPr>
          <w:rFonts w:ascii="Arial" w:hAnsi="Arial" w:hint="cs"/>
          <w:sz w:val="28"/>
          <w:szCs w:val="26"/>
          <w:rtl/>
        </w:rPr>
        <w:t xml:space="preserve">המוצג 1000 ₪ מתיק החקירה </w:t>
      </w:r>
      <w:r>
        <w:rPr>
          <w:rFonts w:ascii="Arial" w:hAnsi="Arial"/>
          <w:sz w:val="28"/>
          <w:szCs w:val="26"/>
          <w:rtl/>
        </w:rPr>
        <w:t>–</w:t>
      </w:r>
      <w:r>
        <w:rPr>
          <w:rFonts w:ascii="Arial" w:hAnsi="Arial" w:hint="cs"/>
          <w:sz w:val="28"/>
          <w:szCs w:val="26"/>
          <w:rtl/>
        </w:rPr>
        <w:t xml:space="preserve"> יוחזר לנאשם. </w:t>
      </w:r>
    </w:p>
    <w:p w14:paraId="09F1BB78" w14:textId="77777777" w:rsidR="00F11BA9" w:rsidRDefault="00F11BA9">
      <w:pPr>
        <w:spacing w:line="360" w:lineRule="auto"/>
        <w:rPr>
          <w:rFonts w:ascii="Arial" w:hAnsi="Arial"/>
          <w:sz w:val="28"/>
          <w:szCs w:val="26"/>
          <w:rtl/>
        </w:rPr>
      </w:pPr>
    </w:p>
    <w:p w14:paraId="19B199CD" w14:textId="77777777" w:rsidR="00F11BA9" w:rsidRDefault="007B0A36">
      <w:pPr>
        <w:spacing w:line="360" w:lineRule="auto"/>
        <w:rPr>
          <w:rFonts w:ascii="Arial" w:hAnsi="Arial"/>
          <w:sz w:val="28"/>
          <w:szCs w:val="26"/>
          <w:rtl/>
        </w:rPr>
      </w:pPr>
      <w:r>
        <w:rPr>
          <w:rFonts w:ascii="Arial" w:hAnsi="Arial" w:hint="cs"/>
          <w:b/>
          <w:bCs/>
          <w:sz w:val="28"/>
          <w:szCs w:val="26"/>
          <w:u w:val="single"/>
          <w:rtl/>
        </w:rPr>
        <w:t>הודע על זכות ערעור לבית המשפט המחוזי תוך 45 יום מהיום</w:t>
      </w:r>
      <w:r>
        <w:rPr>
          <w:rFonts w:ascii="Arial" w:hAnsi="Arial" w:hint="cs"/>
          <w:sz w:val="28"/>
          <w:szCs w:val="26"/>
          <w:rtl/>
        </w:rPr>
        <w:t>.</w:t>
      </w:r>
    </w:p>
    <w:p w14:paraId="4D661195" w14:textId="77777777" w:rsidR="00F11BA9" w:rsidRDefault="00F11BA9">
      <w:pPr>
        <w:spacing w:line="360" w:lineRule="auto"/>
        <w:rPr>
          <w:rFonts w:ascii="Arial" w:hAnsi="Arial"/>
          <w:sz w:val="28"/>
          <w:szCs w:val="26"/>
          <w:rtl/>
        </w:rPr>
      </w:pPr>
    </w:p>
    <w:p w14:paraId="5FBD5F3D" w14:textId="77777777" w:rsidR="00F11BA9" w:rsidRDefault="00F11BA9">
      <w:pPr>
        <w:jc w:val="right"/>
        <w:rPr>
          <w:rtl/>
        </w:rPr>
      </w:pPr>
    </w:p>
    <w:p w14:paraId="7EFB8664" w14:textId="77777777" w:rsidR="00F11BA9" w:rsidRDefault="007B0A36">
      <w:pPr>
        <w:jc w:val="center"/>
        <w:rPr>
          <w:rtl/>
        </w:rPr>
      </w:pPr>
      <w:r>
        <w:rPr>
          <w:b/>
          <w:bCs/>
          <w:rtl/>
        </w:rPr>
        <w:t xml:space="preserve">ניתן והודע היום כ"א שבט תשע"ה, 10/02/2015 במעמד הנוכחים. </w:t>
      </w:r>
    </w:p>
    <w:p w14:paraId="125FA55D" w14:textId="77777777" w:rsidR="00F11BA9" w:rsidRPr="007B0A36" w:rsidRDefault="007B0A36">
      <w:pPr>
        <w:jc w:val="right"/>
        <w:rPr>
          <w:color w:val="FFFFFF"/>
          <w:sz w:val="2"/>
          <w:szCs w:val="2"/>
          <w:rtl/>
        </w:rPr>
      </w:pPr>
      <w:bookmarkStart w:id="7" w:name="_GoBack"/>
      <w:bookmarkEnd w:id="7"/>
      <w:r w:rsidRPr="007B0A3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1BA9" w14:paraId="56590632" w14:textId="77777777">
        <w:trPr>
          <w:trHeight w:val="316"/>
          <w:jc w:val="right"/>
        </w:trPr>
        <w:tc>
          <w:tcPr>
            <w:tcW w:w="3936" w:type="dxa"/>
          </w:tcPr>
          <w:p w14:paraId="7A579E26" w14:textId="77777777" w:rsidR="00F11BA9" w:rsidRPr="007B0A36" w:rsidRDefault="007B0A36">
            <w:pPr>
              <w:jc w:val="center"/>
              <w:rPr>
                <w:rFonts w:ascii="Times New Roman" w:eastAsia="Times New Roman" w:hAnsi="Times New Roman" w:cs="Times New Roman"/>
                <w:color w:val="FFFFFF"/>
                <w:sz w:val="2"/>
                <w:szCs w:val="2"/>
              </w:rPr>
            </w:pPr>
            <w:r w:rsidRPr="007B0A36">
              <w:rPr>
                <w:rFonts w:ascii="Times New Roman" w:eastAsia="Times New Roman" w:hAnsi="Times New Roman" w:cs="Times New Roman"/>
                <w:color w:val="FFFFFF"/>
                <w:sz w:val="2"/>
                <w:szCs w:val="2"/>
                <w:rtl/>
              </w:rPr>
              <w:t>54678313</w:t>
            </w:r>
          </w:p>
          <w:p w14:paraId="0E5B0EF2" w14:textId="77777777" w:rsidR="00F11BA9" w:rsidRDefault="00F11BA9">
            <w:pPr>
              <w:jc w:val="center"/>
              <w:rPr>
                <w:rFonts w:ascii="Times New Roman" w:eastAsia="Times New Roman" w:hAnsi="Times New Roman" w:cs="Times New Roman"/>
                <w:rtl/>
              </w:rPr>
            </w:pPr>
          </w:p>
        </w:tc>
      </w:tr>
      <w:tr w:rsidR="00F11BA9" w14:paraId="77D72EE2" w14:textId="77777777">
        <w:trPr>
          <w:trHeight w:val="361"/>
          <w:jc w:val="right"/>
        </w:trPr>
        <w:tc>
          <w:tcPr>
            <w:tcW w:w="3936" w:type="dxa"/>
          </w:tcPr>
          <w:p w14:paraId="304F936B" w14:textId="77777777" w:rsidR="00F11BA9" w:rsidRDefault="007B0A36">
            <w:pPr>
              <w:jc w:val="center"/>
              <w:rPr>
                <w:rFonts w:ascii="Times New Roman" w:eastAsia="Times New Roman" w:hAnsi="Times New Roman"/>
                <w:b/>
                <w:bCs/>
                <w:rtl/>
              </w:rPr>
            </w:pPr>
            <w:r>
              <w:rPr>
                <w:rFonts w:ascii="Times New Roman" w:eastAsia="Times New Roman" w:hAnsi="Times New Roman" w:hint="cs"/>
                <w:b/>
                <w:bCs/>
                <w:rtl/>
              </w:rPr>
              <w:t>דניאלה שריזלי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152E8B17" w14:textId="77777777" w:rsidR="00F11BA9" w:rsidRDefault="00F11BA9">
      <w:pPr>
        <w:jc w:val="right"/>
        <w:rPr>
          <w:rtl/>
        </w:rPr>
      </w:pPr>
    </w:p>
    <w:p w14:paraId="359AB5EA" w14:textId="77777777" w:rsidR="00F11BA9" w:rsidRDefault="00F11BA9">
      <w:pPr>
        <w:jc w:val="both"/>
        <w:rPr>
          <w:rtl/>
        </w:rPr>
      </w:pPr>
    </w:p>
    <w:p w14:paraId="0B41B391" w14:textId="77777777" w:rsidR="00F11BA9" w:rsidRDefault="00F11BA9">
      <w:pPr>
        <w:spacing w:line="360" w:lineRule="auto"/>
        <w:jc w:val="center"/>
        <w:rPr>
          <w:rtl/>
        </w:rPr>
      </w:pPr>
    </w:p>
    <w:p w14:paraId="7292882E" w14:textId="77777777" w:rsidR="00F11BA9" w:rsidRDefault="007B0A36">
      <w:pPr>
        <w:spacing w:line="360" w:lineRule="auto"/>
        <w:jc w:val="both"/>
      </w:pPr>
      <w:r>
        <w:rPr>
          <w:rtl/>
        </w:rPr>
        <w:t xml:space="preserve"> </w:t>
      </w:r>
    </w:p>
    <w:p w14:paraId="7A7F49FD" w14:textId="77777777" w:rsidR="00F11BA9" w:rsidRPr="004E3842" w:rsidRDefault="004E3842">
      <w:pPr>
        <w:snapToGrid w:val="0"/>
        <w:spacing w:line="360" w:lineRule="auto"/>
        <w:ind w:right="-142"/>
        <w:jc w:val="both"/>
        <w:rPr>
          <w:color w:val="FFFFFF"/>
          <w:sz w:val="2"/>
          <w:szCs w:val="2"/>
          <w:rtl/>
        </w:rPr>
      </w:pPr>
      <w:r w:rsidRPr="004E3842">
        <w:rPr>
          <w:color w:val="FFFFFF"/>
          <w:sz w:val="2"/>
          <w:szCs w:val="2"/>
          <w:rtl/>
        </w:rPr>
        <w:t>5129371</w:t>
      </w:r>
      <w:r w:rsidR="007B0A36" w:rsidRPr="004E3842">
        <w:rPr>
          <w:color w:val="FFFFFF"/>
          <w:sz w:val="2"/>
          <w:szCs w:val="2"/>
          <w:rtl/>
        </w:rPr>
        <w:t xml:space="preserve"> </w:t>
      </w:r>
    </w:p>
    <w:p w14:paraId="004663BA" w14:textId="77777777" w:rsidR="007B0A36" w:rsidRDefault="004E3842" w:rsidP="007B0A36">
      <w:r w:rsidRPr="004E3842">
        <w:rPr>
          <w:color w:val="FFFFFF"/>
          <w:sz w:val="2"/>
          <w:szCs w:val="2"/>
          <w:rtl/>
        </w:rPr>
        <w:t>54678313</w:t>
      </w:r>
    </w:p>
    <w:p w14:paraId="276C90F1" w14:textId="77777777" w:rsidR="007B0A36" w:rsidRDefault="007B0A36" w:rsidP="007B0A36">
      <w:pPr>
        <w:rPr>
          <w:rtl/>
        </w:rPr>
      </w:pPr>
    </w:p>
    <w:p w14:paraId="0B013423" w14:textId="77777777" w:rsidR="007B0A36" w:rsidRDefault="007B0A36" w:rsidP="007B0A3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839E89F" w14:textId="77777777" w:rsidR="004E3842" w:rsidRPr="004E3842" w:rsidRDefault="004E3842" w:rsidP="004E3842">
      <w:pPr>
        <w:keepNext/>
        <w:rPr>
          <w:color w:val="000000"/>
          <w:sz w:val="22"/>
          <w:szCs w:val="22"/>
          <w:rtl/>
        </w:rPr>
      </w:pPr>
    </w:p>
    <w:p w14:paraId="709E07A8" w14:textId="77777777" w:rsidR="004E3842" w:rsidRPr="004E3842" w:rsidRDefault="004E3842" w:rsidP="004E3842">
      <w:pPr>
        <w:keepNext/>
        <w:rPr>
          <w:color w:val="000000"/>
          <w:sz w:val="22"/>
          <w:szCs w:val="22"/>
          <w:rtl/>
        </w:rPr>
      </w:pPr>
      <w:r w:rsidRPr="004E3842">
        <w:rPr>
          <w:color w:val="000000"/>
          <w:sz w:val="22"/>
          <w:szCs w:val="22"/>
          <w:rtl/>
        </w:rPr>
        <w:t>דניאלה שריזלי 54678313-/</w:t>
      </w:r>
    </w:p>
    <w:p w14:paraId="7998A772" w14:textId="77777777" w:rsidR="00F11BA9" w:rsidRPr="007B0A36" w:rsidRDefault="004E3842" w:rsidP="004E3842">
      <w:pPr>
        <w:rPr>
          <w:color w:val="0000FF"/>
          <w:u w:val="single"/>
        </w:rPr>
      </w:pPr>
      <w:r w:rsidRPr="004E3842">
        <w:rPr>
          <w:color w:val="000000"/>
          <w:u w:val="single"/>
          <w:rtl/>
        </w:rPr>
        <w:t>נוסח מסמך זה כפוף לשינויי ניסוח ועריכה</w:t>
      </w:r>
    </w:p>
    <w:sectPr w:rsidR="00F11BA9" w:rsidRPr="007B0A36" w:rsidSect="004E3842">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50DFC" w14:textId="77777777" w:rsidR="00CA0B22" w:rsidRPr="00771D8A" w:rsidRDefault="00CA0B22">
      <w:pPr>
        <w:rPr>
          <w:rFonts w:cs="Arial"/>
          <w:szCs w:val="20"/>
        </w:rPr>
      </w:pPr>
      <w:r>
        <w:separator/>
      </w:r>
    </w:p>
  </w:endnote>
  <w:endnote w:type="continuationSeparator" w:id="0">
    <w:p w14:paraId="50A6DF6E" w14:textId="77777777" w:rsidR="00CA0B22" w:rsidRPr="00771D8A" w:rsidRDefault="00CA0B2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3FC93" w14:textId="77777777" w:rsidR="004E3842" w:rsidRDefault="004E3842" w:rsidP="004E384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FD8AEA" w14:textId="77777777" w:rsidR="00F11BA9" w:rsidRPr="004E3842" w:rsidRDefault="004E3842" w:rsidP="004E3842">
    <w:pPr>
      <w:pStyle w:val="a4"/>
      <w:pBdr>
        <w:top w:val="single" w:sz="4" w:space="1" w:color="auto"/>
        <w:between w:val="single" w:sz="4" w:space="0" w:color="auto"/>
      </w:pBdr>
      <w:spacing w:after="60"/>
      <w:jc w:val="center"/>
      <w:rPr>
        <w:rFonts w:ascii="FrankRuehl" w:hAnsi="FrankRuehl" w:cs="FrankRuehl"/>
        <w:color w:val="000000"/>
      </w:rPr>
    </w:pPr>
    <w:r w:rsidRPr="004E38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E541" w14:textId="77777777" w:rsidR="004E3842" w:rsidRDefault="004E3842" w:rsidP="004E384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0FD1">
      <w:rPr>
        <w:rFonts w:ascii="FrankRuehl" w:hAnsi="FrankRuehl" w:cs="FrankRuehl"/>
        <w:noProof/>
        <w:rtl/>
      </w:rPr>
      <w:t>1</w:t>
    </w:r>
    <w:r>
      <w:rPr>
        <w:rFonts w:ascii="FrankRuehl" w:hAnsi="FrankRuehl" w:cs="FrankRuehl"/>
        <w:rtl/>
      </w:rPr>
      <w:fldChar w:fldCharType="end"/>
    </w:r>
  </w:p>
  <w:p w14:paraId="729EDE1B" w14:textId="77777777" w:rsidR="00F11BA9" w:rsidRPr="004E3842" w:rsidRDefault="004E3842" w:rsidP="004E3842">
    <w:pPr>
      <w:pStyle w:val="a4"/>
      <w:pBdr>
        <w:top w:val="single" w:sz="4" w:space="1" w:color="auto"/>
        <w:between w:val="single" w:sz="4" w:space="0" w:color="auto"/>
      </w:pBdr>
      <w:spacing w:after="60"/>
      <w:jc w:val="center"/>
      <w:rPr>
        <w:rFonts w:ascii="FrankRuehl" w:hAnsi="FrankRuehl" w:cs="FrankRuehl"/>
        <w:color w:val="000000"/>
      </w:rPr>
    </w:pPr>
    <w:r w:rsidRPr="004E3842">
      <w:rPr>
        <w:rFonts w:ascii="FrankRuehl" w:hAnsi="FrankRuehl" w:cs="FrankRuehl"/>
        <w:color w:val="000000"/>
      </w:rPr>
      <w:pict w14:anchorId="00A7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BB86C" w14:textId="77777777" w:rsidR="00CA0B22" w:rsidRPr="00771D8A" w:rsidRDefault="00CA0B22">
      <w:pPr>
        <w:rPr>
          <w:rFonts w:cs="Arial"/>
          <w:szCs w:val="20"/>
        </w:rPr>
      </w:pPr>
      <w:r>
        <w:separator/>
      </w:r>
    </w:p>
  </w:footnote>
  <w:footnote w:type="continuationSeparator" w:id="0">
    <w:p w14:paraId="427C02FE" w14:textId="77777777" w:rsidR="00CA0B22" w:rsidRPr="00771D8A" w:rsidRDefault="00CA0B2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24D44" w14:textId="77777777" w:rsidR="007B0A36" w:rsidRPr="004E3842" w:rsidRDefault="004E3842" w:rsidP="004E384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10971-03-11</w:t>
    </w:r>
    <w:r>
      <w:rPr>
        <w:color w:val="000000"/>
        <w:sz w:val="22"/>
        <w:szCs w:val="22"/>
        <w:rtl/>
      </w:rPr>
      <w:tab/>
      <w:t xml:space="preserve"> מדינת ישראל נ' יוסי מגל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12E2A" w14:textId="77777777" w:rsidR="007B0A36" w:rsidRPr="004E3842" w:rsidRDefault="004E3842" w:rsidP="004E384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10971-03-11</w:t>
    </w:r>
    <w:r>
      <w:rPr>
        <w:color w:val="000000"/>
        <w:sz w:val="22"/>
        <w:szCs w:val="22"/>
        <w:rtl/>
      </w:rPr>
      <w:tab/>
      <w:t xml:space="preserve"> מדינת ישראל נ' יוסי מגל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1BA9"/>
    <w:rsid w:val="004E3842"/>
    <w:rsid w:val="005227DC"/>
    <w:rsid w:val="007A3F5A"/>
    <w:rsid w:val="007B0A36"/>
    <w:rsid w:val="00A70FD1"/>
    <w:rsid w:val="00B31B86"/>
    <w:rsid w:val="00CA0B22"/>
    <w:rsid w:val="00D60C92"/>
    <w:rsid w:val="00F11BA9"/>
    <w:rsid w:val="00F61E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7269090"/>
  <w15:chartTrackingRefBased/>
  <w15:docId w15:val="{AF67E0E1-A27A-4239-A5FD-87938037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1BA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11BA9"/>
    <w:pPr>
      <w:tabs>
        <w:tab w:val="center" w:pos="4153"/>
        <w:tab w:val="right" w:pos="8306"/>
      </w:tabs>
    </w:pPr>
  </w:style>
  <w:style w:type="paragraph" w:styleId="a4">
    <w:name w:val="footer"/>
    <w:basedOn w:val="a"/>
    <w:rsid w:val="00F11BA9"/>
    <w:pPr>
      <w:tabs>
        <w:tab w:val="center" w:pos="4153"/>
        <w:tab w:val="right" w:pos="8306"/>
      </w:tabs>
    </w:pPr>
  </w:style>
  <w:style w:type="character" w:styleId="a5">
    <w:name w:val="page number"/>
    <w:basedOn w:val="a0"/>
    <w:rsid w:val="00F11BA9"/>
  </w:style>
  <w:style w:type="paragraph" w:customStyle="1" w:styleId="12">
    <w:name w:val="רגיל + ‏12 נק'"/>
    <w:aliases w:val="מיושר לשני הצדדים,מרווח בין שורות:  שורה וחצי"/>
    <w:basedOn w:val="a"/>
    <w:rsid w:val="00F11BA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F11BA9"/>
    <w:pPr>
      <w:spacing w:line="360" w:lineRule="auto"/>
      <w:jc w:val="both"/>
    </w:pPr>
    <w:rPr>
      <w:rFonts w:ascii="Times New Roman" w:eastAsia="Times New Roman" w:hAnsi="Times New Roman"/>
    </w:rPr>
  </w:style>
  <w:style w:type="paragraph" w:styleId="a6">
    <w:name w:val="Body Text"/>
    <w:basedOn w:val="a"/>
    <w:link w:val="a7"/>
    <w:rsid w:val="00F11BA9"/>
    <w:pPr>
      <w:spacing w:after="120"/>
    </w:pPr>
  </w:style>
  <w:style w:type="character" w:customStyle="1" w:styleId="a7">
    <w:name w:val="גוף טקסט תו"/>
    <w:link w:val="a6"/>
    <w:rsid w:val="00F11BA9"/>
    <w:rPr>
      <w:rFonts w:ascii="David" w:eastAsia="David" w:hAnsi="David" w:cs="David"/>
      <w:sz w:val="24"/>
      <w:szCs w:val="24"/>
      <w:lang w:val="en-US" w:eastAsia="en-US" w:bidi="he-IL"/>
    </w:rPr>
  </w:style>
  <w:style w:type="character" w:styleId="a8">
    <w:name w:val="line number"/>
    <w:basedOn w:val="a0"/>
    <w:rsid w:val="00F11BA9"/>
  </w:style>
  <w:style w:type="character" w:styleId="Hyperlink">
    <w:name w:val="Hyperlink"/>
    <w:rsid w:val="007B0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4216/7.c" TargetMode="External"/><Relationship Id="rId39" Type="http://schemas.openxmlformats.org/officeDocument/2006/relationships/header" Target="header2.xml"/><Relationship Id="rId21" Type="http://schemas.openxmlformats.org/officeDocument/2006/relationships/hyperlink" Target="http://www.nevo.co.il/law/4216/7.a" TargetMode="External"/><Relationship Id="rId34" Type="http://schemas.openxmlformats.org/officeDocument/2006/relationships/hyperlink" Target="http://www.nevo.co.il/law/70301/40c"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275"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12804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383663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4216/7.a"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1755</Words>
  <Characters>8775</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10509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3473529</vt:i4>
      </vt:variant>
      <vt:variant>
        <vt:i4>78</vt:i4>
      </vt:variant>
      <vt:variant>
        <vt:i4>0</vt:i4>
      </vt:variant>
      <vt:variant>
        <vt:i4>5</vt:i4>
      </vt:variant>
      <vt:variant>
        <vt:lpwstr>http://www.nevo.co.il/case/6128041</vt:lpwstr>
      </vt:variant>
      <vt:variant>
        <vt:lpwstr/>
      </vt:variant>
      <vt:variant>
        <vt:i4>4128889</vt:i4>
      </vt:variant>
      <vt:variant>
        <vt:i4>75</vt:i4>
      </vt:variant>
      <vt:variant>
        <vt:i4>0</vt:i4>
      </vt:variant>
      <vt:variant>
        <vt:i4>5</vt:i4>
      </vt:variant>
      <vt:variant>
        <vt:lpwstr>http://www.nevo.co.il/case/3836639</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7995492</vt:i4>
      </vt:variant>
      <vt:variant>
        <vt:i4>30</vt:i4>
      </vt:variant>
      <vt:variant>
        <vt:i4>0</vt:i4>
      </vt:variant>
      <vt:variant>
        <vt:i4>5</vt:i4>
      </vt:variant>
      <vt:variant>
        <vt:lpwstr>http://www.nevo.co.il/law/70301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10971</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יוסי מגל</vt:lpwstr>
  </property>
  <property fmtid="{D5CDD505-2E9C-101B-9397-08002B2CF9AE}" pid="10" name="LAWYER">
    <vt:lpwstr>נעמה פנן;אייל אוחיון</vt:lpwstr>
  </property>
  <property fmtid="{D5CDD505-2E9C-101B-9397-08002B2CF9AE}" pid="11" name="JUDGE">
    <vt:lpwstr>דניאלה שריזלי</vt:lpwstr>
  </property>
  <property fmtid="{D5CDD505-2E9C-101B-9397-08002B2CF9AE}" pid="12" name="CITY">
    <vt:lpwstr>ת"א</vt:lpwstr>
  </property>
  <property fmtid="{D5CDD505-2E9C-101B-9397-08002B2CF9AE}" pid="13" name="DATE">
    <vt:lpwstr>20150210</vt:lpwstr>
  </property>
  <property fmtid="{D5CDD505-2E9C-101B-9397-08002B2CF9AE}" pid="14" name="TYPE_N_DATE">
    <vt:lpwstr>38020150210</vt:lpwstr>
  </property>
  <property fmtid="{D5CDD505-2E9C-101B-9397-08002B2CF9AE}" pid="15" name="WORDNUMPAGES">
    <vt:lpwstr>6</vt:lpwstr>
  </property>
  <property fmtid="{D5CDD505-2E9C-101B-9397-08002B2CF9AE}" pid="16" name="TYPE_ABS_DATE">
    <vt:lpwstr>380020150210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3836639;6128041</vt:lpwstr>
  </property>
  <property fmtid="{D5CDD505-2E9C-101B-9397-08002B2CF9AE}" pid="35" name="LAWLISTTMP1">
    <vt:lpwstr>4216/007.a:3;007.c:3</vt:lpwstr>
  </property>
  <property fmtid="{D5CDD505-2E9C-101B-9397-08002B2CF9AE}" pid="36" name="LAWLISTTMP2">
    <vt:lpwstr>70301/275:2;040c;40ja</vt:lpwstr>
  </property>
</Properties>
</file>