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BB66AE" w:rsidRPr="00CA68D7" w14:paraId="7503E5E1" w14:textId="77777777">
        <w:trPr>
          <w:trHeight w:hRule="exact" w:val="418"/>
          <w:jc w:val="center"/>
        </w:trPr>
        <w:tc>
          <w:tcPr>
            <w:tcW w:w="8721" w:type="dxa"/>
            <w:gridSpan w:val="2"/>
          </w:tcPr>
          <w:p w14:paraId="36F1CAF5" w14:textId="77777777" w:rsidR="00BB66AE" w:rsidRPr="00CA68D7" w:rsidRDefault="00CA68D7">
            <w:pPr>
              <w:pStyle w:val="a4"/>
              <w:jc w:val="center"/>
              <w:rPr>
                <w:rFonts w:ascii="Tahoma" w:hAnsi="Tahoma" w:cs="Tahoma"/>
                <w:color w:val="000080"/>
                <w:rtl/>
              </w:rPr>
            </w:pPr>
            <w:bookmarkStart w:id="0" w:name="LastJudge"/>
            <w:r w:rsidRPr="00CA68D7">
              <w:rPr>
                <w:rFonts w:ascii="Tahoma" w:hAnsi="Tahoma" w:cs="Tahoma"/>
                <w:b/>
                <w:bCs/>
                <w:color w:val="000080"/>
                <w:rtl/>
              </w:rPr>
              <w:t>בית משפט השלום בראשון לציון</w:t>
            </w:r>
          </w:p>
        </w:tc>
      </w:tr>
      <w:tr w:rsidR="00BB66AE" w:rsidRPr="00CA68D7" w14:paraId="155B975E" w14:textId="77777777">
        <w:trPr>
          <w:trHeight w:val="337"/>
          <w:jc w:val="center"/>
        </w:trPr>
        <w:tc>
          <w:tcPr>
            <w:tcW w:w="5051" w:type="dxa"/>
          </w:tcPr>
          <w:p w14:paraId="3196D084" w14:textId="77777777" w:rsidR="00BB66AE" w:rsidRPr="00CA68D7" w:rsidRDefault="00CA68D7">
            <w:pPr>
              <w:rPr>
                <w:rFonts w:cs="FrankRuehl"/>
                <w:sz w:val="28"/>
                <w:szCs w:val="28"/>
                <w:rtl/>
              </w:rPr>
            </w:pPr>
            <w:r w:rsidRPr="00CA68D7">
              <w:rPr>
                <w:rFonts w:cs="FrankRuehl"/>
                <w:sz w:val="28"/>
                <w:szCs w:val="28"/>
                <w:rtl/>
              </w:rPr>
              <w:t>ת"פ</w:t>
            </w:r>
            <w:r w:rsidRPr="00CA68D7">
              <w:rPr>
                <w:rFonts w:cs="FrankRuehl" w:hint="cs"/>
                <w:sz w:val="28"/>
                <w:szCs w:val="28"/>
                <w:rtl/>
              </w:rPr>
              <w:t xml:space="preserve"> </w:t>
            </w:r>
            <w:r w:rsidRPr="00CA68D7">
              <w:rPr>
                <w:rFonts w:cs="FrankRuehl"/>
                <w:sz w:val="28"/>
                <w:szCs w:val="28"/>
                <w:rtl/>
              </w:rPr>
              <w:t>17468-03-11</w:t>
            </w:r>
            <w:r w:rsidRPr="00CA68D7">
              <w:rPr>
                <w:rFonts w:cs="FrankRuehl" w:hint="cs"/>
                <w:sz w:val="28"/>
                <w:szCs w:val="28"/>
                <w:rtl/>
              </w:rPr>
              <w:t xml:space="preserve"> </w:t>
            </w:r>
            <w:r w:rsidRPr="00CA68D7">
              <w:rPr>
                <w:rFonts w:cs="FrankRuehl"/>
                <w:sz w:val="28"/>
                <w:szCs w:val="28"/>
                <w:rtl/>
              </w:rPr>
              <w:t>מדינת ישראל נ' בורשטיין</w:t>
            </w:r>
          </w:p>
          <w:p w14:paraId="01CA2176" w14:textId="77777777" w:rsidR="00BB66AE" w:rsidRPr="00CA68D7" w:rsidRDefault="00BB66AE">
            <w:pPr>
              <w:pStyle w:val="a4"/>
              <w:rPr>
                <w:rFonts w:cs="FrankRuehl"/>
                <w:sz w:val="28"/>
                <w:szCs w:val="28"/>
                <w:rtl/>
              </w:rPr>
            </w:pPr>
          </w:p>
          <w:p w14:paraId="4272669C" w14:textId="77777777" w:rsidR="00BB66AE" w:rsidRPr="00CA68D7" w:rsidRDefault="00BB66AE"/>
        </w:tc>
        <w:tc>
          <w:tcPr>
            <w:tcW w:w="3670" w:type="dxa"/>
          </w:tcPr>
          <w:p w14:paraId="39D75819" w14:textId="77777777" w:rsidR="00BB66AE" w:rsidRPr="00CA68D7" w:rsidRDefault="00CA68D7">
            <w:pPr>
              <w:pStyle w:val="a4"/>
              <w:jc w:val="right"/>
              <w:rPr>
                <w:rFonts w:cs="FrankRuehl"/>
                <w:sz w:val="28"/>
                <w:szCs w:val="28"/>
                <w:rtl/>
              </w:rPr>
            </w:pPr>
            <w:r w:rsidRPr="00CA68D7">
              <w:rPr>
                <w:rFonts w:cs="FrankRuehl"/>
                <w:sz w:val="28"/>
                <w:szCs w:val="28"/>
                <w:rtl/>
              </w:rPr>
              <w:t>13 מרץ 2013</w:t>
            </w:r>
          </w:p>
        </w:tc>
      </w:tr>
    </w:tbl>
    <w:p w14:paraId="75CAB448" w14:textId="77777777" w:rsidR="00BB66AE" w:rsidRPr="00CA68D7" w:rsidRDefault="00CA68D7">
      <w:pPr>
        <w:pStyle w:val="a4"/>
        <w:rPr>
          <w:rtl/>
        </w:rPr>
      </w:pPr>
      <w:r w:rsidRPr="00CA68D7">
        <w:rPr>
          <w:rFonts w:hint="cs"/>
          <w:rtl/>
        </w:rPr>
        <w:t xml:space="preserve"> </w:t>
      </w:r>
    </w:p>
    <w:p w14:paraId="7C7324C4" w14:textId="77777777" w:rsidR="00BB66AE" w:rsidRPr="00CA68D7" w:rsidRDefault="00CA68D7">
      <w:pPr>
        <w:pStyle w:val="a4"/>
      </w:pPr>
      <w:r w:rsidRPr="00CA68D7">
        <w:rPr>
          <w:rFonts w:cs="Times New Roman" w:hint="cs"/>
          <w:b/>
          <w:bCs/>
          <w:sz w:val="26"/>
          <w:szCs w:val="28"/>
          <w:rtl/>
        </w:rPr>
        <w:t xml:space="preserve"> </w:t>
      </w:r>
    </w:p>
    <w:p w14:paraId="685661B8" w14:textId="77777777" w:rsidR="00BB66AE" w:rsidRPr="00CA68D7" w:rsidRDefault="00BB66A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B66AE" w:rsidRPr="00CA68D7" w14:paraId="0E9A3335" w14:textId="77777777">
        <w:trPr>
          <w:gridAfter w:val="1"/>
          <w:wAfter w:w="3771" w:type="dxa"/>
          <w:trHeight w:val="295"/>
          <w:jc w:val="center"/>
        </w:trPr>
        <w:tc>
          <w:tcPr>
            <w:tcW w:w="5049" w:type="dxa"/>
            <w:gridSpan w:val="2"/>
            <w:tcBorders>
              <w:top w:val="nil"/>
              <w:left w:val="nil"/>
              <w:bottom w:val="nil"/>
              <w:right w:val="nil"/>
            </w:tcBorders>
          </w:tcPr>
          <w:p w14:paraId="54EFCD0C" w14:textId="77777777" w:rsidR="00BB66AE" w:rsidRPr="00CA68D7" w:rsidRDefault="00BB66AE">
            <w:pPr>
              <w:spacing w:line="360" w:lineRule="auto"/>
              <w:jc w:val="right"/>
              <w:rPr>
                <w:rFonts w:ascii="Arial" w:hAnsi="Arial" w:cs="FrankRuehl"/>
                <w:sz w:val="28"/>
                <w:szCs w:val="28"/>
                <w:rtl/>
              </w:rPr>
            </w:pPr>
            <w:bookmarkStart w:id="1" w:name="_GoBack"/>
            <w:bookmarkEnd w:id="1"/>
          </w:p>
        </w:tc>
      </w:tr>
      <w:tr w:rsidR="00BB66AE" w:rsidRPr="00CA68D7" w14:paraId="4055EBDB" w14:textId="77777777">
        <w:trPr>
          <w:trHeight w:val="295"/>
          <w:jc w:val="center"/>
        </w:trPr>
        <w:tc>
          <w:tcPr>
            <w:tcW w:w="923" w:type="dxa"/>
            <w:tcBorders>
              <w:top w:val="nil"/>
              <w:left w:val="nil"/>
              <w:bottom w:val="nil"/>
              <w:right w:val="nil"/>
            </w:tcBorders>
          </w:tcPr>
          <w:p w14:paraId="4CAB36AB" w14:textId="77777777" w:rsidR="00BB66AE" w:rsidRPr="00CA68D7" w:rsidRDefault="00CA68D7">
            <w:pPr>
              <w:spacing w:line="360" w:lineRule="auto"/>
              <w:jc w:val="both"/>
              <w:rPr>
                <w:rFonts w:ascii="Arial" w:hAnsi="Arial"/>
              </w:rPr>
            </w:pPr>
            <w:r w:rsidRPr="00CA68D7">
              <w:rPr>
                <w:rFonts w:ascii="Arial" w:hAnsi="Arial" w:hint="cs"/>
                <w:rtl/>
              </w:rPr>
              <w:t>ב</w:t>
            </w:r>
            <w:r w:rsidRPr="00CA68D7">
              <w:rPr>
                <w:rFonts w:ascii="Arial" w:hAnsi="Arial"/>
                <w:rtl/>
              </w:rPr>
              <w:t xml:space="preserve">פני </w:t>
            </w:r>
          </w:p>
        </w:tc>
        <w:tc>
          <w:tcPr>
            <w:tcW w:w="7897" w:type="dxa"/>
            <w:gridSpan w:val="2"/>
            <w:tcBorders>
              <w:top w:val="nil"/>
              <w:left w:val="nil"/>
              <w:bottom w:val="nil"/>
              <w:right w:val="nil"/>
            </w:tcBorders>
          </w:tcPr>
          <w:p w14:paraId="5F5D23B9" w14:textId="77777777" w:rsidR="00BB66AE" w:rsidRPr="00CA68D7" w:rsidRDefault="00CA68D7">
            <w:pPr>
              <w:spacing w:line="360" w:lineRule="auto"/>
              <w:rPr>
                <w:rtl/>
              </w:rPr>
            </w:pPr>
            <w:r w:rsidRPr="00CA68D7">
              <w:rPr>
                <w:rFonts w:ascii="Arial" w:hAnsi="Arial" w:hint="cs"/>
                <w:b/>
                <w:bCs/>
                <w:rtl/>
              </w:rPr>
              <w:t>כב' ה</w:t>
            </w:r>
            <w:r w:rsidRPr="00CA68D7">
              <w:rPr>
                <w:rFonts w:hint="cs"/>
                <w:rtl/>
              </w:rPr>
              <w:t>סגן נשיאה</w:t>
            </w:r>
            <w:r w:rsidRPr="00CA68D7">
              <w:rPr>
                <w:rFonts w:ascii="Arial" w:hAnsi="Arial" w:hint="cs"/>
                <w:b/>
                <w:bCs/>
                <w:rtl/>
              </w:rPr>
              <w:t xml:space="preserve">  </w:t>
            </w:r>
            <w:r w:rsidRPr="00CA68D7">
              <w:rPr>
                <w:rFonts w:hint="cs"/>
                <w:rtl/>
              </w:rPr>
              <w:t>ארז יקואל</w:t>
            </w:r>
          </w:p>
          <w:p w14:paraId="133055BD" w14:textId="77777777" w:rsidR="00BB66AE" w:rsidRPr="00CA68D7" w:rsidRDefault="00BB66AE">
            <w:pPr>
              <w:spacing w:line="360" w:lineRule="auto"/>
              <w:rPr>
                <w:rFonts w:ascii="Arial" w:hAnsi="Arial"/>
                <w:b/>
                <w:bCs/>
              </w:rPr>
            </w:pPr>
          </w:p>
        </w:tc>
      </w:tr>
      <w:tr w:rsidR="00BB66AE" w:rsidRPr="00CA68D7" w14:paraId="034D5466" w14:textId="77777777">
        <w:trPr>
          <w:trHeight w:val="355"/>
          <w:jc w:val="center"/>
        </w:trPr>
        <w:tc>
          <w:tcPr>
            <w:tcW w:w="923" w:type="dxa"/>
            <w:tcBorders>
              <w:top w:val="nil"/>
              <w:left w:val="nil"/>
              <w:bottom w:val="nil"/>
              <w:right w:val="nil"/>
            </w:tcBorders>
          </w:tcPr>
          <w:p w14:paraId="3B46133D" w14:textId="77777777" w:rsidR="00BB66AE" w:rsidRPr="00CA68D7" w:rsidRDefault="00CA68D7">
            <w:pPr>
              <w:jc w:val="both"/>
              <w:rPr>
                <w:rFonts w:ascii="Arial" w:hAnsi="Arial"/>
              </w:rPr>
            </w:pPr>
            <w:bookmarkStart w:id="2" w:name="FirstAppellant"/>
            <w:bookmarkStart w:id="3" w:name="FirstLawyer"/>
            <w:r w:rsidRPr="00CA68D7">
              <w:rPr>
                <w:rFonts w:ascii="Arial" w:hAnsi="Arial" w:hint="cs"/>
                <w:rtl/>
              </w:rPr>
              <w:t>בעניין:</w:t>
            </w:r>
          </w:p>
        </w:tc>
        <w:tc>
          <w:tcPr>
            <w:tcW w:w="4126" w:type="dxa"/>
            <w:tcBorders>
              <w:top w:val="nil"/>
              <w:left w:val="nil"/>
              <w:bottom w:val="nil"/>
              <w:right w:val="nil"/>
            </w:tcBorders>
          </w:tcPr>
          <w:p w14:paraId="0A5CED78" w14:textId="77777777" w:rsidR="00BB66AE" w:rsidRPr="00CA68D7" w:rsidRDefault="00CA68D7">
            <w:pPr>
              <w:rPr>
                <w:b/>
                <w:bCs/>
                <w:rtl/>
              </w:rPr>
            </w:pPr>
            <w:r w:rsidRPr="00CA68D7">
              <w:rPr>
                <w:rFonts w:hint="cs"/>
                <w:b/>
                <w:bCs/>
                <w:rtl/>
              </w:rPr>
              <w:t>מדינת ישראל</w:t>
            </w:r>
          </w:p>
          <w:p w14:paraId="2A0ED40F" w14:textId="77777777" w:rsidR="00BB66AE" w:rsidRPr="00CA68D7" w:rsidRDefault="00BB66AE">
            <w:pPr>
              <w:rPr>
                <w:b/>
                <w:bCs/>
              </w:rPr>
            </w:pPr>
          </w:p>
          <w:p w14:paraId="15EA1786" w14:textId="77777777" w:rsidR="00BB66AE" w:rsidRPr="00CA68D7" w:rsidRDefault="00CA68D7">
            <w:pPr>
              <w:jc w:val="both"/>
              <w:rPr>
                <w:rFonts w:ascii="Arial" w:hAnsi="Arial"/>
              </w:rPr>
            </w:pPr>
            <w:r w:rsidRPr="00CA68D7">
              <w:rPr>
                <w:rFonts w:ascii="Arial" w:hAnsi="Arial" w:hint="cs"/>
                <w:rtl/>
              </w:rPr>
              <w:t>על-ידי ב"כ עו"ד כ"ץ</w:t>
            </w:r>
          </w:p>
        </w:tc>
        <w:tc>
          <w:tcPr>
            <w:tcW w:w="3771" w:type="dxa"/>
            <w:tcBorders>
              <w:top w:val="nil"/>
              <w:left w:val="nil"/>
              <w:bottom w:val="nil"/>
              <w:right w:val="nil"/>
            </w:tcBorders>
          </w:tcPr>
          <w:p w14:paraId="50951B83" w14:textId="77777777" w:rsidR="00BB66AE" w:rsidRPr="00CA68D7" w:rsidRDefault="00BB66AE">
            <w:pPr>
              <w:jc w:val="both"/>
              <w:rPr>
                <w:rFonts w:ascii="Arial" w:hAnsi="Arial"/>
              </w:rPr>
            </w:pPr>
          </w:p>
        </w:tc>
      </w:tr>
      <w:bookmarkEnd w:id="2"/>
      <w:bookmarkEnd w:id="3"/>
      <w:tr w:rsidR="00BB66AE" w:rsidRPr="00CA68D7" w14:paraId="3522B0E0" w14:textId="77777777">
        <w:trPr>
          <w:trHeight w:val="355"/>
          <w:jc w:val="center"/>
        </w:trPr>
        <w:tc>
          <w:tcPr>
            <w:tcW w:w="923" w:type="dxa"/>
            <w:tcBorders>
              <w:top w:val="nil"/>
              <w:left w:val="nil"/>
              <w:bottom w:val="nil"/>
              <w:right w:val="nil"/>
            </w:tcBorders>
          </w:tcPr>
          <w:p w14:paraId="48AB7E6F" w14:textId="77777777" w:rsidR="00BB66AE" w:rsidRPr="00CA68D7" w:rsidRDefault="00BB66AE">
            <w:pPr>
              <w:jc w:val="both"/>
              <w:rPr>
                <w:rFonts w:ascii="Arial" w:hAnsi="Arial"/>
                <w:rtl/>
              </w:rPr>
            </w:pPr>
          </w:p>
        </w:tc>
        <w:tc>
          <w:tcPr>
            <w:tcW w:w="4126" w:type="dxa"/>
            <w:tcBorders>
              <w:top w:val="nil"/>
              <w:left w:val="nil"/>
              <w:bottom w:val="nil"/>
              <w:right w:val="nil"/>
            </w:tcBorders>
          </w:tcPr>
          <w:p w14:paraId="761E36B3" w14:textId="77777777" w:rsidR="00BB66AE" w:rsidRPr="00CA68D7" w:rsidRDefault="00BB66AE">
            <w:pPr>
              <w:jc w:val="both"/>
              <w:rPr>
                <w:rtl/>
              </w:rPr>
            </w:pPr>
          </w:p>
        </w:tc>
        <w:tc>
          <w:tcPr>
            <w:tcW w:w="3771" w:type="dxa"/>
            <w:tcBorders>
              <w:top w:val="nil"/>
              <w:left w:val="nil"/>
              <w:bottom w:val="nil"/>
              <w:right w:val="nil"/>
            </w:tcBorders>
          </w:tcPr>
          <w:p w14:paraId="002561B9" w14:textId="77777777" w:rsidR="00BB66AE" w:rsidRPr="00CA68D7" w:rsidRDefault="00CA68D7">
            <w:pPr>
              <w:jc w:val="right"/>
              <w:rPr>
                <w:rFonts w:ascii="Arial" w:hAnsi="Arial"/>
                <w:rtl/>
              </w:rPr>
            </w:pPr>
            <w:r w:rsidRPr="00CA68D7">
              <w:rPr>
                <w:rFonts w:ascii="Arial" w:hAnsi="Arial" w:hint="cs"/>
                <w:rtl/>
              </w:rPr>
              <w:t>ה</w:t>
            </w:r>
            <w:r w:rsidRPr="00CA68D7">
              <w:rPr>
                <w:rFonts w:hint="cs"/>
                <w:rtl/>
              </w:rPr>
              <w:t>מאשימה</w:t>
            </w:r>
          </w:p>
        </w:tc>
      </w:tr>
      <w:tr w:rsidR="00BB66AE" w:rsidRPr="00CA68D7" w14:paraId="6696CDF7" w14:textId="77777777">
        <w:trPr>
          <w:trHeight w:val="355"/>
          <w:jc w:val="center"/>
        </w:trPr>
        <w:tc>
          <w:tcPr>
            <w:tcW w:w="923" w:type="dxa"/>
            <w:tcBorders>
              <w:top w:val="nil"/>
              <w:left w:val="nil"/>
              <w:bottom w:val="nil"/>
              <w:right w:val="nil"/>
            </w:tcBorders>
          </w:tcPr>
          <w:p w14:paraId="0EE863D6" w14:textId="77777777" w:rsidR="00BB66AE" w:rsidRPr="00CA68D7" w:rsidRDefault="00BB66AE">
            <w:pPr>
              <w:jc w:val="both"/>
              <w:rPr>
                <w:rFonts w:ascii="Arial" w:hAnsi="Arial"/>
                <w:rtl/>
              </w:rPr>
            </w:pPr>
          </w:p>
        </w:tc>
        <w:tc>
          <w:tcPr>
            <w:tcW w:w="7897" w:type="dxa"/>
            <w:gridSpan w:val="2"/>
            <w:tcBorders>
              <w:top w:val="nil"/>
              <w:left w:val="nil"/>
              <w:bottom w:val="nil"/>
              <w:right w:val="nil"/>
            </w:tcBorders>
          </w:tcPr>
          <w:p w14:paraId="044ABE2C" w14:textId="77777777" w:rsidR="00BB66AE" w:rsidRPr="00CA68D7" w:rsidRDefault="00BB66AE">
            <w:pPr>
              <w:jc w:val="center"/>
              <w:rPr>
                <w:rFonts w:ascii="Arial" w:hAnsi="Arial"/>
                <w:b/>
                <w:bCs/>
                <w:rtl/>
              </w:rPr>
            </w:pPr>
          </w:p>
          <w:p w14:paraId="426E3EA7" w14:textId="77777777" w:rsidR="00BB66AE" w:rsidRPr="00CA68D7" w:rsidRDefault="00CA68D7">
            <w:pPr>
              <w:jc w:val="center"/>
              <w:rPr>
                <w:rFonts w:ascii="Arial" w:hAnsi="Arial"/>
                <w:b/>
                <w:bCs/>
                <w:rtl/>
              </w:rPr>
            </w:pPr>
            <w:r w:rsidRPr="00CA68D7">
              <w:rPr>
                <w:rFonts w:ascii="Arial" w:hAnsi="Arial"/>
                <w:b/>
                <w:bCs/>
                <w:rtl/>
              </w:rPr>
              <w:t>נגד</w:t>
            </w:r>
          </w:p>
          <w:p w14:paraId="1A666E01" w14:textId="77777777" w:rsidR="00BB66AE" w:rsidRPr="00CA68D7" w:rsidRDefault="00BB66AE">
            <w:pPr>
              <w:jc w:val="both"/>
              <w:rPr>
                <w:rFonts w:ascii="Arial" w:hAnsi="Arial"/>
              </w:rPr>
            </w:pPr>
          </w:p>
        </w:tc>
      </w:tr>
      <w:tr w:rsidR="00BB66AE" w:rsidRPr="00CA68D7" w14:paraId="03184076" w14:textId="77777777">
        <w:trPr>
          <w:trHeight w:val="355"/>
          <w:jc w:val="center"/>
        </w:trPr>
        <w:tc>
          <w:tcPr>
            <w:tcW w:w="923" w:type="dxa"/>
            <w:tcBorders>
              <w:top w:val="nil"/>
              <w:left w:val="nil"/>
              <w:bottom w:val="nil"/>
              <w:right w:val="nil"/>
            </w:tcBorders>
          </w:tcPr>
          <w:p w14:paraId="42686003" w14:textId="77777777" w:rsidR="00BB66AE" w:rsidRPr="00CA68D7" w:rsidRDefault="00BB66AE">
            <w:pPr>
              <w:jc w:val="both"/>
              <w:rPr>
                <w:rFonts w:ascii="Arial" w:hAnsi="Arial"/>
                <w:rtl/>
              </w:rPr>
            </w:pPr>
          </w:p>
        </w:tc>
        <w:tc>
          <w:tcPr>
            <w:tcW w:w="4126" w:type="dxa"/>
            <w:tcBorders>
              <w:top w:val="nil"/>
              <w:left w:val="nil"/>
              <w:bottom w:val="nil"/>
              <w:right w:val="nil"/>
            </w:tcBorders>
          </w:tcPr>
          <w:p w14:paraId="3938206B" w14:textId="77777777" w:rsidR="00BB66AE" w:rsidRPr="00CA68D7" w:rsidRDefault="00CA68D7">
            <w:pPr>
              <w:jc w:val="both"/>
              <w:rPr>
                <w:b/>
                <w:bCs/>
                <w:rtl/>
              </w:rPr>
            </w:pPr>
            <w:r w:rsidRPr="00CA68D7">
              <w:rPr>
                <w:rFonts w:hint="cs"/>
                <w:b/>
                <w:bCs/>
                <w:rtl/>
              </w:rPr>
              <w:t>אלון בורשטיין</w:t>
            </w:r>
          </w:p>
          <w:p w14:paraId="39406DBB" w14:textId="77777777" w:rsidR="00BB66AE" w:rsidRPr="00CA68D7" w:rsidRDefault="00BB66AE">
            <w:pPr>
              <w:jc w:val="both"/>
              <w:rPr>
                <w:b/>
                <w:bCs/>
                <w:rtl/>
              </w:rPr>
            </w:pPr>
          </w:p>
          <w:p w14:paraId="77BE75FF" w14:textId="77777777" w:rsidR="00BB66AE" w:rsidRPr="00CA68D7" w:rsidRDefault="00CA68D7">
            <w:pPr>
              <w:jc w:val="both"/>
              <w:rPr>
                <w:rtl/>
              </w:rPr>
            </w:pPr>
            <w:r w:rsidRPr="00CA68D7">
              <w:rPr>
                <w:rFonts w:hint="cs"/>
                <w:rtl/>
              </w:rPr>
              <w:t>על-ידי ב"כ עו"ד רז</w:t>
            </w:r>
          </w:p>
        </w:tc>
        <w:tc>
          <w:tcPr>
            <w:tcW w:w="3771" w:type="dxa"/>
            <w:tcBorders>
              <w:top w:val="nil"/>
              <w:left w:val="nil"/>
              <w:bottom w:val="nil"/>
              <w:right w:val="nil"/>
            </w:tcBorders>
          </w:tcPr>
          <w:p w14:paraId="60C1BA63" w14:textId="77777777" w:rsidR="00BB66AE" w:rsidRPr="00CA68D7" w:rsidRDefault="00BB66AE">
            <w:pPr>
              <w:jc w:val="right"/>
              <w:rPr>
                <w:rFonts w:ascii="Arial" w:hAnsi="Arial"/>
              </w:rPr>
            </w:pPr>
          </w:p>
        </w:tc>
      </w:tr>
      <w:tr w:rsidR="00BB66AE" w:rsidRPr="00CA68D7" w14:paraId="667F3D88" w14:textId="77777777">
        <w:trPr>
          <w:trHeight w:val="355"/>
          <w:jc w:val="center"/>
        </w:trPr>
        <w:tc>
          <w:tcPr>
            <w:tcW w:w="923" w:type="dxa"/>
            <w:tcBorders>
              <w:top w:val="nil"/>
              <w:left w:val="nil"/>
              <w:bottom w:val="nil"/>
              <w:right w:val="nil"/>
            </w:tcBorders>
          </w:tcPr>
          <w:p w14:paraId="546D8FD6" w14:textId="77777777" w:rsidR="00BB66AE" w:rsidRPr="00CA68D7" w:rsidRDefault="00BB66AE">
            <w:pPr>
              <w:jc w:val="both"/>
              <w:rPr>
                <w:rFonts w:ascii="Arial" w:hAnsi="Arial"/>
                <w:rtl/>
              </w:rPr>
            </w:pPr>
          </w:p>
        </w:tc>
        <w:tc>
          <w:tcPr>
            <w:tcW w:w="4126" w:type="dxa"/>
            <w:tcBorders>
              <w:top w:val="nil"/>
              <w:left w:val="nil"/>
              <w:bottom w:val="nil"/>
              <w:right w:val="nil"/>
            </w:tcBorders>
          </w:tcPr>
          <w:p w14:paraId="0A33DB97" w14:textId="77777777" w:rsidR="00BB66AE" w:rsidRPr="00CA68D7" w:rsidRDefault="00BB66AE">
            <w:pPr>
              <w:jc w:val="both"/>
              <w:rPr>
                <w:rtl/>
              </w:rPr>
            </w:pPr>
          </w:p>
        </w:tc>
        <w:tc>
          <w:tcPr>
            <w:tcW w:w="3771" w:type="dxa"/>
            <w:tcBorders>
              <w:top w:val="nil"/>
              <w:left w:val="nil"/>
              <w:bottom w:val="nil"/>
              <w:right w:val="nil"/>
            </w:tcBorders>
          </w:tcPr>
          <w:p w14:paraId="027BE7FB" w14:textId="77777777" w:rsidR="00BB66AE" w:rsidRPr="00CA68D7" w:rsidRDefault="00CA68D7">
            <w:pPr>
              <w:jc w:val="right"/>
              <w:rPr>
                <w:rFonts w:ascii="Arial" w:hAnsi="Arial"/>
              </w:rPr>
            </w:pPr>
            <w:r w:rsidRPr="00CA68D7">
              <w:rPr>
                <w:rFonts w:ascii="Arial" w:hAnsi="Arial" w:hint="cs"/>
                <w:rtl/>
              </w:rPr>
              <w:t>ה</w:t>
            </w:r>
            <w:r w:rsidRPr="00CA68D7">
              <w:rPr>
                <w:rFonts w:hint="cs"/>
                <w:rtl/>
              </w:rPr>
              <w:t>נאשם</w:t>
            </w:r>
          </w:p>
        </w:tc>
      </w:tr>
    </w:tbl>
    <w:p w14:paraId="3A6870D6" w14:textId="77777777" w:rsidR="00BB66AE" w:rsidRPr="00CA68D7" w:rsidRDefault="00BB66AE"/>
    <w:p w14:paraId="53BD97D5" w14:textId="77777777" w:rsidR="00BB58F0" w:rsidRDefault="00BB58F0">
      <w:pPr>
        <w:rPr>
          <w:rtl/>
        </w:rPr>
      </w:pPr>
      <w:bookmarkStart w:id="4" w:name="LawTable"/>
      <w:bookmarkEnd w:id="4"/>
    </w:p>
    <w:p w14:paraId="2B76BB45" w14:textId="77777777" w:rsidR="00BB58F0" w:rsidRPr="00BB58F0" w:rsidRDefault="00BB58F0" w:rsidP="00BB58F0">
      <w:pPr>
        <w:spacing w:after="120" w:line="240" w:lineRule="exact"/>
        <w:ind w:left="283" w:hanging="283"/>
        <w:jc w:val="both"/>
        <w:rPr>
          <w:rFonts w:ascii="FrankRuehl" w:hAnsi="FrankRuehl" w:cs="FrankRuehl"/>
          <w:rtl/>
        </w:rPr>
      </w:pPr>
    </w:p>
    <w:p w14:paraId="04FB0755" w14:textId="77777777" w:rsidR="00BB58F0" w:rsidRPr="00BB58F0" w:rsidRDefault="00BB58F0" w:rsidP="00BB58F0">
      <w:pPr>
        <w:spacing w:after="120" w:line="240" w:lineRule="exact"/>
        <w:ind w:left="283" w:hanging="283"/>
        <w:jc w:val="both"/>
        <w:rPr>
          <w:rFonts w:ascii="FrankRuehl" w:hAnsi="FrankRuehl" w:cs="FrankRuehl"/>
          <w:rtl/>
        </w:rPr>
      </w:pPr>
      <w:r w:rsidRPr="00BB58F0">
        <w:rPr>
          <w:rFonts w:ascii="FrankRuehl" w:hAnsi="FrankRuehl" w:cs="FrankRuehl"/>
          <w:rtl/>
        </w:rPr>
        <w:t xml:space="preserve">חקיקה שאוזכרה: </w:t>
      </w:r>
    </w:p>
    <w:p w14:paraId="2D550360" w14:textId="77777777" w:rsidR="00BB58F0" w:rsidRPr="00BB58F0" w:rsidRDefault="00BB58F0" w:rsidP="00BB58F0">
      <w:pPr>
        <w:spacing w:after="120" w:line="240" w:lineRule="exact"/>
        <w:ind w:left="283" w:hanging="283"/>
        <w:jc w:val="both"/>
        <w:rPr>
          <w:rFonts w:ascii="FrankRuehl" w:hAnsi="FrankRuehl" w:cs="FrankRuehl"/>
          <w:rtl/>
        </w:rPr>
      </w:pPr>
      <w:hyperlink r:id="rId7" w:history="1">
        <w:r w:rsidRPr="00BB58F0">
          <w:rPr>
            <w:rFonts w:ascii="FrankRuehl" w:hAnsi="FrankRuehl" w:cs="FrankRuehl"/>
            <w:color w:val="0000FF"/>
            <w:u w:val="single"/>
            <w:rtl/>
          </w:rPr>
          <w:t>פקודת הסמים המסוכנים [נוסח חדש], תשל"ג-1973</w:t>
        </w:r>
      </w:hyperlink>
      <w:r w:rsidRPr="00BB58F0">
        <w:rPr>
          <w:rFonts w:ascii="FrankRuehl" w:hAnsi="FrankRuehl" w:cs="FrankRuehl"/>
          <w:rtl/>
        </w:rPr>
        <w:t xml:space="preserve">: סע'  </w:t>
      </w:r>
      <w:hyperlink r:id="rId8" w:history="1">
        <w:r w:rsidRPr="00BB58F0">
          <w:rPr>
            <w:rFonts w:ascii="FrankRuehl" w:hAnsi="FrankRuehl" w:cs="FrankRuehl"/>
            <w:color w:val="0000FF"/>
            <w:u w:val="single"/>
            <w:rtl/>
          </w:rPr>
          <w:t>7(א)</w:t>
        </w:r>
      </w:hyperlink>
      <w:r w:rsidRPr="00BB58F0">
        <w:rPr>
          <w:rFonts w:ascii="FrankRuehl" w:hAnsi="FrankRuehl" w:cs="FrankRuehl"/>
          <w:rtl/>
        </w:rPr>
        <w:t xml:space="preserve">, </w:t>
      </w:r>
      <w:hyperlink r:id="rId9" w:history="1">
        <w:r w:rsidRPr="00BB58F0">
          <w:rPr>
            <w:rFonts w:ascii="FrankRuehl" w:hAnsi="FrankRuehl" w:cs="FrankRuehl"/>
            <w:color w:val="0000FF"/>
            <w:u w:val="single"/>
            <w:rtl/>
          </w:rPr>
          <w:t>7(ג)</w:t>
        </w:r>
      </w:hyperlink>
      <w:r w:rsidRPr="00BB58F0">
        <w:rPr>
          <w:rFonts w:ascii="FrankRuehl" w:hAnsi="FrankRuehl" w:cs="FrankRuehl"/>
          <w:rtl/>
        </w:rPr>
        <w:t xml:space="preserve">, </w:t>
      </w:r>
      <w:hyperlink r:id="rId10" w:history="1">
        <w:r w:rsidRPr="00BB58F0">
          <w:rPr>
            <w:rFonts w:ascii="FrankRuehl" w:hAnsi="FrankRuehl" w:cs="FrankRuehl"/>
            <w:color w:val="0000FF"/>
            <w:u w:val="single"/>
            <w:rtl/>
          </w:rPr>
          <w:t>10</w:t>
        </w:r>
      </w:hyperlink>
      <w:r w:rsidRPr="00BB58F0">
        <w:rPr>
          <w:rFonts w:ascii="FrankRuehl" w:hAnsi="FrankRuehl" w:cs="FrankRuehl"/>
          <w:rtl/>
        </w:rPr>
        <w:t xml:space="preserve">, </w:t>
      </w:r>
      <w:hyperlink r:id="rId11" w:history="1">
        <w:r w:rsidRPr="00BB58F0">
          <w:rPr>
            <w:rFonts w:ascii="FrankRuehl" w:hAnsi="FrankRuehl" w:cs="FrankRuehl"/>
            <w:color w:val="0000FF"/>
            <w:u w:val="single"/>
            <w:rtl/>
          </w:rPr>
          <w:t>13</w:t>
        </w:r>
      </w:hyperlink>
      <w:r w:rsidRPr="00BB58F0">
        <w:rPr>
          <w:rFonts w:ascii="FrankRuehl" w:hAnsi="FrankRuehl" w:cs="FrankRuehl"/>
          <w:rtl/>
        </w:rPr>
        <w:t xml:space="preserve">, </w:t>
      </w:r>
      <w:hyperlink r:id="rId12" w:history="1">
        <w:r w:rsidRPr="00BB58F0">
          <w:rPr>
            <w:rFonts w:ascii="FrankRuehl" w:hAnsi="FrankRuehl" w:cs="FrankRuehl"/>
            <w:color w:val="0000FF"/>
            <w:u w:val="single"/>
            <w:rtl/>
          </w:rPr>
          <w:t>19</w:t>
        </w:r>
      </w:hyperlink>
    </w:p>
    <w:p w14:paraId="316F35E5" w14:textId="77777777" w:rsidR="00BB58F0" w:rsidRPr="00BB58F0" w:rsidRDefault="00BB58F0" w:rsidP="00BB58F0">
      <w:pPr>
        <w:spacing w:after="120" w:line="240" w:lineRule="exact"/>
        <w:ind w:left="283" w:hanging="283"/>
        <w:jc w:val="both"/>
        <w:rPr>
          <w:rFonts w:ascii="FrankRuehl" w:hAnsi="FrankRuehl" w:cs="FrankRuehl"/>
          <w:rtl/>
        </w:rPr>
      </w:pPr>
      <w:hyperlink r:id="rId13" w:history="1">
        <w:r w:rsidRPr="00BB58F0">
          <w:rPr>
            <w:rFonts w:ascii="FrankRuehl" w:hAnsi="FrankRuehl" w:cs="FrankRuehl"/>
            <w:color w:val="0000FF"/>
            <w:u w:val="single"/>
            <w:rtl/>
          </w:rPr>
          <w:t>חוק העונשין, תשל"ז-1977</w:t>
        </w:r>
      </w:hyperlink>
      <w:r w:rsidRPr="00BB58F0">
        <w:rPr>
          <w:rFonts w:ascii="FrankRuehl" w:hAnsi="FrankRuehl" w:cs="FrankRuehl"/>
          <w:rtl/>
        </w:rPr>
        <w:t xml:space="preserve">: סע'  </w:t>
      </w:r>
      <w:hyperlink r:id="rId14" w:history="1">
        <w:r w:rsidRPr="00BB58F0">
          <w:rPr>
            <w:rFonts w:ascii="FrankRuehl" w:hAnsi="FrankRuehl" w:cs="FrankRuehl"/>
            <w:color w:val="0000FF"/>
            <w:u w:val="single"/>
            <w:rtl/>
          </w:rPr>
          <w:t>40ב</w:t>
        </w:r>
      </w:hyperlink>
      <w:r w:rsidRPr="00BB58F0">
        <w:rPr>
          <w:rFonts w:ascii="FrankRuehl" w:hAnsi="FrankRuehl" w:cs="FrankRuehl"/>
          <w:rtl/>
        </w:rPr>
        <w:t xml:space="preserve">, </w:t>
      </w:r>
      <w:hyperlink r:id="rId15" w:history="1">
        <w:r w:rsidRPr="00BB58F0">
          <w:rPr>
            <w:rFonts w:ascii="FrankRuehl" w:hAnsi="FrankRuehl" w:cs="FrankRuehl"/>
            <w:color w:val="0000FF"/>
            <w:u w:val="single"/>
            <w:rtl/>
          </w:rPr>
          <w:t>40ג(א)</w:t>
        </w:r>
      </w:hyperlink>
      <w:r w:rsidRPr="00BB58F0">
        <w:rPr>
          <w:rFonts w:ascii="FrankRuehl" w:hAnsi="FrankRuehl" w:cs="FrankRuehl"/>
          <w:rtl/>
        </w:rPr>
        <w:t xml:space="preserve">, </w:t>
      </w:r>
      <w:hyperlink r:id="rId16" w:history="1">
        <w:r w:rsidRPr="00BB58F0">
          <w:rPr>
            <w:rFonts w:ascii="FrankRuehl" w:hAnsi="FrankRuehl" w:cs="FrankRuehl"/>
            <w:color w:val="0000FF"/>
            <w:u w:val="single"/>
            <w:rtl/>
          </w:rPr>
          <w:t>40ד(א)</w:t>
        </w:r>
      </w:hyperlink>
      <w:r w:rsidRPr="00BB58F0">
        <w:rPr>
          <w:rFonts w:ascii="FrankRuehl" w:hAnsi="FrankRuehl" w:cs="FrankRuehl"/>
          <w:rtl/>
        </w:rPr>
        <w:t xml:space="preserve">, </w:t>
      </w:r>
      <w:hyperlink r:id="rId17" w:history="1">
        <w:r w:rsidRPr="00BB58F0">
          <w:rPr>
            <w:rFonts w:ascii="FrankRuehl" w:hAnsi="FrankRuehl" w:cs="FrankRuehl"/>
            <w:color w:val="0000FF"/>
            <w:u w:val="single"/>
            <w:rtl/>
          </w:rPr>
          <w:t>40ד(ב)</w:t>
        </w:r>
      </w:hyperlink>
      <w:r w:rsidRPr="00BB58F0">
        <w:rPr>
          <w:rFonts w:ascii="FrankRuehl" w:hAnsi="FrankRuehl" w:cs="FrankRuehl"/>
          <w:rtl/>
        </w:rPr>
        <w:t xml:space="preserve">, </w:t>
      </w:r>
      <w:hyperlink r:id="rId18" w:history="1">
        <w:r w:rsidRPr="00BB58F0">
          <w:rPr>
            <w:rFonts w:ascii="FrankRuehl" w:hAnsi="FrankRuehl" w:cs="FrankRuehl"/>
            <w:color w:val="0000FF"/>
            <w:u w:val="single"/>
            <w:rtl/>
          </w:rPr>
          <w:t>40יא</w:t>
        </w:r>
      </w:hyperlink>
    </w:p>
    <w:p w14:paraId="127358A1" w14:textId="77777777" w:rsidR="00BB58F0" w:rsidRPr="00BB58F0" w:rsidRDefault="00BB58F0" w:rsidP="00BB58F0">
      <w:pPr>
        <w:spacing w:after="120" w:line="240" w:lineRule="exact"/>
        <w:ind w:left="283" w:hanging="283"/>
        <w:jc w:val="both"/>
        <w:rPr>
          <w:rFonts w:ascii="FrankRuehl" w:hAnsi="FrankRuehl" w:cs="FrankRuehl"/>
          <w:rtl/>
        </w:rPr>
      </w:pPr>
    </w:p>
    <w:p w14:paraId="6E1BC212" w14:textId="77777777" w:rsidR="00BB58F0" w:rsidRPr="00BB58F0" w:rsidRDefault="00BB58F0">
      <w:pPr>
        <w:rPr>
          <w:rtl/>
        </w:rPr>
      </w:pPr>
      <w:bookmarkStart w:id="5" w:name="LawTable_End"/>
      <w:bookmarkEnd w:id="5"/>
    </w:p>
    <w:p w14:paraId="39F12579" w14:textId="77777777" w:rsidR="00BB58F0" w:rsidRPr="00BB58F0" w:rsidRDefault="00BB58F0">
      <w:pPr>
        <w:rPr>
          <w:rtl/>
        </w:rPr>
      </w:pPr>
    </w:p>
    <w:p w14:paraId="73377363" w14:textId="77777777" w:rsidR="00BB66AE" w:rsidRPr="00BB58F0" w:rsidRDefault="00BB66AE"/>
    <w:p w14:paraId="31529467" w14:textId="77777777" w:rsidR="00D66547" w:rsidRPr="00D66547" w:rsidRDefault="00D66547">
      <w:pPr>
        <w:rPr>
          <w:rFonts w:ascii="Arial" w:hAnsi="Arial" w:cs="FrankRuehl"/>
          <w:sz w:val="28"/>
          <w:szCs w:val="28"/>
          <w:rtl/>
        </w:rPr>
      </w:pPr>
    </w:p>
    <w:p w14:paraId="4813FB93" w14:textId="77777777" w:rsidR="00D66547" w:rsidRPr="00D66547" w:rsidRDefault="00D66547">
      <w:pPr>
        <w:rPr>
          <w:rFonts w:ascii="Arial" w:hAnsi="Arial" w:cs="FrankRuehl"/>
          <w:sz w:val="28"/>
          <w:szCs w:val="28"/>
          <w:rtl/>
        </w:rPr>
      </w:pPr>
    </w:p>
    <w:p w14:paraId="41A70D2B" w14:textId="77777777" w:rsidR="00BB66AE" w:rsidRPr="00D66547" w:rsidRDefault="00BB66AE">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66AE" w14:paraId="6702247F" w14:textId="77777777">
        <w:trPr>
          <w:trHeight w:val="355"/>
          <w:jc w:val="center"/>
        </w:trPr>
        <w:tc>
          <w:tcPr>
            <w:tcW w:w="8820" w:type="dxa"/>
            <w:tcBorders>
              <w:top w:val="nil"/>
              <w:left w:val="nil"/>
              <w:bottom w:val="nil"/>
              <w:right w:val="nil"/>
            </w:tcBorders>
          </w:tcPr>
          <w:p w14:paraId="40B1117F" w14:textId="77777777" w:rsidR="00CA68D7" w:rsidRPr="00CA68D7" w:rsidRDefault="00CA68D7" w:rsidP="00CA68D7">
            <w:pPr>
              <w:spacing w:line="360" w:lineRule="auto"/>
              <w:jc w:val="center"/>
              <w:rPr>
                <w:rFonts w:ascii="Arial" w:hAnsi="Arial"/>
                <w:b/>
                <w:bCs/>
                <w:sz w:val="32"/>
                <w:szCs w:val="32"/>
                <w:u w:val="double"/>
                <w:rtl/>
              </w:rPr>
            </w:pPr>
            <w:bookmarkStart w:id="6" w:name="PsakDin" w:colFirst="0" w:colLast="0"/>
            <w:bookmarkEnd w:id="0"/>
            <w:r w:rsidRPr="00CA68D7">
              <w:rPr>
                <w:rFonts w:ascii="Arial" w:hAnsi="Arial"/>
                <w:b/>
                <w:bCs/>
                <w:sz w:val="32"/>
                <w:szCs w:val="32"/>
                <w:u w:val="double"/>
                <w:rtl/>
              </w:rPr>
              <w:t>גזר דין</w:t>
            </w:r>
          </w:p>
          <w:p w14:paraId="63F91E09" w14:textId="77777777" w:rsidR="00BB66AE" w:rsidRPr="00CA68D7" w:rsidRDefault="00BB66AE" w:rsidP="00CA68D7">
            <w:pPr>
              <w:spacing w:line="360" w:lineRule="auto"/>
              <w:jc w:val="center"/>
              <w:rPr>
                <w:rFonts w:ascii="Arial" w:hAnsi="Arial"/>
                <w:bCs/>
                <w:sz w:val="32"/>
                <w:szCs w:val="32"/>
                <w:u w:val="double"/>
                <w:rtl/>
              </w:rPr>
            </w:pPr>
          </w:p>
        </w:tc>
      </w:tr>
      <w:bookmarkEnd w:id="6"/>
    </w:tbl>
    <w:p w14:paraId="583F052F" w14:textId="77777777" w:rsidR="00BB66AE" w:rsidRDefault="00BB66AE">
      <w:pPr>
        <w:rPr>
          <w:rFonts w:ascii="Arial" w:hAnsi="Arial" w:cs="FrankRuehl"/>
          <w:sz w:val="28"/>
          <w:szCs w:val="28"/>
          <w:rtl/>
        </w:rPr>
      </w:pPr>
    </w:p>
    <w:p w14:paraId="04B6CF3E" w14:textId="77777777" w:rsidR="00BB66AE" w:rsidRDefault="00BB66AE">
      <w:pPr>
        <w:rPr>
          <w:rFonts w:ascii="Arial" w:hAnsi="Arial" w:cs="FrankRuehl"/>
          <w:sz w:val="28"/>
          <w:szCs w:val="28"/>
          <w:rtl/>
        </w:rPr>
      </w:pPr>
    </w:p>
    <w:p w14:paraId="743937F7" w14:textId="77777777" w:rsidR="00BB66AE" w:rsidRDefault="00CA68D7">
      <w:pPr>
        <w:spacing w:line="360" w:lineRule="auto"/>
        <w:jc w:val="both"/>
        <w:rPr>
          <w:b/>
          <w:bCs/>
          <w:u w:val="single"/>
        </w:rPr>
      </w:pPr>
      <w:r>
        <w:rPr>
          <w:rFonts w:hint="cs"/>
          <w:b/>
          <w:bCs/>
          <w:u w:val="single"/>
          <w:rtl/>
        </w:rPr>
        <w:t>רקע עובדתי</w:t>
      </w:r>
    </w:p>
    <w:p w14:paraId="5224F2A5" w14:textId="77777777" w:rsidR="00BB66AE" w:rsidRDefault="00BB66AE">
      <w:pPr>
        <w:spacing w:line="360" w:lineRule="auto"/>
        <w:jc w:val="both"/>
        <w:rPr>
          <w:rFonts w:ascii="Arial" w:hAnsi="Arial"/>
          <w:rtl/>
        </w:rPr>
      </w:pPr>
    </w:p>
    <w:p w14:paraId="6E7D7DC7" w14:textId="77777777" w:rsidR="00BB66AE" w:rsidRDefault="00CA68D7">
      <w:pPr>
        <w:spacing w:line="360" w:lineRule="auto"/>
        <w:ind w:left="720" w:hanging="720"/>
        <w:jc w:val="both"/>
        <w:rPr>
          <w:rFonts w:ascii="Arial" w:hAnsi="Arial"/>
          <w:rtl/>
        </w:rPr>
      </w:pPr>
      <w:r>
        <w:rPr>
          <w:rFonts w:ascii="Arial" w:hAnsi="Arial" w:hint="cs"/>
          <w:rtl/>
        </w:rPr>
        <w:lastRenderedPageBreak/>
        <w:t>1.</w:t>
      </w:r>
      <w:r>
        <w:rPr>
          <w:rFonts w:ascii="Arial" w:hAnsi="Arial" w:hint="cs"/>
          <w:rtl/>
        </w:rPr>
        <w:tab/>
      </w:r>
      <w:bookmarkStart w:id="7" w:name="ABSTRACT_START"/>
      <w:bookmarkEnd w:id="7"/>
      <w:r>
        <w:rPr>
          <w:rFonts w:ascii="Arial" w:hAnsi="Arial" w:hint="cs"/>
          <w:rtl/>
        </w:rPr>
        <w:t xml:space="preserve">הנאשם הורשע, כהודייתו, בעבירות של סחר בסמים מסוכנים, לפי </w:t>
      </w:r>
      <w:hyperlink r:id="rId19" w:history="1">
        <w:r w:rsidR="00BB58F0" w:rsidRPr="00BB58F0">
          <w:rPr>
            <w:rFonts w:ascii="Arial" w:hAnsi="Arial"/>
            <w:color w:val="0000FF"/>
            <w:u w:val="single"/>
            <w:rtl/>
          </w:rPr>
          <w:t>סעיפים 13</w:t>
        </w:r>
      </w:hyperlink>
      <w:r>
        <w:rPr>
          <w:rFonts w:ascii="Arial" w:hAnsi="Arial" w:hint="cs"/>
          <w:rtl/>
        </w:rPr>
        <w:t xml:space="preserve"> ו- </w:t>
      </w:r>
      <w:hyperlink r:id="rId20" w:history="1">
        <w:r w:rsidR="00BB58F0" w:rsidRPr="00BB58F0">
          <w:rPr>
            <w:rFonts w:ascii="Arial" w:hAnsi="Arial"/>
            <w:color w:val="0000FF"/>
            <w:u w:val="single"/>
            <w:rtl/>
          </w:rPr>
          <w:t>19</w:t>
        </w:r>
      </w:hyperlink>
      <w:r>
        <w:rPr>
          <w:rFonts w:ascii="Arial" w:hAnsi="Arial" w:hint="cs"/>
          <w:rtl/>
        </w:rPr>
        <w:t xml:space="preserve"> ל</w:t>
      </w:r>
      <w:hyperlink r:id="rId21" w:history="1">
        <w:r w:rsidR="00D66547" w:rsidRPr="00D66547">
          <w:rPr>
            <w:rStyle w:val="Hyperlink"/>
            <w:rFonts w:ascii="Arial" w:hAnsi="Arial"/>
            <w:rtl/>
          </w:rPr>
          <w:t>פקודת הסמים המסוכנים</w:t>
        </w:r>
      </w:hyperlink>
      <w:r>
        <w:rPr>
          <w:rFonts w:ascii="Arial" w:hAnsi="Arial" w:hint="cs"/>
          <w:rtl/>
        </w:rPr>
        <w:t xml:space="preserve"> [נוסח חדש], התשל"ג – 1973 (להלן: "</w:t>
      </w:r>
      <w:r>
        <w:rPr>
          <w:rFonts w:ascii="Arial" w:hAnsi="Arial" w:hint="cs"/>
          <w:b/>
          <w:bCs/>
          <w:rtl/>
        </w:rPr>
        <w:t>הפקודה</w:t>
      </w:r>
      <w:r>
        <w:rPr>
          <w:rFonts w:ascii="Arial" w:hAnsi="Arial" w:hint="cs"/>
          <w:rtl/>
        </w:rPr>
        <w:t xml:space="preserve">") - במספר מופעים; החזקת סמים מסוכנים לצריכה עצמית, לפי </w:t>
      </w:r>
      <w:hyperlink r:id="rId22" w:history="1">
        <w:r w:rsidR="00BB58F0" w:rsidRPr="00BB58F0">
          <w:rPr>
            <w:rFonts w:ascii="Arial" w:hAnsi="Arial"/>
            <w:color w:val="0000FF"/>
            <w:u w:val="single"/>
            <w:rtl/>
          </w:rPr>
          <w:t>סעיפים 7(א)</w:t>
        </w:r>
      </w:hyperlink>
      <w:r>
        <w:rPr>
          <w:rFonts w:ascii="Arial" w:hAnsi="Arial" w:hint="cs"/>
          <w:rtl/>
        </w:rPr>
        <w:t xml:space="preserve"> ו- </w:t>
      </w:r>
      <w:hyperlink r:id="rId23" w:history="1">
        <w:r w:rsidR="00BB58F0" w:rsidRPr="00BB58F0">
          <w:rPr>
            <w:rFonts w:ascii="Arial" w:hAnsi="Arial"/>
            <w:color w:val="0000FF"/>
            <w:u w:val="single"/>
            <w:rtl/>
          </w:rPr>
          <w:t>7(ג)</w:t>
        </w:r>
      </w:hyperlink>
      <w:r>
        <w:rPr>
          <w:rFonts w:ascii="Arial" w:hAnsi="Arial" w:hint="cs"/>
          <w:rtl/>
        </w:rPr>
        <w:t xml:space="preserve"> סיפא לפקודה והחזקת כלים, לפי </w:t>
      </w:r>
      <w:hyperlink r:id="rId24" w:history="1">
        <w:r w:rsidR="00BB58F0" w:rsidRPr="00BB58F0">
          <w:rPr>
            <w:rFonts w:ascii="Arial" w:hAnsi="Arial"/>
            <w:color w:val="0000FF"/>
            <w:u w:val="single"/>
            <w:rtl/>
          </w:rPr>
          <w:t>סעיף 10</w:t>
        </w:r>
      </w:hyperlink>
      <w:r>
        <w:rPr>
          <w:rFonts w:ascii="Arial" w:hAnsi="Arial" w:hint="cs"/>
          <w:rtl/>
        </w:rPr>
        <w:t xml:space="preserve"> רישא לפקודה.</w:t>
      </w:r>
    </w:p>
    <w:p w14:paraId="5F4F3354" w14:textId="77777777" w:rsidR="00BB66AE" w:rsidRDefault="00BB66AE">
      <w:pPr>
        <w:pStyle w:val="12"/>
        <w:rPr>
          <w:rFonts w:cs="David"/>
          <w:b w:val="0"/>
          <w:bCs w:val="0"/>
          <w:u w:val="none"/>
        </w:rPr>
      </w:pPr>
      <w:bookmarkStart w:id="8" w:name="ABSTRACT_END"/>
      <w:bookmarkEnd w:id="8"/>
    </w:p>
    <w:p w14:paraId="7C70F70D" w14:textId="77777777" w:rsidR="00BB66AE" w:rsidRDefault="00CA68D7">
      <w:pPr>
        <w:pStyle w:val="12"/>
        <w:ind w:left="720" w:hanging="720"/>
        <w:rPr>
          <w:rFonts w:cs="David"/>
          <w:b w:val="0"/>
          <w:bCs w:val="0"/>
          <w:u w:val="none"/>
          <w:rtl/>
        </w:rPr>
      </w:pPr>
      <w:r>
        <w:rPr>
          <w:rFonts w:cs="David" w:hint="cs"/>
          <w:b w:val="0"/>
          <w:bCs w:val="0"/>
          <w:u w:val="none"/>
          <w:rtl/>
        </w:rPr>
        <w:t>2.</w:t>
      </w:r>
      <w:r>
        <w:rPr>
          <w:rFonts w:cs="David" w:hint="cs"/>
          <w:b w:val="0"/>
          <w:bCs w:val="0"/>
          <w:u w:val="none"/>
          <w:rtl/>
        </w:rPr>
        <w:tab/>
        <w:t xml:space="preserve">כתב האישום המתוקן כולל שלושה אישומים. מעובדות האישום השני, עולה כי בין החודשים ינואר – מרס 2011, מכר הנאשם לאחר, בכ- 4-5 הזדמנויות שונות, סמים מסוכנים מסוג "הידרו" במשקלים של 3-4 גרם ותמורת סכום של 350 ₪ בגין כל רכישה. </w:t>
      </w:r>
    </w:p>
    <w:p w14:paraId="14C2B040" w14:textId="77777777" w:rsidR="00BB66AE" w:rsidRDefault="00BB66AE">
      <w:pPr>
        <w:pStyle w:val="12"/>
        <w:rPr>
          <w:rFonts w:cs="David"/>
          <w:b w:val="0"/>
          <w:bCs w:val="0"/>
          <w:u w:val="none"/>
          <w:rtl/>
        </w:rPr>
      </w:pPr>
    </w:p>
    <w:p w14:paraId="0BF04AEA" w14:textId="77777777" w:rsidR="00BB66AE" w:rsidRDefault="00CA68D7">
      <w:pPr>
        <w:pStyle w:val="12"/>
        <w:ind w:left="720"/>
        <w:rPr>
          <w:rFonts w:cs="David"/>
          <w:b w:val="0"/>
          <w:bCs w:val="0"/>
          <w:u w:val="none"/>
          <w:rtl/>
        </w:rPr>
      </w:pPr>
      <w:r>
        <w:rPr>
          <w:rFonts w:cs="David" w:hint="cs"/>
          <w:b w:val="0"/>
          <w:bCs w:val="0"/>
          <w:u w:val="none"/>
          <w:rtl/>
        </w:rPr>
        <w:t>מעובדות האישום הרביעי, עולה כי במהלך חודש פברואר 2011, מכר הנאשם לאחר סם מסוכן מסוג "מריחואנה", בכמות של כ- "פרח", במשקל שאינו ידוע למאשימה ותמורת  סכום של 120 ₪.</w:t>
      </w:r>
    </w:p>
    <w:p w14:paraId="1C76A74F" w14:textId="77777777" w:rsidR="00BB66AE" w:rsidRDefault="00BB66AE">
      <w:pPr>
        <w:pStyle w:val="12"/>
        <w:rPr>
          <w:rFonts w:cs="David"/>
          <w:b w:val="0"/>
          <w:bCs w:val="0"/>
          <w:u w:val="none"/>
          <w:rtl/>
        </w:rPr>
      </w:pPr>
    </w:p>
    <w:p w14:paraId="0EFD534D" w14:textId="77777777" w:rsidR="00BB66AE" w:rsidRDefault="00CA68D7">
      <w:pPr>
        <w:pStyle w:val="12"/>
        <w:ind w:left="720"/>
        <w:rPr>
          <w:rFonts w:cs="David"/>
          <w:b w:val="0"/>
          <w:bCs w:val="0"/>
          <w:u w:val="none"/>
          <w:rtl/>
        </w:rPr>
      </w:pPr>
      <w:r>
        <w:rPr>
          <w:rFonts w:cs="David" w:hint="cs"/>
          <w:b w:val="0"/>
          <w:bCs w:val="0"/>
          <w:u w:val="none"/>
          <w:rtl/>
        </w:rPr>
        <w:t xml:space="preserve">מעובדות האישום החמישי, עולה כי ביום 2.3.11, החזיק הנאשם בסמים מסוכנים מסוג "קנבוס" במשקל של 1.35 גרם מחולק ל- 3 שקיות על גופו ובמשקל של 0.21 גרם בארון בדירתו. באותן נסיבות, החזיק הנאשם בשני כלים לעישון סם מסוכן. </w:t>
      </w:r>
    </w:p>
    <w:p w14:paraId="27715D08" w14:textId="77777777" w:rsidR="00BB66AE" w:rsidRDefault="00BB66AE">
      <w:pPr>
        <w:pStyle w:val="12"/>
        <w:rPr>
          <w:rFonts w:cs="David"/>
          <w:b w:val="0"/>
          <w:bCs w:val="0"/>
          <w:u w:val="none"/>
          <w:rtl/>
        </w:rPr>
      </w:pPr>
    </w:p>
    <w:p w14:paraId="430ACE41" w14:textId="77777777" w:rsidR="00BB66AE" w:rsidRDefault="00CA68D7">
      <w:pPr>
        <w:pStyle w:val="12"/>
        <w:rPr>
          <w:rFonts w:cs="David"/>
          <w:rtl/>
        </w:rPr>
      </w:pPr>
      <w:r>
        <w:rPr>
          <w:rFonts w:cs="David" w:hint="cs"/>
          <w:rtl/>
        </w:rPr>
        <w:t>עתירות הצדדים ותמצית טענותיהם</w:t>
      </w:r>
    </w:p>
    <w:p w14:paraId="10975EFF" w14:textId="77777777" w:rsidR="00BB66AE" w:rsidRDefault="00BB66AE">
      <w:pPr>
        <w:pStyle w:val="12"/>
        <w:rPr>
          <w:rFonts w:cs="David"/>
          <w:b w:val="0"/>
          <w:bCs w:val="0"/>
          <w:u w:val="none"/>
          <w:rtl/>
        </w:rPr>
      </w:pPr>
    </w:p>
    <w:p w14:paraId="1A2405C6" w14:textId="77777777" w:rsidR="00BB66AE" w:rsidRDefault="00CA68D7">
      <w:pPr>
        <w:pStyle w:val="12"/>
        <w:ind w:left="720" w:hanging="720"/>
        <w:rPr>
          <w:rFonts w:cs="David"/>
          <w:b w:val="0"/>
          <w:bCs w:val="0"/>
          <w:u w:val="none"/>
          <w:rtl/>
        </w:rPr>
      </w:pPr>
      <w:r>
        <w:rPr>
          <w:rFonts w:cs="David" w:hint="cs"/>
          <w:b w:val="0"/>
          <w:bCs w:val="0"/>
          <w:u w:val="none"/>
          <w:rtl/>
        </w:rPr>
        <w:t>3.</w:t>
      </w:r>
      <w:r>
        <w:rPr>
          <w:rFonts w:cs="David" w:hint="cs"/>
          <w:b w:val="0"/>
          <w:bCs w:val="0"/>
          <w:u w:val="none"/>
          <w:rtl/>
        </w:rPr>
        <w:tab/>
        <w:t xml:space="preserve">בתימוכין באסמכתאות, עתר ב"כ המאשימה להשית על הנאשם עונש מאסר לריצוי בפועל, מאסר מותנה וקנס. </w:t>
      </w:r>
    </w:p>
    <w:p w14:paraId="72FE4C0D" w14:textId="77777777" w:rsidR="00BB66AE" w:rsidRDefault="00CA68D7">
      <w:pPr>
        <w:pStyle w:val="12"/>
        <w:rPr>
          <w:rFonts w:cs="David"/>
          <w:b w:val="0"/>
          <w:bCs w:val="0"/>
          <w:u w:val="none"/>
          <w:rtl/>
        </w:rPr>
      </w:pPr>
      <w:r>
        <w:rPr>
          <w:rFonts w:cs="David" w:hint="cs"/>
          <w:b w:val="0"/>
          <w:bCs w:val="0"/>
          <w:u w:val="none"/>
          <w:rtl/>
        </w:rPr>
        <w:tab/>
      </w:r>
    </w:p>
    <w:p w14:paraId="20B887BC" w14:textId="77777777" w:rsidR="00BB66AE" w:rsidRDefault="00CA68D7">
      <w:pPr>
        <w:pStyle w:val="12"/>
        <w:ind w:left="720"/>
        <w:rPr>
          <w:rFonts w:cs="David"/>
          <w:b w:val="0"/>
          <w:bCs w:val="0"/>
          <w:u w:val="none"/>
          <w:rtl/>
        </w:rPr>
      </w:pPr>
      <w:r>
        <w:rPr>
          <w:rFonts w:cs="David" w:hint="cs"/>
          <w:b w:val="0"/>
          <w:bCs w:val="0"/>
          <w:u w:val="none"/>
          <w:rtl/>
        </w:rPr>
        <w:t xml:space="preserve">הודגשו חומרת מעשי הנאשם, העדר הפנמתו את הפסול שבהם, הנזק הנגרם לחברה מהפצת סמים מסוכנים, צריכתם על ידי הנאשם לאורך השנים מבלי שעבר תהליך של גמילה נפשית, הסיכון כי יחזור לסורו וענישה מחמירה מתבקשת כמדיניות בעבירות כגון דא. </w:t>
      </w:r>
    </w:p>
    <w:p w14:paraId="623BF842" w14:textId="77777777" w:rsidR="00BB66AE" w:rsidRDefault="00BB66AE">
      <w:pPr>
        <w:pStyle w:val="12"/>
        <w:rPr>
          <w:rFonts w:cs="David"/>
          <w:b w:val="0"/>
          <w:bCs w:val="0"/>
          <w:u w:val="none"/>
          <w:rtl/>
        </w:rPr>
      </w:pPr>
    </w:p>
    <w:p w14:paraId="31AFE853" w14:textId="77777777" w:rsidR="00BB66AE" w:rsidRDefault="00CA68D7">
      <w:pPr>
        <w:spacing w:line="360" w:lineRule="auto"/>
        <w:ind w:left="720" w:hanging="720"/>
        <w:jc w:val="both"/>
        <w:rPr>
          <w:rtl/>
        </w:rPr>
      </w:pPr>
      <w:r>
        <w:rPr>
          <w:rFonts w:hint="cs"/>
          <w:rtl/>
        </w:rPr>
        <w:t>4.</w:t>
      </w:r>
      <w:r>
        <w:rPr>
          <w:rFonts w:hint="cs"/>
          <w:rtl/>
        </w:rPr>
        <w:tab/>
        <w:t>בתימוכין באסמכתאות, עתר ב"כ הנאשם לאמץ את המלצת שירות המבחן ולהשית על הנאשם צווי של"צ,</w:t>
      </w:r>
      <w:r>
        <w:rPr>
          <w:rFonts w:hint="cs"/>
          <w:b/>
          <w:bCs/>
          <w:rtl/>
        </w:rPr>
        <w:t xml:space="preserve"> </w:t>
      </w:r>
      <w:r>
        <w:rPr>
          <w:rFonts w:hint="cs"/>
          <w:rtl/>
        </w:rPr>
        <w:t>מבחן ומאסר מותנה.</w:t>
      </w:r>
    </w:p>
    <w:p w14:paraId="447084A7" w14:textId="77777777" w:rsidR="00BB66AE" w:rsidRDefault="00BB66AE">
      <w:pPr>
        <w:spacing w:line="360" w:lineRule="auto"/>
        <w:jc w:val="both"/>
        <w:rPr>
          <w:b/>
          <w:bCs/>
          <w:u w:val="single"/>
          <w:rtl/>
        </w:rPr>
      </w:pPr>
    </w:p>
    <w:p w14:paraId="2B9DE5F8" w14:textId="77777777" w:rsidR="00BB66AE" w:rsidRDefault="00CA68D7">
      <w:pPr>
        <w:spacing w:line="360" w:lineRule="auto"/>
        <w:ind w:left="720"/>
        <w:jc w:val="both"/>
        <w:rPr>
          <w:rtl/>
        </w:rPr>
      </w:pPr>
      <w:r>
        <w:rPr>
          <w:rFonts w:hint="cs"/>
          <w:rtl/>
        </w:rPr>
        <w:t xml:space="preserve">הודגשו עברו הנקי של הנאשם, נוף חייו הנורמטיבי ובכללו שירותו ביחידה קרבית ובמילואים, גילו הצעיר, הודייתו שניתנה בהזדמנות הראשונה, התיקון שהוכנס בכתב האישום, צפי פני שיקום והתרשמויותיו החיוביות של שירות המבחן.  </w:t>
      </w:r>
    </w:p>
    <w:p w14:paraId="638C12C3" w14:textId="77777777" w:rsidR="00BB66AE" w:rsidRDefault="00BB66AE">
      <w:pPr>
        <w:spacing w:line="360" w:lineRule="auto"/>
        <w:ind w:left="720"/>
        <w:jc w:val="both"/>
      </w:pPr>
    </w:p>
    <w:p w14:paraId="0FB8C179" w14:textId="77777777" w:rsidR="00BB66AE" w:rsidRDefault="00CA68D7">
      <w:pPr>
        <w:spacing w:line="360" w:lineRule="auto"/>
        <w:ind w:left="720"/>
        <w:jc w:val="both"/>
      </w:pPr>
      <w:r>
        <w:rPr>
          <w:rFonts w:hint="cs"/>
          <w:rtl/>
        </w:rPr>
        <w:lastRenderedPageBreak/>
        <w:t xml:space="preserve">עוד הפנה הסניגור לכמויות "מזעריות" של הסם המסוכן נשוא האישומים השונים, לשהיית הנאשם במעצר ובמעצר בית במסגרת תיק זה ועתר להעדפת מתן תמריץ לנאשם, שהחל בדרך הישר ולגזירת עונשו כפי סיכויי שיקומו. </w:t>
      </w:r>
    </w:p>
    <w:p w14:paraId="3DE2F162" w14:textId="77777777" w:rsidR="00BB66AE" w:rsidRDefault="00BB66AE">
      <w:pPr>
        <w:spacing w:line="360" w:lineRule="auto"/>
        <w:ind w:left="720"/>
        <w:jc w:val="both"/>
      </w:pPr>
    </w:p>
    <w:p w14:paraId="46531FCE" w14:textId="77777777" w:rsidR="00BB66AE" w:rsidRDefault="00CA68D7">
      <w:pPr>
        <w:spacing w:line="360" w:lineRule="auto"/>
        <w:ind w:left="720" w:hanging="720"/>
        <w:jc w:val="both"/>
        <w:rPr>
          <w:rFonts w:cs="Times New Roman"/>
          <w:rtl/>
        </w:rPr>
      </w:pPr>
      <w:r>
        <w:rPr>
          <w:rFonts w:hint="cs"/>
          <w:rtl/>
        </w:rPr>
        <w:t>5.</w:t>
      </w:r>
      <w:r>
        <w:rPr>
          <w:rFonts w:hint="cs"/>
          <w:rtl/>
        </w:rPr>
        <w:tab/>
        <w:t xml:space="preserve">הנאשם ניצל את זכות המילה האחרונה, הביע חרטה על מעשיו והדגיש כי לא ישוב לסורו. עוד ציין, בעתירתו להעדפת מידת הרחמים, כי ברצונו להקים משפחה והדגיש את מודעותו לכישלונו.  </w:t>
      </w:r>
    </w:p>
    <w:p w14:paraId="7DF80E8E" w14:textId="77777777" w:rsidR="00BB66AE" w:rsidRDefault="00BB66AE">
      <w:pPr>
        <w:spacing w:line="360" w:lineRule="auto"/>
        <w:jc w:val="both"/>
        <w:rPr>
          <w:rFonts w:eastAsia="Calibri"/>
        </w:rPr>
      </w:pPr>
    </w:p>
    <w:p w14:paraId="30534CEE" w14:textId="77777777" w:rsidR="00BB66AE" w:rsidRDefault="00CA68D7">
      <w:pPr>
        <w:spacing w:line="360" w:lineRule="auto"/>
        <w:jc w:val="both"/>
        <w:rPr>
          <w:b/>
          <w:bCs/>
          <w:u w:val="single"/>
          <w:rtl/>
        </w:rPr>
      </w:pPr>
      <w:r>
        <w:rPr>
          <w:rFonts w:hint="cs"/>
          <w:b/>
          <w:bCs/>
          <w:u w:val="single"/>
          <w:rtl/>
        </w:rPr>
        <w:t>מתחם העונש ההולם</w:t>
      </w:r>
    </w:p>
    <w:p w14:paraId="06BB1D4F" w14:textId="77777777" w:rsidR="00BB66AE" w:rsidRDefault="00BB66AE">
      <w:pPr>
        <w:spacing w:line="360" w:lineRule="auto"/>
        <w:jc w:val="both"/>
        <w:rPr>
          <w:rtl/>
        </w:rPr>
      </w:pPr>
    </w:p>
    <w:p w14:paraId="536000D1" w14:textId="77777777" w:rsidR="00BB66AE" w:rsidRDefault="00BB58F0">
      <w:pPr>
        <w:spacing w:line="360" w:lineRule="auto"/>
        <w:ind w:left="720" w:hanging="720"/>
        <w:jc w:val="both"/>
        <w:rPr>
          <w:rFonts w:cs="Times New Roman"/>
        </w:rPr>
      </w:pPr>
      <w:r>
        <w:rPr>
          <w:rFonts w:hint="cs"/>
          <w:rtl/>
        </w:rPr>
        <w:t>6.</w:t>
      </w:r>
      <w:r>
        <w:rPr>
          <w:rFonts w:hint="cs"/>
          <w:rtl/>
        </w:rPr>
        <w:tab/>
        <w:t xml:space="preserve">כמצוות המחוקק בסעיף </w:t>
      </w:r>
      <w:hyperlink r:id="rId25" w:history="1">
        <w:r w:rsidRPr="00BB58F0">
          <w:rPr>
            <w:color w:val="0000FF"/>
            <w:u w:val="single"/>
            <w:rtl/>
          </w:rPr>
          <w:t>40ג(א)</w:t>
        </w:r>
      </w:hyperlink>
      <w:r w:rsidR="00CA68D7">
        <w:rPr>
          <w:rFonts w:hint="cs"/>
          <w:rtl/>
        </w:rPr>
        <w:t xml:space="preserve"> לחוק, בקביעת מתחם העונש ההולם את מעשי העבירות שביצע הנאשם, בהת</w:t>
      </w:r>
      <w:r>
        <w:rPr>
          <w:rFonts w:hint="cs"/>
          <w:rtl/>
        </w:rPr>
        <w:t xml:space="preserve">אם לעיקרון המנחה הקבוע </w:t>
      </w:r>
      <w:hyperlink r:id="rId26" w:history="1">
        <w:r w:rsidRPr="00BB58F0">
          <w:rPr>
            <w:color w:val="0000FF"/>
            <w:u w:val="single"/>
            <w:rtl/>
          </w:rPr>
          <w:t>בסעיף 40ב</w:t>
        </w:r>
      </w:hyperlink>
      <w:r w:rsidR="00CA68D7">
        <w:rPr>
          <w:rFonts w:hint="cs"/>
          <w:rtl/>
        </w:rPr>
        <w:t xml:space="preserve"> לחוק, יש להתחשב בערך החברתי שנפגע מביצוע העבירות, במידת הפגיעה בו, במדיניות הענישה הנהוגה ובנסיבות הקשורות בביצוע העבירות. </w:t>
      </w:r>
    </w:p>
    <w:p w14:paraId="250C36B5" w14:textId="77777777" w:rsidR="00BB66AE" w:rsidRDefault="00BB66AE">
      <w:pPr>
        <w:spacing w:line="360" w:lineRule="auto"/>
        <w:ind w:left="360"/>
        <w:jc w:val="both"/>
        <w:rPr>
          <w:rFonts w:eastAsia="Calibri"/>
          <w:rtl/>
        </w:rPr>
      </w:pPr>
    </w:p>
    <w:p w14:paraId="609B7CFE" w14:textId="77777777" w:rsidR="00BB66AE" w:rsidRDefault="00CA68D7">
      <w:pPr>
        <w:spacing w:line="360" w:lineRule="auto"/>
        <w:ind w:left="720" w:hanging="720"/>
        <w:jc w:val="both"/>
        <w:rPr>
          <w:rtl/>
        </w:rPr>
      </w:pPr>
      <w:r>
        <w:rPr>
          <w:rFonts w:hint="cs"/>
          <w:rtl/>
        </w:rPr>
        <w:t>7.</w:t>
      </w:r>
      <w:r>
        <w:rPr>
          <w:rFonts w:hint="cs"/>
          <w:rtl/>
        </w:rPr>
        <w:tab/>
        <w:t xml:space="preserve">הגנה על שלום הציבור מפני פגיעתם הקשה של סמים מסוכנים, מהווה ערך חברתי משמעותי בו פגע הנאשם פעם אחר פעם. </w:t>
      </w:r>
    </w:p>
    <w:p w14:paraId="481701CD" w14:textId="77777777" w:rsidR="00BB66AE" w:rsidRDefault="00BB66AE">
      <w:pPr>
        <w:spacing w:line="360" w:lineRule="auto"/>
        <w:jc w:val="both"/>
        <w:rPr>
          <w:rtl/>
        </w:rPr>
      </w:pPr>
    </w:p>
    <w:p w14:paraId="35ACF408" w14:textId="77777777" w:rsidR="00BB66AE" w:rsidRDefault="00CA68D7">
      <w:pPr>
        <w:spacing w:line="360" w:lineRule="auto"/>
        <w:ind w:left="720" w:hanging="720"/>
        <w:jc w:val="both"/>
        <w:rPr>
          <w:rtl/>
        </w:rPr>
      </w:pPr>
      <w:r>
        <w:rPr>
          <w:rFonts w:hint="cs"/>
          <w:rtl/>
        </w:rPr>
        <w:t>8.</w:t>
      </w:r>
      <w:r>
        <w:rPr>
          <w:rFonts w:hint="cs"/>
          <w:rtl/>
        </w:rPr>
        <w:tab/>
        <w:t xml:space="preserve">הנאשם סחר בסם מסוכן בכ- 6 הזדמנויות שונות, הוא תכנן את מעשיו לבדו, שלט בהם ולא נודעה מידת השפעת אחר במהלך מעשיו. הנאשם הוציא סמים מסוכנים מד' אמותיו ואף אם עשה כן בין חבריו, עדיין יש לשוות חומרה יתרה למעשיו, משפעל להפצתם והשפעתם הרעה של סמים מסוכנים. </w:t>
      </w:r>
    </w:p>
    <w:p w14:paraId="471AB996" w14:textId="77777777" w:rsidR="00BB66AE" w:rsidRDefault="00BB66AE">
      <w:pPr>
        <w:spacing w:line="360" w:lineRule="auto"/>
        <w:ind w:left="720"/>
        <w:jc w:val="both"/>
        <w:rPr>
          <w:rFonts w:eastAsia="Calibri"/>
        </w:rPr>
      </w:pPr>
    </w:p>
    <w:p w14:paraId="674E91CC" w14:textId="77777777" w:rsidR="00BB66AE" w:rsidRDefault="00CA68D7">
      <w:pPr>
        <w:spacing w:line="360" w:lineRule="auto"/>
        <w:ind w:left="720"/>
        <w:jc w:val="both"/>
        <w:rPr>
          <w:rFonts w:cs="Times New Roman"/>
        </w:rPr>
      </w:pPr>
      <w:r>
        <w:rPr>
          <w:rFonts w:hint="cs"/>
          <w:rtl/>
        </w:rPr>
        <w:t xml:space="preserve">מצוקות אישיות או מצבי דחק, ככל שעמדו בבסיס מעשיו של הנאשם, אינן צריכות לגרוע מזכאותו של הציבור למוגנות מפני פגיעתם של סמים מסוכנים. </w:t>
      </w:r>
    </w:p>
    <w:p w14:paraId="4C3C24F0" w14:textId="77777777" w:rsidR="00BB66AE" w:rsidRDefault="00BB66AE">
      <w:pPr>
        <w:spacing w:line="360" w:lineRule="auto"/>
        <w:jc w:val="both"/>
      </w:pPr>
    </w:p>
    <w:p w14:paraId="3A61DF42" w14:textId="77777777" w:rsidR="00BB66AE" w:rsidRDefault="00CA68D7">
      <w:pPr>
        <w:spacing w:line="360" w:lineRule="auto"/>
        <w:ind w:left="720"/>
        <w:jc w:val="both"/>
        <w:rPr>
          <w:rFonts w:cs="Times New Roman"/>
          <w:rtl/>
        </w:rPr>
      </w:pPr>
      <w:r>
        <w:rPr>
          <w:rFonts w:hint="cs"/>
          <w:rtl/>
        </w:rPr>
        <w:t xml:space="preserve">הנאשם לא ניצל נקודות יציאה לרוב שנקרו בדרכו על מנת לחדול ממעשיו והוא אינו קרוב לסייג אחריות פלילית. </w:t>
      </w:r>
    </w:p>
    <w:p w14:paraId="57BEB92C" w14:textId="77777777" w:rsidR="00BB66AE" w:rsidRDefault="00BB66AE">
      <w:pPr>
        <w:spacing w:line="360" w:lineRule="auto"/>
        <w:jc w:val="both"/>
      </w:pPr>
    </w:p>
    <w:p w14:paraId="4AD2B0CA" w14:textId="77777777" w:rsidR="00BB66AE" w:rsidRDefault="00CA68D7">
      <w:pPr>
        <w:spacing w:line="360" w:lineRule="auto"/>
        <w:ind w:left="720" w:hanging="720"/>
        <w:jc w:val="both"/>
        <w:rPr>
          <w:rFonts w:cs="Times New Roman"/>
          <w:rtl/>
        </w:rPr>
      </w:pPr>
      <w:r>
        <w:rPr>
          <w:rFonts w:hint="cs"/>
          <w:rtl/>
        </w:rPr>
        <w:t>9.</w:t>
      </w:r>
      <w:r>
        <w:rPr>
          <w:rFonts w:hint="cs"/>
          <w:rtl/>
        </w:rPr>
        <w:tab/>
        <w:t xml:space="preserve">מדיניות הענישה בעבירות בהן הורשע הנאשם, מתחשבת בצורך במאבק בנגע הפצת סמים מסוכנים, באמצעות השתת עונשים גמולים משמעותיים על מי שבהתנהגותו פוגע במאבק זה. </w:t>
      </w:r>
    </w:p>
    <w:p w14:paraId="0FD50D21" w14:textId="77777777" w:rsidR="00BB66AE" w:rsidRDefault="00BB66AE">
      <w:pPr>
        <w:spacing w:line="360" w:lineRule="auto"/>
        <w:jc w:val="both"/>
        <w:rPr>
          <w:rFonts w:eastAsia="Calibri"/>
        </w:rPr>
      </w:pPr>
    </w:p>
    <w:p w14:paraId="7B6552FF" w14:textId="77777777" w:rsidR="00BB66AE" w:rsidRDefault="00CA68D7">
      <w:pPr>
        <w:spacing w:line="360" w:lineRule="auto"/>
        <w:ind w:left="720"/>
        <w:jc w:val="both"/>
        <w:rPr>
          <w:rFonts w:cs="Times New Roman"/>
          <w:rtl/>
        </w:rPr>
      </w:pPr>
      <w:r>
        <w:rPr>
          <w:rFonts w:hint="cs"/>
          <w:rtl/>
        </w:rPr>
        <w:t xml:space="preserve">העבירות החמורות אותן ביצע הנאשם, נושאות בצדן עונש מאסר לריצוי מאחורי סורג ובריח. </w:t>
      </w:r>
    </w:p>
    <w:p w14:paraId="792E00B0" w14:textId="77777777" w:rsidR="00BB66AE" w:rsidRDefault="00BB66AE">
      <w:pPr>
        <w:spacing w:line="360" w:lineRule="auto"/>
        <w:ind w:left="360"/>
        <w:jc w:val="both"/>
      </w:pPr>
    </w:p>
    <w:p w14:paraId="74DD4A1C" w14:textId="77777777" w:rsidR="00BB66AE" w:rsidRDefault="00CA68D7">
      <w:pPr>
        <w:spacing w:line="360" w:lineRule="auto"/>
        <w:ind w:firstLine="720"/>
        <w:jc w:val="both"/>
        <w:rPr>
          <w:rtl/>
        </w:rPr>
      </w:pPr>
      <w:r>
        <w:rPr>
          <w:rFonts w:hint="cs"/>
          <w:rtl/>
        </w:rPr>
        <w:t>כך, נקבע כי:</w:t>
      </w:r>
    </w:p>
    <w:p w14:paraId="6870FCD8" w14:textId="77777777" w:rsidR="00BB66AE" w:rsidRDefault="00BB66AE">
      <w:pPr>
        <w:spacing w:line="360" w:lineRule="auto"/>
        <w:ind w:firstLine="720"/>
        <w:jc w:val="both"/>
        <w:rPr>
          <w:rtl/>
        </w:rPr>
      </w:pPr>
    </w:p>
    <w:p w14:paraId="51A0E13B" w14:textId="77777777" w:rsidR="00BB66AE" w:rsidRDefault="00CA68D7">
      <w:pPr>
        <w:spacing w:line="360" w:lineRule="auto"/>
        <w:ind w:left="1440" w:right="720"/>
        <w:jc w:val="both"/>
      </w:pPr>
      <w:r>
        <w:rPr>
          <w:rFonts w:hint="cs"/>
          <w:b/>
          <w:bCs/>
          <w:rtl/>
        </w:rPr>
        <w:t xml:space="preserve">"הענישה בעבירות מסוג זה נועדה, קודם 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פוטנציאלים, ולשמש את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w:t>
      </w:r>
      <w:r>
        <w:rPr>
          <w:rFonts w:hint="cs"/>
          <w:rtl/>
        </w:rPr>
        <w:t xml:space="preserve">(ר' </w:t>
      </w:r>
      <w:hyperlink r:id="rId27" w:history="1">
        <w:r w:rsidR="00D66547" w:rsidRPr="00D66547">
          <w:rPr>
            <w:rStyle w:val="Hyperlink"/>
            <w:rtl/>
          </w:rPr>
          <w:t>ע"פ 211/09</w:t>
        </w:r>
      </w:hyperlink>
      <w:r>
        <w:rPr>
          <w:rFonts w:hint="cs"/>
          <w:b/>
          <w:bCs/>
          <w:rtl/>
        </w:rPr>
        <w:t xml:space="preserve"> </w:t>
      </w:r>
      <w:r>
        <w:rPr>
          <w:rFonts w:hint="cs"/>
          <w:rtl/>
        </w:rPr>
        <w:t xml:space="preserve">אזולאי נ' מ"י (22.6.10). </w:t>
      </w:r>
    </w:p>
    <w:p w14:paraId="23ED6A74" w14:textId="77777777" w:rsidR="00BB66AE" w:rsidRDefault="00BB66AE">
      <w:pPr>
        <w:spacing w:line="360" w:lineRule="auto"/>
        <w:ind w:left="1440" w:right="720"/>
        <w:jc w:val="both"/>
        <w:rPr>
          <w:rtl/>
        </w:rPr>
      </w:pPr>
    </w:p>
    <w:p w14:paraId="6619ABB2" w14:textId="77777777" w:rsidR="00BB66AE" w:rsidRDefault="00CA68D7">
      <w:pPr>
        <w:spacing w:line="360" w:lineRule="auto"/>
        <w:ind w:left="720"/>
        <w:jc w:val="both"/>
        <w:rPr>
          <w:rtl/>
        </w:rPr>
      </w:pPr>
      <w:r>
        <w:rPr>
          <w:rFonts w:hint="cs"/>
          <w:rtl/>
        </w:rPr>
        <w:t>בנוסף, יפה ההפניה לדברים שנקבעו ב</w:t>
      </w:r>
      <w:hyperlink r:id="rId28" w:history="1">
        <w:r w:rsidR="00D66547" w:rsidRPr="00D66547">
          <w:rPr>
            <w:rStyle w:val="Hyperlink"/>
            <w:rtl/>
          </w:rPr>
          <w:t>ע"פ 4381/05</w:t>
        </w:r>
      </w:hyperlink>
      <w:r>
        <w:rPr>
          <w:rFonts w:hint="cs"/>
          <w:rtl/>
        </w:rPr>
        <w:t xml:space="preserve"> אבו זקיקה נ' מ"י (12.7.06), לאמור:</w:t>
      </w:r>
      <w:r w:rsidR="00D66547">
        <w:rPr>
          <w:rFonts w:hint="cs"/>
          <w:rtl/>
        </w:rPr>
        <w:t xml:space="preserve">      </w:t>
      </w:r>
      <w:r>
        <w:rPr>
          <w:rFonts w:hint="cs"/>
          <w:rtl/>
        </w:rPr>
        <w:t xml:space="preserve"> </w:t>
      </w:r>
    </w:p>
    <w:p w14:paraId="01DCB76A" w14:textId="77777777" w:rsidR="00BB66AE" w:rsidRDefault="00D66547">
      <w:pPr>
        <w:spacing w:line="360" w:lineRule="auto"/>
        <w:ind w:left="360"/>
        <w:jc w:val="both"/>
        <w:rPr>
          <w:rtl/>
        </w:rPr>
      </w:pPr>
      <w:r>
        <w:rPr>
          <w:rFonts w:hint="cs"/>
          <w:rtl/>
        </w:rPr>
        <w:t xml:space="preserve">                 </w:t>
      </w:r>
      <w:r w:rsidR="00CA68D7">
        <w:rPr>
          <w:rFonts w:hint="cs"/>
          <w:rtl/>
        </w:rPr>
        <w:t xml:space="preserve"> </w:t>
      </w:r>
    </w:p>
    <w:p w14:paraId="0B7518A1" w14:textId="77777777" w:rsidR="00BB66AE" w:rsidRDefault="00CA68D7">
      <w:pPr>
        <w:spacing w:line="360" w:lineRule="auto"/>
        <w:ind w:left="1440" w:right="720"/>
        <w:jc w:val="both"/>
        <w:rPr>
          <w:b/>
          <w:bCs/>
          <w:rtl/>
        </w:rPr>
      </w:pPr>
      <w:r>
        <w:rPr>
          <w:rFonts w:hint="cs"/>
          <w:b/>
          <w:bCs/>
          <w:rtl/>
        </w:rPr>
        <w:t xml:space="preserve">"חובה היא על בית- המשפט בימים אלו להילחם מלחמת חורמה בתופעה של החזקת סמים מסוכנים (ראו והשוו </w:t>
      </w:r>
      <w:r w:rsidRPr="00F30852">
        <w:rPr>
          <w:b/>
          <w:bCs/>
          <w:color w:val="000000"/>
          <w:rtl/>
        </w:rPr>
        <w:t>ע"פ 3759/03</w:t>
      </w:r>
      <w:r>
        <w:rPr>
          <w:rFonts w:hint="cs"/>
          <w:b/>
          <w:bCs/>
          <w:rtl/>
        </w:rPr>
        <w:t xml:space="preserve"> יצחק תמיר ואח' נ' מדינת ישראל (טרם פורסם)) אשר לעבירות סחר או החזקה מסחרית של סם מסוכן... כבר נקבע, כי יש למצות את הדין עם עבריינים אלה...". </w:t>
      </w:r>
    </w:p>
    <w:p w14:paraId="263E9808" w14:textId="77777777" w:rsidR="00BB66AE" w:rsidRDefault="00BB66AE">
      <w:pPr>
        <w:spacing w:line="360" w:lineRule="auto"/>
        <w:ind w:left="1440" w:right="720"/>
        <w:jc w:val="both"/>
        <w:rPr>
          <w:b/>
          <w:bCs/>
          <w:rtl/>
        </w:rPr>
      </w:pPr>
    </w:p>
    <w:p w14:paraId="4A5B3693" w14:textId="77777777" w:rsidR="00BB66AE" w:rsidRDefault="00CA68D7">
      <w:pPr>
        <w:spacing w:line="360" w:lineRule="auto"/>
        <w:ind w:left="720"/>
        <w:jc w:val="both"/>
        <w:rPr>
          <w:rtl/>
        </w:rPr>
      </w:pPr>
      <w:r>
        <w:rPr>
          <w:rFonts w:hint="cs"/>
          <w:rtl/>
        </w:rPr>
        <w:t xml:space="preserve">ראה אף </w:t>
      </w:r>
      <w:hyperlink r:id="rId29" w:history="1">
        <w:r w:rsidR="00D66547" w:rsidRPr="00D66547">
          <w:rPr>
            <w:rStyle w:val="Hyperlink"/>
            <w:rFonts w:hint="eastAsia"/>
            <w:rtl/>
          </w:rPr>
          <w:t>ת</w:t>
        </w:r>
        <w:r w:rsidR="00D66547" w:rsidRPr="00D66547">
          <w:rPr>
            <w:rStyle w:val="Hyperlink"/>
            <w:rtl/>
          </w:rPr>
          <w:t>"פ 7159-08</w:t>
        </w:r>
      </w:hyperlink>
      <w:r>
        <w:rPr>
          <w:rFonts w:hint="cs"/>
          <w:rtl/>
        </w:rPr>
        <w:t xml:space="preserve"> מ"י נ' נ' ביזאוי (לא פורסם), ניתן ביום 6.9.11; </w:t>
      </w:r>
      <w:hyperlink r:id="rId30" w:history="1">
        <w:r w:rsidR="00D66547" w:rsidRPr="00D66547">
          <w:rPr>
            <w:rStyle w:val="Hyperlink"/>
            <w:rFonts w:hint="eastAsia"/>
            <w:rtl/>
          </w:rPr>
          <w:t>ת</w:t>
        </w:r>
        <w:r w:rsidR="00D66547" w:rsidRPr="00D66547">
          <w:rPr>
            <w:rStyle w:val="Hyperlink"/>
            <w:rtl/>
          </w:rPr>
          <w:t>"פ 5326-07</w:t>
        </w:r>
      </w:hyperlink>
      <w:r>
        <w:rPr>
          <w:rFonts w:hint="cs"/>
          <w:rtl/>
        </w:rPr>
        <w:t xml:space="preserve"> מ"י נ' אבו אלקיעה ואח' (לא פורסם), ניתן ביום 10.7.11; </w:t>
      </w:r>
      <w:hyperlink r:id="rId31" w:history="1">
        <w:r w:rsidR="00D66547" w:rsidRPr="00D66547">
          <w:rPr>
            <w:rStyle w:val="Hyperlink"/>
            <w:rFonts w:hint="eastAsia"/>
            <w:rtl/>
          </w:rPr>
          <w:t>ת</w:t>
        </w:r>
        <w:r w:rsidR="00D66547" w:rsidRPr="00D66547">
          <w:rPr>
            <w:rStyle w:val="Hyperlink"/>
            <w:rtl/>
          </w:rPr>
          <w:t>"פ (מח'-חי') 22858-10-09</w:t>
        </w:r>
      </w:hyperlink>
      <w:r>
        <w:rPr>
          <w:rFonts w:hint="cs"/>
          <w:rtl/>
        </w:rPr>
        <w:t xml:space="preserve"> מ"י נ' ג'שי ואח' (לא פורסם), ניתן ביום 12.4.11; </w:t>
      </w:r>
      <w:hyperlink r:id="rId32" w:history="1">
        <w:r w:rsidR="00D66547" w:rsidRPr="00D66547">
          <w:rPr>
            <w:rStyle w:val="Hyperlink"/>
            <w:rtl/>
          </w:rPr>
          <w:t>ת"פ 24290-07-10</w:t>
        </w:r>
      </w:hyperlink>
      <w:r>
        <w:rPr>
          <w:rFonts w:hint="cs"/>
          <w:rtl/>
        </w:rPr>
        <w:t xml:space="preserve"> מ"י נ' פויר (לא פורסם), ניתן ביום 1.2.11)</w:t>
      </w:r>
    </w:p>
    <w:p w14:paraId="28498187" w14:textId="77777777" w:rsidR="00BB66AE" w:rsidRDefault="00BB66AE">
      <w:pPr>
        <w:spacing w:line="360" w:lineRule="auto"/>
        <w:ind w:left="360"/>
        <w:jc w:val="both"/>
        <w:rPr>
          <w:rtl/>
        </w:rPr>
      </w:pPr>
    </w:p>
    <w:p w14:paraId="26FAEB37" w14:textId="77777777" w:rsidR="00BB66AE" w:rsidRDefault="00CA68D7">
      <w:pPr>
        <w:pStyle w:val="Ruller4"/>
        <w:ind w:left="720"/>
        <w:rPr>
          <w:rFonts w:cs="David"/>
          <w:sz w:val="24"/>
          <w:szCs w:val="24"/>
          <w:rtl/>
        </w:rPr>
      </w:pPr>
      <w:r>
        <w:rPr>
          <w:rFonts w:cs="David" w:hint="cs"/>
          <w:sz w:val="24"/>
          <w:szCs w:val="24"/>
          <w:rtl/>
        </w:rPr>
        <w:t>התווית מתחם העונש ההולם למעשי הנאשם נלמדת אף מ</w:t>
      </w:r>
      <w:hyperlink r:id="rId33" w:history="1">
        <w:r w:rsidR="00D66547" w:rsidRPr="00D66547">
          <w:rPr>
            <w:rStyle w:val="Hyperlink"/>
            <w:rFonts w:cs="David" w:hint="cs"/>
            <w:sz w:val="24"/>
            <w:szCs w:val="24"/>
            <w:rtl/>
          </w:rPr>
          <w:t>רע</w:t>
        </w:r>
        <w:r w:rsidR="00D66547" w:rsidRPr="00D66547">
          <w:rPr>
            <w:rStyle w:val="Hyperlink"/>
            <w:rFonts w:cs="David"/>
            <w:sz w:val="24"/>
            <w:szCs w:val="24"/>
            <w:rtl/>
          </w:rPr>
          <w:t>"פ 10517-04</w:t>
        </w:r>
      </w:hyperlink>
      <w:r>
        <w:rPr>
          <w:rFonts w:cs="David" w:hint="cs"/>
          <w:sz w:val="24"/>
          <w:szCs w:val="24"/>
          <w:rtl/>
        </w:rPr>
        <w:t xml:space="preserve"> אסייג נ' מ"י (23/11/04) לאמור: </w:t>
      </w:r>
      <w:r w:rsidR="00D66547">
        <w:rPr>
          <w:rFonts w:cs="David" w:hint="cs"/>
          <w:sz w:val="24"/>
          <w:szCs w:val="24"/>
          <w:rtl/>
        </w:rPr>
        <w:t xml:space="preserve"> </w:t>
      </w:r>
    </w:p>
    <w:p w14:paraId="031E684A" w14:textId="77777777" w:rsidR="00BB66AE" w:rsidRDefault="00BB66AE">
      <w:pPr>
        <w:pStyle w:val="Ruller4"/>
        <w:ind w:left="720"/>
        <w:rPr>
          <w:rFonts w:cs="David"/>
          <w:sz w:val="24"/>
          <w:szCs w:val="24"/>
          <w:rtl/>
        </w:rPr>
      </w:pPr>
    </w:p>
    <w:p w14:paraId="4093810D" w14:textId="77777777" w:rsidR="00BB66AE" w:rsidRDefault="00CA68D7">
      <w:pPr>
        <w:spacing w:line="360" w:lineRule="auto"/>
        <w:ind w:left="1440" w:right="720"/>
        <w:jc w:val="both"/>
        <w:rPr>
          <w:rtl/>
        </w:rPr>
      </w:pPr>
      <w:r>
        <w:rPr>
          <w:rFonts w:hint="cs"/>
          <w:b/>
          <w:bCs/>
          <w:rtl/>
        </w:rPr>
        <w:t xml:space="preserve">"בחינת הפסיקה בעבירות כגון אלה מעלה קשת רחבה של עונשים: החל מחודשי מאסר בודדים לריצוי בפועל ועד למאסר של שלוש ואף ארבע שנים. בהתייחס לנסיבות ביצוע העבירות במקרה דנן ... נראה כי המגמה הכללית בפסיקה הנה הטלת עונשים חמורים במידה ניכרת...". </w:t>
      </w:r>
    </w:p>
    <w:p w14:paraId="75CAA2F8" w14:textId="77777777" w:rsidR="00BB66AE" w:rsidRDefault="00BB66AE">
      <w:pPr>
        <w:spacing w:line="360" w:lineRule="auto"/>
        <w:ind w:right="720"/>
        <w:jc w:val="both"/>
        <w:rPr>
          <w:rtl/>
        </w:rPr>
      </w:pPr>
    </w:p>
    <w:p w14:paraId="79DAED5D" w14:textId="77777777" w:rsidR="00BB66AE" w:rsidRDefault="00CA68D7">
      <w:pPr>
        <w:tabs>
          <w:tab w:val="left" w:pos="8363"/>
        </w:tabs>
        <w:spacing w:line="360" w:lineRule="auto"/>
        <w:ind w:left="720"/>
        <w:jc w:val="both"/>
        <w:rPr>
          <w:rtl/>
        </w:rPr>
      </w:pPr>
      <w:r>
        <w:rPr>
          <w:rFonts w:hint="cs"/>
          <w:rtl/>
        </w:rPr>
        <w:t xml:space="preserve">אשר לטענת ההגנה לעניין סוג הסם המסוכן והיקפי הסחר וההחזקה בו, כבר נקבע כי: </w:t>
      </w:r>
    </w:p>
    <w:p w14:paraId="5ED110EE" w14:textId="77777777" w:rsidR="00BB66AE" w:rsidRDefault="00BB66AE">
      <w:pPr>
        <w:tabs>
          <w:tab w:val="left" w:pos="8363"/>
        </w:tabs>
        <w:spacing w:line="360" w:lineRule="auto"/>
        <w:ind w:left="720"/>
        <w:jc w:val="both"/>
        <w:rPr>
          <w:rtl/>
        </w:rPr>
      </w:pPr>
    </w:p>
    <w:p w14:paraId="158355F4" w14:textId="77777777" w:rsidR="00BB66AE" w:rsidRDefault="00CA68D7">
      <w:pPr>
        <w:pStyle w:val="ruller40"/>
        <w:spacing w:after="120" w:line="320" w:lineRule="exact"/>
        <w:ind w:left="1440" w:right="720"/>
        <w:rPr>
          <w:rFonts w:cs="David"/>
          <w:b/>
          <w:bCs/>
          <w:spacing w:val="0"/>
          <w:sz w:val="24"/>
          <w:szCs w:val="24"/>
          <w:rtl/>
        </w:rPr>
      </w:pPr>
      <w:r>
        <w:rPr>
          <w:rFonts w:cs="David" w:hint="cs"/>
          <w:b/>
          <w:bCs/>
          <w:spacing w:val="0"/>
          <w:sz w:val="24"/>
          <w:szCs w:val="24"/>
          <w:rtl/>
        </w:rPr>
        <w:t>"אין להקל ראש בעבירות הנוגעות לסמים המוגדרים כ'קלים' ...העובדה שסמים אלה הפכו אולי נפוצים גם...בקרב צעירים אינה צריכה להביא להתייחסות מקלה עם אלה המבקשים לעשות רווח מנפוצות השימוש בסמים אלה ותורמים להגעת הסם אל קהל ה'צרכנים'</w:t>
      </w:r>
      <w:r>
        <w:rPr>
          <w:rFonts w:cs="David" w:hint="cs"/>
          <w:spacing w:val="0"/>
          <w:sz w:val="24"/>
          <w:szCs w:val="24"/>
          <w:rtl/>
        </w:rPr>
        <w:t>"</w:t>
      </w:r>
      <w:r>
        <w:rPr>
          <w:rFonts w:cs="David" w:hint="cs"/>
          <w:b/>
          <w:bCs/>
          <w:spacing w:val="0"/>
          <w:sz w:val="24"/>
          <w:szCs w:val="24"/>
          <w:rtl/>
        </w:rPr>
        <w:t xml:space="preserve"> </w:t>
      </w:r>
      <w:r>
        <w:rPr>
          <w:rFonts w:cs="David" w:hint="cs"/>
          <w:spacing w:val="0"/>
          <w:sz w:val="24"/>
          <w:szCs w:val="24"/>
          <w:rtl/>
        </w:rPr>
        <w:t xml:space="preserve">(ר' </w:t>
      </w:r>
      <w:hyperlink r:id="rId34" w:history="1">
        <w:r w:rsidR="00D66547" w:rsidRPr="00D66547">
          <w:rPr>
            <w:rStyle w:val="Hyperlink"/>
            <w:rFonts w:cs="David"/>
            <w:spacing w:val="0"/>
            <w:sz w:val="24"/>
            <w:szCs w:val="24"/>
            <w:rtl/>
          </w:rPr>
          <w:t>ע"פ 2000/06</w:t>
        </w:r>
      </w:hyperlink>
      <w:r>
        <w:rPr>
          <w:rFonts w:cs="David" w:hint="cs"/>
          <w:spacing w:val="0"/>
          <w:sz w:val="24"/>
          <w:szCs w:val="24"/>
          <w:rtl/>
        </w:rPr>
        <w:t xml:space="preserve"> – מדינת ישראל נ' בנימין ויצמן – לא פורסם – ניתן ביום 20/7/06).</w:t>
      </w:r>
    </w:p>
    <w:p w14:paraId="6A851CCC" w14:textId="77777777" w:rsidR="00BB66AE" w:rsidRDefault="00BB66AE">
      <w:pPr>
        <w:pStyle w:val="ruller40"/>
        <w:spacing w:after="120" w:line="320" w:lineRule="exact"/>
        <w:ind w:left="1440" w:right="720"/>
        <w:rPr>
          <w:rFonts w:cs="David"/>
          <w:b/>
          <w:bCs/>
          <w:spacing w:val="0"/>
          <w:sz w:val="24"/>
          <w:szCs w:val="24"/>
          <w:rtl/>
        </w:rPr>
      </w:pPr>
    </w:p>
    <w:p w14:paraId="0FAEAFEE" w14:textId="77777777" w:rsidR="00BB66AE" w:rsidRDefault="00CA68D7">
      <w:pPr>
        <w:spacing w:line="360" w:lineRule="auto"/>
        <w:jc w:val="both"/>
        <w:rPr>
          <w:rFonts w:cs="Times New Roman"/>
          <w:rtl/>
        </w:rPr>
      </w:pPr>
      <w:r>
        <w:rPr>
          <w:rFonts w:hint="cs"/>
          <w:rtl/>
        </w:rPr>
        <w:t>10.</w:t>
      </w:r>
      <w:r>
        <w:rPr>
          <w:rFonts w:hint="cs"/>
          <w:rtl/>
        </w:rPr>
        <w:tab/>
        <w:t xml:space="preserve">מכל המפורט, אני קובע את מתחם העונש ההולם לאירוע האישום </w:t>
      </w:r>
      <w:r>
        <w:rPr>
          <w:rFonts w:hint="cs"/>
          <w:u w:val="single"/>
          <w:rtl/>
        </w:rPr>
        <w:t>השני</w:t>
      </w:r>
      <w:r>
        <w:rPr>
          <w:rFonts w:hint="cs"/>
          <w:rtl/>
        </w:rPr>
        <w:t xml:space="preserve">, כדלקמן: </w:t>
      </w:r>
    </w:p>
    <w:p w14:paraId="3B9FED91" w14:textId="77777777" w:rsidR="00BB66AE" w:rsidRDefault="00BB66AE">
      <w:pPr>
        <w:spacing w:line="360" w:lineRule="auto"/>
        <w:ind w:left="720"/>
        <w:jc w:val="both"/>
        <w:rPr>
          <w:rFonts w:eastAsia="Calibri"/>
          <w:highlight w:val="yellow"/>
          <w:rtl/>
        </w:rPr>
      </w:pPr>
    </w:p>
    <w:p w14:paraId="01699EAF" w14:textId="77777777" w:rsidR="00BB66AE" w:rsidRDefault="00CA68D7">
      <w:pPr>
        <w:spacing w:line="360" w:lineRule="auto"/>
        <w:ind w:left="720"/>
        <w:jc w:val="both"/>
        <w:rPr>
          <w:rtl/>
        </w:rPr>
      </w:pPr>
      <w:r>
        <w:rPr>
          <w:rFonts w:hint="cs"/>
          <w:rtl/>
        </w:rPr>
        <w:t xml:space="preserve">מאסר בפועל הנע בין 12 חודשים ל-20 חודשים; מאסר מותנה; קנס בהיקף של אלפי שקלים ופסילת רישיון נהיגה לתקופה של מספר חודשים. </w:t>
      </w:r>
    </w:p>
    <w:p w14:paraId="4BF94C3B" w14:textId="77777777" w:rsidR="00BB66AE" w:rsidRDefault="00D66547">
      <w:pPr>
        <w:spacing w:line="360" w:lineRule="auto"/>
        <w:ind w:left="360"/>
        <w:jc w:val="both"/>
      </w:pPr>
      <w:r>
        <w:rPr>
          <w:rFonts w:hint="cs"/>
          <w:rtl/>
        </w:rPr>
        <w:t xml:space="preserve">    </w:t>
      </w:r>
      <w:r w:rsidR="00CA68D7">
        <w:rPr>
          <w:rFonts w:hint="cs"/>
          <w:rtl/>
        </w:rPr>
        <w:t xml:space="preserve"> </w:t>
      </w:r>
    </w:p>
    <w:p w14:paraId="35EE572A" w14:textId="77777777" w:rsidR="00BB66AE" w:rsidRDefault="00CA68D7">
      <w:pPr>
        <w:spacing w:line="360" w:lineRule="auto"/>
        <w:ind w:left="360" w:firstLine="360"/>
        <w:jc w:val="both"/>
        <w:rPr>
          <w:rtl/>
        </w:rPr>
      </w:pPr>
      <w:r>
        <w:rPr>
          <w:rFonts w:hint="cs"/>
          <w:rtl/>
        </w:rPr>
        <w:t xml:space="preserve">אני קובע את מתחם העונש ההולם לאירוע האישום </w:t>
      </w:r>
      <w:r>
        <w:rPr>
          <w:rFonts w:hint="cs"/>
          <w:u w:val="single"/>
          <w:rtl/>
        </w:rPr>
        <w:t>הרביעי</w:t>
      </w:r>
      <w:r>
        <w:rPr>
          <w:rFonts w:hint="cs"/>
          <w:rtl/>
        </w:rPr>
        <w:t xml:space="preserve">, כדלקמן: </w:t>
      </w:r>
    </w:p>
    <w:p w14:paraId="1392C27F" w14:textId="77777777" w:rsidR="00BB66AE" w:rsidRDefault="00BB66AE">
      <w:pPr>
        <w:spacing w:line="360" w:lineRule="auto"/>
        <w:ind w:left="720"/>
        <w:jc w:val="both"/>
        <w:rPr>
          <w:rtl/>
        </w:rPr>
      </w:pPr>
    </w:p>
    <w:p w14:paraId="003C4C9F" w14:textId="77777777" w:rsidR="00BB66AE" w:rsidRDefault="00CA68D7">
      <w:pPr>
        <w:spacing w:line="360" w:lineRule="auto"/>
        <w:ind w:left="720"/>
        <w:jc w:val="both"/>
        <w:rPr>
          <w:rtl/>
        </w:rPr>
      </w:pPr>
      <w:r>
        <w:rPr>
          <w:rFonts w:hint="cs"/>
          <w:rtl/>
        </w:rPr>
        <w:t xml:space="preserve">מאסר בפועל הנע בין 3 חודשים ל- 7 חודשים; מאסר מותנה; קנס בהיקף של אלפי שקלים ופסילת רישיון נהיגה לתקופה של מספר חודשים. </w:t>
      </w:r>
    </w:p>
    <w:p w14:paraId="24541202" w14:textId="77777777" w:rsidR="00BB66AE" w:rsidRDefault="00BB66AE">
      <w:pPr>
        <w:spacing w:line="360" w:lineRule="auto"/>
        <w:ind w:left="720"/>
        <w:jc w:val="both"/>
        <w:rPr>
          <w:rtl/>
        </w:rPr>
      </w:pPr>
    </w:p>
    <w:p w14:paraId="48438A94" w14:textId="77777777" w:rsidR="00BB66AE" w:rsidRDefault="00CA68D7">
      <w:pPr>
        <w:spacing w:line="360" w:lineRule="auto"/>
        <w:ind w:left="720"/>
        <w:jc w:val="both"/>
        <w:rPr>
          <w:rtl/>
        </w:rPr>
      </w:pPr>
      <w:r>
        <w:rPr>
          <w:rFonts w:hint="cs"/>
          <w:rtl/>
        </w:rPr>
        <w:t xml:space="preserve">אני קובע את  מתחם העונש ההולם לאירוע האישום </w:t>
      </w:r>
      <w:r>
        <w:rPr>
          <w:rFonts w:hint="cs"/>
          <w:u w:val="single"/>
          <w:rtl/>
        </w:rPr>
        <w:t>החמישי</w:t>
      </w:r>
      <w:r>
        <w:rPr>
          <w:rFonts w:hint="cs"/>
          <w:rtl/>
        </w:rPr>
        <w:t>, כדלקמן:</w:t>
      </w:r>
    </w:p>
    <w:p w14:paraId="62282C4D" w14:textId="77777777" w:rsidR="00BB66AE" w:rsidRDefault="00BB66AE">
      <w:pPr>
        <w:spacing w:line="360" w:lineRule="auto"/>
        <w:ind w:left="720"/>
        <w:jc w:val="both"/>
        <w:rPr>
          <w:rtl/>
        </w:rPr>
      </w:pPr>
    </w:p>
    <w:p w14:paraId="3A386C53" w14:textId="77777777" w:rsidR="00BB66AE" w:rsidRDefault="00CA68D7">
      <w:pPr>
        <w:spacing w:line="360" w:lineRule="auto"/>
        <w:ind w:left="720"/>
        <w:jc w:val="both"/>
        <w:rPr>
          <w:rtl/>
        </w:rPr>
      </w:pPr>
      <w:r>
        <w:rPr>
          <w:rFonts w:hint="cs"/>
          <w:rtl/>
        </w:rPr>
        <w:t xml:space="preserve">מאסר הנע בין מאסר מותנה למאסר בפועל בן 3 חודשים, קנס בהיקף של אלפי שקלים ופסילת רישיון נהיגה לתקופה של מספר חודשים. </w:t>
      </w:r>
    </w:p>
    <w:p w14:paraId="21A08AA4" w14:textId="77777777" w:rsidR="00BB66AE" w:rsidRDefault="00BB66AE">
      <w:pPr>
        <w:spacing w:line="360" w:lineRule="auto"/>
        <w:jc w:val="both"/>
        <w:rPr>
          <w:rtl/>
        </w:rPr>
      </w:pPr>
    </w:p>
    <w:p w14:paraId="26F36AEE" w14:textId="77777777" w:rsidR="00BB66AE" w:rsidRDefault="00CA68D7">
      <w:pPr>
        <w:spacing w:line="360" w:lineRule="auto"/>
        <w:jc w:val="both"/>
        <w:rPr>
          <w:b/>
          <w:bCs/>
          <w:u w:val="single"/>
          <w:rtl/>
        </w:rPr>
      </w:pPr>
      <w:r>
        <w:rPr>
          <w:rFonts w:hint="cs"/>
          <w:b/>
          <w:bCs/>
          <w:u w:val="single"/>
          <w:rtl/>
        </w:rPr>
        <w:t>נסיבות שאינן קשורות בביצוע העבירות</w:t>
      </w:r>
    </w:p>
    <w:p w14:paraId="6359EC86" w14:textId="77777777" w:rsidR="00BB66AE" w:rsidRDefault="00BB66AE">
      <w:pPr>
        <w:spacing w:line="360" w:lineRule="auto"/>
        <w:jc w:val="both"/>
        <w:rPr>
          <w:rFonts w:cs="Times New Roman"/>
          <w:b/>
          <w:bCs/>
          <w:u w:val="single"/>
          <w:rtl/>
        </w:rPr>
      </w:pPr>
    </w:p>
    <w:p w14:paraId="0BD3B623" w14:textId="77777777" w:rsidR="00BB66AE" w:rsidRDefault="00CA68D7">
      <w:pPr>
        <w:spacing w:line="360" w:lineRule="auto"/>
        <w:ind w:left="720" w:hanging="720"/>
        <w:jc w:val="both"/>
        <w:rPr>
          <w:rtl/>
        </w:rPr>
      </w:pPr>
      <w:r>
        <w:rPr>
          <w:rFonts w:hint="cs"/>
          <w:rtl/>
        </w:rPr>
        <w:t>11.</w:t>
      </w:r>
      <w:r>
        <w:rPr>
          <w:rFonts w:hint="cs"/>
          <w:rtl/>
        </w:rPr>
        <w:tab/>
        <w:t xml:space="preserve">בגזירת העונש המתאים לנאשם </w:t>
      </w:r>
      <w:r w:rsidR="00BB58F0">
        <w:rPr>
          <w:rFonts w:hint="cs"/>
          <w:rtl/>
        </w:rPr>
        <w:t xml:space="preserve">שמלפניי וכמצוות המחוקק בסעיף </w:t>
      </w:r>
      <w:hyperlink r:id="rId35" w:history="1">
        <w:r w:rsidR="00BB58F0" w:rsidRPr="00BB58F0">
          <w:rPr>
            <w:color w:val="0000FF"/>
            <w:u w:val="single"/>
            <w:rtl/>
          </w:rPr>
          <w:t>40יא</w:t>
        </w:r>
      </w:hyperlink>
      <w:r>
        <w:rPr>
          <w:rFonts w:hint="cs"/>
          <w:rtl/>
        </w:rPr>
        <w:t xml:space="preserve"> לחוק, יש מקום להתחשב בנסיבותיו האישיות, אשר אינן קשורות בביצוע העבירות. נסיבות אלה נלמדות מן האמור בתסקירי שירות המבחן ומטיעוני הסניגור לעונש.</w:t>
      </w:r>
    </w:p>
    <w:p w14:paraId="53FF0DF1" w14:textId="77777777" w:rsidR="00BB66AE" w:rsidRDefault="00BB66AE">
      <w:pPr>
        <w:spacing w:line="360" w:lineRule="auto"/>
        <w:ind w:left="360"/>
        <w:jc w:val="both"/>
        <w:rPr>
          <w:rFonts w:eastAsia="Calibri"/>
          <w:rtl/>
        </w:rPr>
      </w:pPr>
    </w:p>
    <w:p w14:paraId="7AC6BD59" w14:textId="77777777" w:rsidR="00BB66AE" w:rsidRDefault="00CA68D7">
      <w:pPr>
        <w:spacing w:line="360" w:lineRule="auto"/>
        <w:ind w:left="720" w:hanging="720"/>
        <w:jc w:val="both"/>
        <w:rPr>
          <w:rtl/>
        </w:rPr>
      </w:pPr>
      <w:r>
        <w:rPr>
          <w:rFonts w:hint="cs"/>
          <w:rtl/>
        </w:rPr>
        <w:t>12.</w:t>
      </w:r>
      <w:r>
        <w:rPr>
          <w:rFonts w:hint="cs"/>
          <w:rtl/>
        </w:rPr>
        <w:tab/>
        <w:t xml:space="preserve">בעניינו של הנאשם הוגשו שלושה תסקירים מאת שירות המבחן, שסופו של יום המליץ להשית על הנאשם ענישה צופה פני שיקום, בדמות צווי מבחן ושל"צ וכן מאסר מותנה. </w:t>
      </w:r>
    </w:p>
    <w:p w14:paraId="355B07A1" w14:textId="77777777" w:rsidR="00BB66AE" w:rsidRDefault="00BB66AE">
      <w:pPr>
        <w:spacing w:line="360" w:lineRule="auto"/>
        <w:ind w:left="360"/>
        <w:jc w:val="both"/>
        <w:rPr>
          <w:rFonts w:eastAsia="Calibri"/>
          <w:rtl/>
        </w:rPr>
      </w:pPr>
    </w:p>
    <w:p w14:paraId="00406E8E" w14:textId="77777777" w:rsidR="00BB66AE" w:rsidRDefault="00CA68D7">
      <w:pPr>
        <w:spacing w:line="360" w:lineRule="auto"/>
        <w:jc w:val="both"/>
      </w:pPr>
      <w:r>
        <w:rPr>
          <w:rFonts w:hint="cs"/>
          <w:rtl/>
        </w:rPr>
        <w:tab/>
        <w:t xml:space="preserve">הנאשם יליד 1982, רווק ואין בעברו הרשעות קודמות. </w:t>
      </w:r>
    </w:p>
    <w:p w14:paraId="42DDE081" w14:textId="77777777" w:rsidR="00BB66AE" w:rsidRDefault="00BB66AE">
      <w:pPr>
        <w:spacing w:line="360" w:lineRule="auto"/>
        <w:ind w:left="720"/>
        <w:jc w:val="both"/>
      </w:pPr>
    </w:p>
    <w:p w14:paraId="54FA8111" w14:textId="77777777" w:rsidR="00BB66AE" w:rsidRDefault="00CA68D7">
      <w:pPr>
        <w:spacing w:line="360" w:lineRule="auto"/>
        <w:ind w:left="720"/>
        <w:jc w:val="both"/>
        <w:rPr>
          <w:rtl/>
        </w:rPr>
      </w:pPr>
      <w:r>
        <w:rPr>
          <w:rFonts w:hint="cs"/>
          <w:rtl/>
        </w:rPr>
        <w:t xml:space="preserve">שירות המבחן סקר את רקע חייו של הנאשם, שלא ארחיב בנושא מחמת צנעת הפרט. אך אציין כי הנאשם סיים את חוק לימודיו, שירת בצה"ל כלוחם וחובש, היווה דוגמא אישית בעת שירותו והשתלב בלימודים אקדמאיים, אותם לא סיים בתחום הנדסת תקשורת ועיצוב גרפי. </w:t>
      </w:r>
    </w:p>
    <w:p w14:paraId="293646FD" w14:textId="77777777" w:rsidR="00BB66AE" w:rsidRDefault="00BB66AE">
      <w:pPr>
        <w:spacing w:line="360" w:lineRule="auto"/>
        <w:ind w:left="720"/>
        <w:jc w:val="both"/>
        <w:rPr>
          <w:rtl/>
        </w:rPr>
      </w:pPr>
    </w:p>
    <w:p w14:paraId="224E1B46" w14:textId="77777777" w:rsidR="00BB66AE" w:rsidRDefault="00CA68D7">
      <w:pPr>
        <w:spacing w:line="360" w:lineRule="auto"/>
        <w:ind w:left="720"/>
        <w:jc w:val="both"/>
        <w:rPr>
          <w:rtl/>
        </w:rPr>
      </w:pPr>
      <w:r>
        <w:rPr>
          <w:rFonts w:hint="cs"/>
          <w:rtl/>
        </w:rPr>
        <w:t xml:space="preserve">הנאשם שיתף את שירות המבחן בדבר צריכתו סמים מסוכנים, שהחלה בגיל ההתבגרות ובמסגרת חברתית ואך פחתה כשבגר. </w:t>
      </w:r>
    </w:p>
    <w:p w14:paraId="29790B39" w14:textId="77777777" w:rsidR="00BB66AE" w:rsidRDefault="00BB66AE">
      <w:pPr>
        <w:spacing w:line="360" w:lineRule="auto"/>
        <w:ind w:left="720"/>
        <w:jc w:val="both"/>
        <w:rPr>
          <w:rtl/>
        </w:rPr>
      </w:pPr>
    </w:p>
    <w:p w14:paraId="23B0456D" w14:textId="77777777" w:rsidR="00BB66AE" w:rsidRDefault="00CA68D7">
      <w:pPr>
        <w:spacing w:line="360" w:lineRule="auto"/>
        <w:ind w:left="720"/>
        <w:jc w:val="both"/>
        <w:rPr>
          <w:rtl/>
        </w:rPr>
      </w:pPr>
      <w:r>
        <w:rPr>
          <w:rFonts w:hint="cs"/>
          <w:rtl/>
        </w:rPr>
        <w:t>שירות המבחן התרשם כי הנאשם אינו תופס עצמו כמי שמכור לצריכת סמים מסוכנים ולגישתו, הדבר מצוי בשליטתו.</w:t>
      </w:r>
      <w:r w:rsidR="00D66547">
        <w:rPr>
          <w:rFonts w:hint="cs"/>
          <w:rtl/>
        </w:rPr>
        <w:t xml:space="preserve"> </w:t>
      </w:r>
      <w:r>
        <w:rPr>
          <w:rFonts w:hint="cs"/>
          <w:rtl/>
        </w:rPr>
        <w:t xml:space="preserve"> </w:t>
      </w:r>
    </w:p>
    <w:p w14:paraId="3C643785" w14:textId="77777777" w:rsidR="00BB66AE" w:rsidRDefault="00BB66AE">
      <w:pPr>
        <w:spacing w:line="360" w:lineRule="auto"/>
        <w:ind w:left="720"/>
        <w:jc w:val="both"/>
        <w:rPr>
          <w:rtl/>
        </w:rPr>
      </w:pPr>
    </w:p>
    <w:p w14:paraId="6BB2C9BF" w14:textId="77777777" w:rsidR="00BB66AE" w:rsidRDefault="00CA68D7">
      <w:pPr>
        <w:spacing w:line="360" w:lineRule="auto"/>
        <w:ind w:left="720"/>
        <w:jc w:val="both"/>
        <w:rPr>
          <w:rtl/>
        </w:rPr>
      </w:pPr>
      <w:r>
        <w:rPr>
          <w:rFonts w:hint="cs"/>
          <w:rtl/>
        </w:rPr>
        <w:t xml:space="preserve">הנאשם אינו מחשיב מהלך של מכירת סם מסוכן בין חברים, בזמן שימוש משותף, כהתנהגות קיצונית בחומרתה. עם זאת, הוא החל להתייחס למחירים ששילם עקב צריכתו וגילה תפיסה בוגרת יותר ונכונות להליך טיפולי. </w:t>
      </w:r>
    </w:p>
    <w:p w14:paraId="44F29BD3" w14:textId="77777777" w:rsidR="00BB66AE" w:rsidRDefault="00BB66AE">
      <w:pPr>
        <w:spacing w:line="360" w:lineRule="auto"/>
        <w:ind w:left="720"/>
        <w:jc w:val="both"/>
        <w:rPr>
          <w:rtl/>
        </w:rPr>
      </w:pPr>
    </w:p>
    <w:p w14:paraId="2A50B5CF" w14:textId="77777777" w:rsidR="00BB66AE" w:rsidRDefault="00CA68D7">
      <w:pPr>
        <w:spacing w:line="360" w:lineRule="auto"/>
        <w:ind w:left="720"/>
        <w:jc w:val="both"/>
        <w:rPr>
          <w:rtl/>
        </w:rPr>
      </w:pPr>
      <w:r>
        <w:rPr>
          <w:rFonts w:hint="cs"/>
          <w:rtl/>
        </w:rPr>
        <w:t xml:space="preserve">הנאשם שולב במסגרת תעסוקתית, המחשיבה אותו כעובד חרוץ ואמין. </w:t>
      </w:r>
    </w:p>
    <w:p w14:paraId="755B9CF7" w14:textId="77777777" w:rsidR="00BB66AE" w:rsidRDefault="00BB66AE">
      <w:pPr>
        <w:spacing w:line="360" w:lineRule="auto"/>
        <w:ind w:left="720"/>
        <w:jc w:val="both"/>
        <w:rPr>
          <w:rtl/>
        </w:rPr>
      </w:pPr>
    </w:p>
    <w:p w14:paraId="56A1969B" w14:textId="77777777" w:rsidR="00BB66AE" w:rsidRDefault="00CA68D7">
      <w:pPr>
        <w:spacing w:line="360" w:lineRule="auto"/>
        <w:ind w:left="720"/>
        <w:jc w:val="both"/>
        <w:rPr>
          <w:rFonts w:cs="Times New Roman"/>
          <w:rtl/>
        </w:rPr>
      </w:pPr>
      <w:r>
        <w:rPr>
          <w:rFonts w:hint="cs"/>
          <w:rtl/>
        </w:rPr>
        <w:t>הנאשם מסר דגימות שתן שנמצאו נקיות משרידי סם מסוכן וההליך המשפטי ובכללו הימצאו לראשונה במעצר בחייו, היוו בעבורו גורם הרתעה משמעותי.</w:t>
      </w:r>
      <w:r w:rsidR="00D66547">
        <w:rPr>
          <w:rFonts w:hint="cs"/>
          <w:rtl/>
        </w:rPr>
        <w:t xml:space="preserve">  </w:t>
      </w:r>
      <w:r>
        <w:rPr>
          <w:rFonts w:hint="cs"/>
          <w:rtl/>
        </w:rPr>
        <w:t xml:space="preserve"> </w:t>
      </w:r>
    </w:p>
    <w:p w14:paraId="101BA149" w14:textId="77777777" w:rsidR="00BB66AE" w:rsidRDefault="00D66547">
      <w:pPr>
        <w:spacing w:line="360" w:lineRule="auto"/>
        <w:jc w:val="both"/>
        <w:rPr>
          <w:rtl/>
        </w:rPr>
      </w:pPr>
      <w:r>
        <w:rPr>
          <w:rFonts w:hint="cs"/>
          <w:rtl/>
        </w:rPr>
        <w:t xml:space="preserve">           </w:t>
      </w:r>
      <w:r w:rsidR="00CA68D7">
        <w:rPr>
          <w:rFonts w:hint="cs"/>
          <w:rtl/>
        </w:rPr>
        <w:t xml:space="preserve"> </w:t>
      </w:r>
    </w:p>
    <w:p w14:paraId="0F07335B" w14:textId="77777777" w:rsidR="00BB66AE" w:rsidRDefault="00CA68D7">
      <w:pPr>
        <w:spacing w:line="360" w:lineRule="auto"/>
        <w:ind w:left="720"/>
        <w:jc w:val="both"/>
        <w:rPr>
          <w:rtl/>
        </w:rPr>
      </w:pPr>
      <w:r>
        <w:rPr>
          <w:rFonts w:hint="cs"/>
          <w:rtl/>
        </w:rPr>
        <w:t xml:space="preserve">שירות המבחן ממליץ למקד את ענישת הנאשם בשיקומו, תוך הערכה כי בשילובו בטיפולים קבוצתיים ופרטניים, יתאפשר לו להתמודד עם קשייו ללא צורך בצריכת סמים מסוכנים. </w:t>
      </w:r>
    </w:p>
    <w:p w14:paraId="2249E8A0" w14:textId="77777777" w:rsidR="00BB66AE" w:rsidRDefault="00BB66AE">
      <w:pPr>
        <w:spacing w:line="360" w:lineRule="auto"/>
        <w:ind w:left="720"/>
        <w:jc w:val="both"/>
        <w:rPr>
          <w:rtl/>
        </w:rPr>
      </w:pPr>
    </w:p>
    <w:p w14:paraId="086E0F4E" w14:textId="77777777" w:rsidR="00BB66AE" w:rsidRDefault="00CA68D7">
      <w:pPr>
        <w:spacing w:line="360" w:lineRule="auto"/>
        <w:ind w:left="720"/>
        <w:jc w:val="both"/>
        <w:rPr>
          <w:b/>
          <w:bCs/>
          <w:rtl/>
        </w:rPr>
      </w:pPr>
      <w:r>
        <w:rPr>
          <w:rFonts w:hint="cs"/>
          <w:rtl/>
        </w:rPr>
        <w:t>הנאשם משמר קשר טיפולי עם היחידה העירונית לנפגעי סמים, פועל להמשך ביסוס תהליך השינוי שעורך בחייו ומגלה מוטיבציה לשמר מסגרת תעסוקתית קבועה. שירות המבחן סובר כי יש לאפשר לנאשם להמשיך בתהליך השיקום אותו הוא עובר, תוך ציון כי: "</w:t>
      </w:r>
      <w:r>
        <w:rPr>
          <w:rFonts w:hint="cs"/>
          <w:b/>
          <w:bCs/>
          <w:rtl/>
        </w:rPr>
        <w:t>יש סיכוי ממשי שאלון ישתקם באם יוכל להמשיך לעבוד, להיות בטיפול של היחידה לנפגעי סמים ולבצע השל"צ... להערכתנו הטלת מעצר גם במסגרת עבודות השירות תפגע בצורה משמעותית בתהליך אותו עושה ותביא לנסיגה במצבו</w:t>
      </w:r>
      <w:r>
        <w:rPr>
          <w:rFonts w:hint="cs"/>
          <w:rtl/>
        </w:rPr>
        <w:t>".</w:t>
      </w:r>
    </w:p>
    <w:p w14:paraId="014DDA43" w14:textId="77777777" w:rsidR="00BB66AE" w:rsidRDefault="00BB66AE">
      <w:pPr>
        <w:spacing w:line="360" w:lineRule="auto"/>
        <w:ind w:left="720"/>
        <w:jc w:val="both"/>
        <w:rPr>
          <w:rtl/>
        </w:rPr>
      </w:pPr>
    </w:p>
    <w:p w14:paraId="22BAF54A" w14:textId="77777777" w:rsidR="00BB66AE" w:rsidRDefault="00CA68D7">
      <w:pPr>
        <w:spacing w:line="360" w:lineRule="auto"/>
        <w:ind w:left="720" w:hanging="720"/>
        <w:jc w:val="both"/>
        <w:rPr>
          <w:rtl/>
        </w:rPr>
      </w:pPr>
      <w:r>
        <w:rPr>
          <w:rFonts w:hint="cs"/>
          <w:rtl/>
        </w:rPr>
        <w:t>13.</w:t>
      </w:r>
      <w:r>
        <w:rPr>
          <w:rFonts w:hint="cs"/>
          <w:rtl/>
        </w:rPr>
        <w:tab/>
        <w:t>סברתי כי קיים קושי של ממש לקבוע כי הנאשם "השתקם או כי קיים סיכו</w:t>
      </w:r>
      <w:r w:rsidR="00BB58F0">
        <w:rPr>
          <w:rFonts w:hint="cs"/>
          <w:rtl/>
        </w:rPr>
        <w:t xml:space="preserve">י של ממש שישתקם", כנוסח סעיף </w:t>
      </w:r>
      <w:hyperlink r:id="rId36" w:history="1">
        <w:r w:rsidR="00BB58F0" w:rsidRPr="00BB58F0">
          <w:rPr>
            <w:color w:val="0000FF"/>
            <w:u w:val="single"/>
            <w:rtl/>
          </w:rPr>
          <w:t>40ד(א)</w:t>
        </w:r>
      </w:hyperlink>
      <w:r>
        <w:rPr>
          <w:rFonts w:hint="cs"/>
          <w:rtl/>
        </w:rPr>
        <w:t xml:space="preserve"> </w:t>
      </w:r>
      <w:r w:rsidR="00BB58F0">
        <w:rPr>
          <w:rFonts w:hint="cs"/>
          <w:rtl/>
        </w:rPr>
        <w:t xml:space="preserve">לחוק. כך גם לנוכח הוראת </w:t>
      </w:r>
      <w:hyperlink r:id="rId37" w:history="1">
        <w:r w:rsidR="00BB58F0" w:rsidRPr="00BB58F0">
          <w:rPr>
            <w:color w:val="0000FF"/>
            <w:u w:val="single"/>
            <w:rtl/>
          </w:rPr>
          <w:t>סעיף 40ד(ב)</w:t>
        </w:r>
      </w:hyperlink>
      <w:r>
        <w:rPr>
          <w:rFonts w:hint="cs"/>
          <w:rtl/>
        </w:rPr>
        <w:t xml:space="preserve"> לחוק, המתייחסת להיקף המעשים, לפיה ביכרתי להימנע מקביעת עונשו כפי סיכויי שיקומו. </w:t>
      </w:r>
    </w:p>
    <w:p w14:paraId="7960CD28" w14:textId="77777777" w:rsidR="00BB66AE" w:rsidRDefault="00BB66AE">
      <w:pPr>
        <w:spacing w:line="360" w:lineRule="auto"/>
        <w:ind w:left="720" w:hanging="720"/>
        <w:jc w:val="both"/>
        <w:rPr>
          <w:rtl/>
        </w:rPr>
      </w:pPr>
    </w:p>
    <w:p w14:paraId="11AB627F" w14:textId="77777777" w:rsidR="00BB66AE" w:rsidRDefault="00CA68D7">
      <w:pPr>
        <w:spacing w:line="360" w:lineRule="auto"/>
        <w:ind w:left="720" w:hanging="720"/>
        <w:jc w:val="both"/>
        <w:rPr>
          <w:rtl/>
        </w:rPr>
      </w:pPr>
      <w:r>
        <w:rPr>
          <w:rFonts w:hint="cs"/>
          <w:rtl/>
        </w:rPr>
        <w:t>14.</w:t>
      </w:r>
      <w:r>
        <w:rPr>
          <w:rFonts w:hint="cs"/>
          <w:rtl/>
        </w:rPr>
        <w:tab/>
        <w:t xml:space="preserve">ייחסתי משקל משמעותי להמלצות שירות המבחן המקצועי, אך בית המשפט הוא זה האמון על שקלול מכלול האינטרסים והנתונים הנדרשים בענישה. סברתי כי לאור מכלול נסיבות המעשים והעושה, אין הצדק בהשתת עונש שאינו הולם את מידת אשמו של הנאשם, לנוכח ריבוי מעשיו והימנעותו מבחינה מעמיקה של הפסול שבהם. העדפתי השתת עונש המשקף את הוקעת מעשי הנאשם ואת הסלידה שחשה החברה נכחם. </w:t>
      </w:r>
    </w:p>
    <w:p w14:paraId="76EE4DAB" w14:textId="77777777" w:rsidR="00BB66AE" w:rsidRDefault="00BB66AE">
      <w:pPr>
        <w:spacing w:line="360" w:lineRule="auto"/>
        <w:ind w:left="720"/>
        <w:jc w:val="both"/>
        <w:rPr>
          <w:rtl/>
        </w:rPr>
      </w:pPr>
    </w:p>
    <w:p w14:paraId="2F26876B" w14:textId="77777777" w:rsidR="00BB66AE" w:rsidRDefault="00CA68D7">
      <w:pPr>
        <w:spacing w:line="360" w:lineRule="auto"/>
        <w:ind w:left="720" w:hanging="720"/>
        <w:jc w:val="both"/>
        <w:rPr>
          <w:rtl/>
        </w:rPr>
      </w:pPr>
      <w:r>
        <w:rPr>
          <w:rFonts w:hint="cs"/>
          <w:rtl/>
        </w:rPr>
        <w:tab/>
        <w:t xml:space="preserve">הנאשם אינו מפנים את פסול מעשיו באופן מוחלט, על פני חלוף הזמן הרב בו אובחן על ידי שירות המבחן וזאת בניגוד למצופה ממי שמבקש שדינו ייגזר כפי סיכויי שיקומו. </w:t>
      </w:r>
    </w:p>
    <w:p w14:paraId="7425D5BB" w14:textId="77777777" w:rsidR="00BB66AE" w:rsidRDefault="00BB66AE">
      <w:pPr>
        <w:spacing w:line="360" w:lineRule="auto"/>
        <w:ind w:left="720" w:hanging="720"/>
        <w:jc w:val="both"/>
        <w:rPr>
          <w:rtl/>
        </w:rPr>
      </w:pPr>
    </w:p>
    <w:p w14:paraId="6A855A2C" w14:textId="77777777" w:rsidR="00BB66AE" w:rsidRDefault="00CA68D7">
      <w:pPr>
        <w:spacing w:line="360" w:lineRule="auto"/>
        <w:ind w:left="720"/>
        <w:jc w:val="both"/>
        <w:rPr>
          <w:rtl/>
        </w:rPr>
      </w:pPr>
      <w:r>
        <w:rPr>
          <w:rFonts w:hint="cs"/>
          <w:rtl/>
        </w:rPr>
        <w:t xml:space="preserve">בהתרשמות שירות המבחן לפיה הנאשם מצוי בתחילת התייחסות למחירים אותם הוא משלם מחמת מעשיו וכן מגלה תפיסה בוגרת יותר ומוכנות להליך הטיפולי - אין די כדי להחריג כדי כך את עניינו ממתחם העונש ההולם את מעשיו וכמידת אשמו. </w:t>
      </w:r>
    </w:p>
    <w:p w14:paraId="18E131EA" w14:textId="77777777" w:rsidR="00BB66AE" w:rsidRDefault="00BB66AE">
      <w:pPr>
        <w:spacing w:line="360" w:lineRule="auto"/>
        <w:ind w:left="720"/>
        <w:jc w:val="both"/>
        <w:rPr>
          <w:rtl/>
        </w:rPr>
      </w:pPr>
    </w:p>
    <w:p w14:paraId="12448F04" w14:textId="77777777" w:rsidR="00BB66AE" w:rsidRDefault="00CA68D7">
      <w:pPr>
        <w:spacing w:line="360" w:lineRule="auto"/>
        <w:ind w:left="720"/>
        <w:jc w:val="both"/>
        <w:rPr>
          <w:rtl/>
        </w:rPr>
      </w:pPr>
      <w:r>
        <w:rPr>
          <w:rFonts w:hint="cs"/>
          <w:rtl/>
        </w:rPr>
        <w:t xml:space="preserve">ראש וראשון להליך שיקום מוצלח לדידי, קשור בהפנמת פסול המעשה. השתלבות הנאשם בשיחות פרטניות וקבוצתיות, תוך הותרת סברה בליבו כי הפצת סם מסוכן בין חברים אינה כה פסולה – אינה מאפשרת קביעה כי אוין הסיכון הנובע מן הנאשם וכי החברה יכולה לשקוט שלא תפגע עוד מהנאשם הפוסע לבטח בדרך הישר. </w:t>
      </w:r>
    </w:p>
    <w:p w14:paraId="6B2F37FC" w14:textId="77777777" w:rsidR="00BB66AE" w:rsidRDefault="00BB66AE">
      <w:pPr>
        <w:spacing w:line="360" w:lineRule="auto"/>
        <w:ind w:left="720"/>
        <w:jc w:val="both"/>
        <w:rPr>
          <w:rtl/>
        </w:rPr>
      </w:pPr>
    </w:p>
    <w:p w14:paraId="0D83ACD8" w14:textId="77777777" w:rsidR="00BB66AE" w:rsidRDefault="00CA68D7">
      <w:pPr>
        <w:spacing w:line="360" w:lineRule="auto"/>
        <w:ind w:left="720"/>
        <w:jc w:val="both"/>
        <w:rPr>
          <w:rtl/>
        </w:rPr>
      </w:pPr>
      <w:r>
        <w:rPr>
          <w:rFonts w:hint="cs"/>
          <w:rtl/>
        </w:rPr>
        <w:t xml:space="preserve">אכן, הנאשם אינו אוחז בדפוסים עבריינים, הוא צעיר, נעדר עבר פלילי, הודה במיוחס לו  בכתב אישום מתוקן, פוסע בדרך שיקומית, נוף חייו נורמטיבי וההליך ומעצרו לראשונה בחייו, מהווים בעבורו גורם הרתעה. עם זאת, לא התרשמתי משינוי מפורש בתפיסותיו הפנימיות של הנאשם את מעשיו וכך גם כפי התסקיר האחרון שהתקבל. </w:t>
      </w:r>
    </w:p>
    <w:p w14:paraId="0F8A9C56" w14:textId="77777777" w:rsidR="00BB66AE" w:rsidRDefault="00BB66AE">
      <w:pPr>
        <w:spacing w:line="360" w:lineRule="auto"/>
        <w:ind w:left="720"/>
        <w:jc w:val="both"/>
        <w:rPr>
          <w:rtl/>
        </w:rPr>
      </w:pPr>
    </w:p>
    <w:p w14:paraId="539C35C1" w14:textId="77777777" w:rsidR="00BB66AE" w:rsidRDefault="00CA68D7">
      <w:pPr>
        <w:spacing w:line="360" w:lineRule="auto"/>
        <w:ind w:left="720"/>
        <w:jc w:val="both"/>
        <w:rPr>
          <w:rtl/>
        </w:rPr>
      </w:pPr>
      <w:r>
        <w:rPr>
          <w:rFonts w:hint="cs"/>
          <w:rtl/>
        </w:rPr>
        <w:t>בהעדר יכולת לברך על המוגמר בבחינת שיקומו של הנאשם, על אף חלוף הזמן המשמעותי, ובהעדר יכולת ללמוד ממכלול הנסיבות על שיקום "נוצץ שבנוצצים" שערך ולמצער, ללמוד על תפיסות והתנהלות המגבשות סיכוי ממשי לשיקום - לא ראיתי מי יתקע כף לידי כי בעת דחק עתידית, יימנע הנאשם מבחירה בצריכה ובהפצה של סם מסוכן.</w:t>
      </w:r>
    </w:p>
    <w:p w14:paraId="2AC714E4" w14:textId="77777777" w:rsidR="00BB66AE" w:rsidRDefault="00BB66AE">
      <w:pPr>
        <w:spacing w:line="360" w:lineRule="auto"/>
        <w:ind w:left="720"/>
        <w:jc w:val="both"/>
        <w:rPr>
          <w:rtl/>
        </w:rPr>
      </w:pPr>
    </w:p>
    <w:p w14:paraId="32793842" w14:textId="77777777" w:rsidR="00BB66AE" w:rsidRDefault="00CA68D7">
      <w:pPr>
        <w:spacing w:line="360" w:lineRule="auto"/>
        <w:ind w:left="720"/>
        <w:jc w:val="both"/>
        <w:rPr>
          <w:rtl/>
        </w:rPr>
      </w:pPr>
      <w:r>
        <w:rPr>
          <w:rFonts w:hint="cs"/>
          <w:rtl/>
        </w:rPr>
        <w:t xml:space="preserve">קיבלתי את גישת המאשימה לפיה בהסתיים מסגרתו הנוקשה של ההליך הפלילי ובהעדר שינוי בתפיסות הנאשם את מעשיו, הסיכון הנגלה ממנו טרם אוין, באופן התומך בענישה גמולית משמעותית, שתסמן בעבורו את הפסול הבוטה שבמעשיו. </w:t>
      </w:r>
    </w:p>
    <w:p w14:paraId="6F70161D" w14:textId="77777777" w:rsidR="00BB66AE" w:rsidRDefault="00BB66AE">
      <w:pPr>
        <w:spacing w:line="360" w:lineRule="auto"/>
        <w:ind w:left="720"/>
        <w:jc w:val="both"/>
        <w:rPr>
          <w:rtl/>
        </w:rPr>
      </w:pPr>
    </w:p>
    <w:p w14:paraId="3A0D4415" w14:textId="77777777" w:rsidR="00BB66AE" w:rsidRDefault="00CA68D7">
      <w:pPr>
        <w:spacing w:line="360" w:lineRule="auto"/>
        <w:ind w:left="720" w:hanging="720"/>
        <w:jc w:val="both"/>
        <w:rPr>
          <w:rtl/>
        </w:rPr>
      </w:pPr>
      <w:r>
        <w:rPr>
          <w:rFonts w:hint="cs"/>
          <w:rtl/>
        </w:rPr>
        <w:t>15.</w:t>
      </w:r>
      <w:r>
        <w:rPr>
          <w:rFonts w:hint="cs"/>
          <w:rtl/>
        </w:rPr>
        <w:tab/>
        <w:t xml:space="preserve">נסיבות הזכות לנאשם משמעותיות, אך אין בהן את העוצמה כדי לקבל את עתירת ההגנה לעונש ולהשית על הנאשם עונש פחות ערך ממאסר של ממש. גם כשביקשתי לבחון עונש מאסר לריצוי על דרך עבודות שירות, לאחר שנחה דעתי כי הנאשם אינו מפתח ציפיות אשר לענישתו סופו של יום מעצם הזמנת חוות דעת זו - הבהירו שירות המבחן והממונה על עבודות השירות תנאים נדרשים הן בהתאמת הנאשם לריצוי עונש על דרך זו, אליבא דממונה על עבודות שירות והן בהתייחסות שלילית לסוג עונש זה, אליבא דשירות המבחן.  </w:t>
      </w:r>
    </w:p>
    <w:p w14:paraId="29F9A2B0" w14:textId="77777777" w:rsidR="00BB66AE" w:rsidRDefault="00BB66AE">
      <w:pPr>
        <w:spacing w:line="360" w:lineRule="auto"/>
        <w:ind w:left="720" w:hanging="720"/>
        <w:jc w:val="both"/>
        <w:rPr>
          <w:rtl/>
        </w:rPr>
      </w:pPr>
    </w:p>
    <w:p w14:paraId="68E2F13B" w14:textId="77777777" w:rsidR="00BB66AE" w:rsidRDefault="00CA68D7">
      <w:pPr>
        <w:spacing w:line="360" w:lineRule="auto"/>
        <w:ind w:left="720"/>
        <w:jc w:val="both"/>
        <w:rPr>
          <w:rtl/>
        </w:rPr>
      </w:pPr>
      <w:r>
        <w:rPr>
          <w:rFonts w:hint="cs"/>
          <w:rtl/>
        </w:rPr>
        <w:t xml:space="preserve">שירות המבחן לימד מעין "תנאי" לאפשרות שילוב הנאשם בעבודות שירות, הקשור לצורך לשמר תעסוקתו על מנת שיימשך הליך שיקומו. ככל שמעוניין הנאשם לשקם את אורחותיו, פניותו צריכה שתהיה ללא תנאים. שיקום קשור במניעים פנימיים המתגבשים כדי רצון לערוך שינוי בהתנהלות קיימת ולמנוע התנהלות עבריינית עתידית. קיים קושי בהגדרת סיכוי ממשי לשיקום, בהינתן תנאים כאלו ואחרים המוערמים על סוג עונש שטיבו שיקומי. </w:t>
      </w:r>
    </w:p>
    <w:p w14:paraId="654D6695" w14:textId="77777777" w:rsidR="00BB66AE" w:rsidRDefault="00BB66AE">
      <w:pPr>
        <w:spacing w:line="360" w:lineRule="auto"/>
        <w:ind w:left="720"/>
        <w:jc w:val="both"/>
        <w:rPr>
          <w:rtl/>
        </w:rPr>
      </w:pPr>
    </w:p>
    <w:p w14:paraId="65654F86" w14:textId="77777777" w:rsidR="00BB66AE" w:rsidRDefault="00CA68D7">
      <w:pPr>
        <w:spacing w:line="360" w:lineRule="auto"/>
        <w:ind w:left="720"/>
        <w:jc w:val="both"/>
        <w:rPr>
          <w:rtl/>
        </w:rPr>
      </w:pPr>
      <w:r>
        <w:rPr>
          <w:rFonts w:hint="cs"/>
          <w:rtl/>
        </w:rPr>
        <w:t xml:space="preserve">הממונה על עבודות השירות מצא את הנאשם כמתאים לריצוי עונש על דרך זו ומנגד, עתר לשלבו בתכנית טיפולית, ככל שישולב בעבודות שירות, עד שנוצר קשר שאינו אפשרי בין פניות הנאשם לבצע עונש מאסר בעבודות שירות לבין פניותו להמשך השתלבותו בהליך שיקומי. </w:t>
      </w:r>
    </w:p>
    <w:p w14:paraId="7AA8A902" w14:textId="77777777" w:rsidR="00BB66AE" w:rsidRDefault="00BB66AE">
      <w:pPr>
        <w:spacing w:line="360" w:lineRule="auto"/>
        <w:ind w:left="720"/>
        <w:jc w:val="both"/>
        <w:rPr>
          <w:rtl/>
        </w:rPr>
      </w:pPr>
    </w:p>
    <w:p w14:paraId="3368B00F" w14:textId="77777777" w:rsidR="00BB66AE" w:rsidRDefault="00CA68D7">
      <w:pPr>
        <w:spacing w:line="360" w:lineRule="auto"/>
        <w:ind w:left="720"/>
        <w:jc w:val="both"/>
        <w:rPr>
          <w:rFonts w:cs="Times New Roman"/>
          <w:rtl/>
        </w:rPr>
      </w:pPr>
      <w:r>
        <w:rPr>
          <w:rFonts w:hint="cs"/>
          <w:rtl/>
        </w:rPr>
        <w:t xml:space="preserve">לנוכח שיקולי הזכות לנאשם, מצאתי לנכון לילך כברת דרך לקראתו בחריגה לא מבוטלת ממתחם העונש ההולם, על מנת שלא ירחק היום שישוחרר ממאסרו ויוכל להמשיך ולפעול לשיקום אורחותיו. </w:t>
      </w:r>
    </w:p>
    <w:p w14:paraId="5236EC84" w14:textId="77777777" w:rsidR="00BB66AE" w:rsidRDefault="00BB66AE">
      <w:pPr>
        <w:spacing w:line="360" w:lineRule="auto"/>
        <w:ind w:left="360"/>
        <w:jc w:val="both"/>
      </w:pPr>
    </w:p>
    <w:p w14:paraId="201C5F38" w14:textId="77777777" w:rsidR="00BB66AE" w:rsidRDefault="00CA68D7">
      <w:pPr>
        <w:spacing w:line="360" w:lineRule="auto"/>
        <w:ind w:left="720" w:hanging="720"/>
        <w:jc w:val="both"/>
        <w:rPr>
          <w:b/>
          <w:bCs/>
          <w:highlight w:val="yellow"/>
          <w:rtl/>
        </w:rPr>
      </w:pPr>
      <w:r>
        <w:rPr>
          <w:rFonts w:hint="cs"/>
          <w:rtl/>
        </w:rPr>
        <w:t>16.</w:t>
      </w:r>
      <w:r>
        <w:rPr>
          <w:rFonts w:hint="cs"/>
          <w:rtl/>
        </w:rPr>
        <w:tab/>
        <w:t>לא נעלמו מעיני האסמכתאות אליהן הופנו הצדדים. מנגד, כל מקרה נשקל כפי נסיבותיו הייחודיות ולא ניתן לגזור גזירה שווה בין אלו מהאסמכתאות לבין עניינו של הנאשם שמלפניי.</w:t>
      </w:r>
      <w:r>
        <w:rPr>
          <w:rFonts w:hint="cs"/>
          <w:b/>
          <w:bCs/>
          <w:rtl/>
        </w:rPr>
        <w:t xml:space="preserve"> </w:t>
      </w:r>
    </w:p>
    <w:p w14:paraId="7B7DA3F5" w14:textId="77777777" w:rsidR="00BB66AE" w:rsidRDefault="00BB66AE">
      <w:pPr>
        <w:spacing w:line="360" w:lineRule="auto"/>
        <w:ind w:left="720" w:hanging="720"/>
        <w:jc w:val="both"/>
        <w:rPr>
          <w:b/>
          <w:bCs/>
          <w:highlight w:val="yellow"/>
          <w:rtl/>
        </w:rPr>
      </w:pPr>
    </w:p>
    <w:p w14:paraId="1E07EC2F" w14:textId="77777777" w:rsidR="00BB66AE" w:rsidRDefault="00CA68D7">
      <w:pPr>
        <w:spacing w:line="360" w:lineRule="auto"/>
        <w:ind w:left="720"/>
        <w:jc w:val="both"/>
        <w:rPr>
          <w:rtl/>
        </w:rPr>
      </w:pPr>
      <w:r>
        <w:rPr>
          <w:rFonts w:hint="cs"/>
          <w:rtl/>
        </w:rPr>
        <w:t xml:space="preserve">רק אציין כי בעניין </w:t>
      </w:r>
      <w:hyperlink r:id="rId38" w:history="1">
        <w:r w:rsidR="00D66547" w:rsidRPr="00D66547">
          <w:rPr>
            <w:rStyle w:val="Hyperlink"/>
            <w:rFonts w:hint="eastAsia"/>
            <w:rtl/>
          </w:rPr>
          <w:t>ע</w:t>
        </w:r>
        <w:r w:rsidR="00D66547" w:rsidRPr="00D66547">
          <w:rPr>
            <w:rStyle w:val="Hyperlink"/>
            <w:rtl/>
          </w:rPr>
          <w:t>"פ 8092-04</w:t>
        </w:r>
      </w:hyperlink>
      <w:r>
        <w:rPr>
          <w:rFonts w:hint="cs"/>
          <w:rtl/>
        </w:rPr>
        <w:t xml:space="preserve"> - חביב נ' מ"י (11.9.06), כהפניית הסנגור, דובר בנאשם שהשיג הישג שיקומי "נדיר במחוזותינו" ובהליך שיקומי מורכב בעל תוצאות מרשימות במיוחד, שלא כבעניינו של הנאשם שמלפניי. </w:t>
      </w:r>
    </w:p>
    <w:p w14:paraId="30FC9C6B" w14:textId="77777777" w:rsidR="00BB66AE" w:rsidRDefault="00BB66AE">
      <w:pPr>
        <w:spacing w:line="360" w:lineRule="auto"/>
        <w:jc w:val="both"/>
      </w:pPr>
    </w:p>
    <w:p w14:paraId="66098A70" w14:textId="77777777" w:rsidR="00BB66AE" w:rsidRDefault="00CA68D7">
      <w:pPr>
        <w:spacing w:line="360" w:lineRule="auto"/>
        <w:jc w:val="both"/>
        <w:rPr>
          <w:rFonts w:cs="Times New Roman"/>
          <w:b/>
          <w:bCs/>
          <w:u w:val="single"/>
          <w:rtl/>
        </w:rPr>
      </w:pPr>
      <w:r>
        <w:rPr>
          <w:rFonts w:hint="cs"/>
          <w:b/>
          <w:bCs/>
          <w:u w:val="single"/>
          <w:rtl/>
        </w:rPr>
        <w:t xml:space="preserve">סוף דבר </w:t>
      </w:r>
    </w:p>
    <w:p w14:paraId="1710D52A" w14:textId="77777777" w:rsidR="00BB66AE" w:rsidRDefault="00BB66AE">
      <w:pPr>
        <w:spacing w:line="360" w:lineRule="auto"/>
        <w:ind w:left="720"/>
        <w:jc w:val="both"/>
        <w:rPr>
          <w:rtl/>
        </w:rPr>
      </w:pPr>
    </w:p>
    <w:p w14:paraId="7BCE6400" w14:textId="77777777" w:rsidR="00BB66AE" w:rsidRDefault="00CA68D7">
      <w:pPr>
        <w:pStyle w:val="a"/>
        <w:numPr>
          <w:ilvl w:val="0"/>
          <w:numId w:val="0"/>
        </w:numPr>
        <w:ind w:left="720" w:hanging="720"/>
        <w:rPr>
          <w:rFonts w:cs="David"/>
          <w:rtl/>
        </w:rPr>
      </w:pPr>
      <w:r>
        <w:rPr>
          <w:rFonts w:cs="David" w:hint="cs"/>
          <w:rtl/>
        </w:rPr>
        <w:t>17.</w:t>
      </w:r>
      <w:r>
        <w:rPr>
          <w:rFonts w:cs="David" w:hint="cs"/>
          <w:rtl/>
        </w:rPr>
        <w:tab/>
        <w:t xml:space="preserve">במבוקשי לאתר יחס הולם בין ריבוי מעשי העבירות בנסיבותיהם ומידת אשמו של הנאשם שאינו מפנים את מלוא חומרתם, לבין סוג ומידת העונש שיושת עליו - שוכנעתי כי יש מקום לגזור עליו תקופת מאסר קצרה לריצוי מאחורי סורג ובריח, בתוספת למאסר מותנה. </w:t>
      </w:r>
    </w:p>
    <w:p w14:paraId="37DF5999" w14:textId="77777777" w:rsidR="00BB66AE" w:rsidRDefault="00BB66AE">
      <w:pPr>
        <w:pStyle w:val="a"/>
        <w:numPr>
          <w:ilvl w:val="0"/>
          <w:numId w:val="0"/>
        </w:numPr>
        <w:ind w:left="720" w:hanging="720"/>
        <w:rPr>
          <w:rFonts w:cs="David"/>
          <w:rtl/>
        </w:rPr>
      </w:pPr>
    </w:p>
    <w:p w14:paraId="0E7D1754" w14:textId="77777777" w:rsidR="00BB66AE" w:rsidRDefault="00CA68D7">
      <w:pPr>
        <w:spacing w:line="360" w:lineRule="auto"/>
        <w:jc w:val="both"/>
        <w:rPr>
          <w:rtl/>
        </w:rPr>
      </w:pPr>
      <w:r>
        <w:rPr>
          <w:rFonts w:hint="cs"/>
          <w:rtl/>
        </w:rPr>
        <w:t>18.</w:t>
      </w:r>
      <w:r>
        <w:rPr>
          <w:rFonts w:hint="cs"/>
          <w:rtl/>
        </w:rPr>
        <w:tab/>
        <w:t xml:space="preserve">אני קובע בעניינו של הנאשם את העונשים, כדלקמן – </w:t>
      </w:r>
    </w:p>
    <w:p w14:paraId="6FF4B5B3" w14:textId="77777777" w:rsidR="00BB66AE" w:rsidRDefault="00BB66AE">
      <w:pPr>
        <w:spacing w:line="360" w:lineRule="auto"/>
        <w:ind w:left="360" w:firstLine="360"/>
        <w:jc w:val="both"/>
        <w:rPr>
          <w:rFonts w:eastAsia="Calibri"/>
          <w:b/>
          <w:bCs/>
        </w:rPr>
      </w:pPr>
    </w:p>
    <w:p w14:paraId="19EB791C" w14:textId="77777777" w:rsidR="00BB66AE" w:rsidRDefault="00CA68D7">
      <w:pPr>
        <w:spacing w:line="360" w:lineRule="auto"/>
        <w:ind w:left="360" w:firstLine="360"/>
        <w:jc w:val="both"/>
        <w:rPr>
          <w:rtl/>
        </w:rPr>
      </w:pPr>
      <w:r>
        <w:rPr>
          <w:rFonts w:hint="cs"/>
          <w:b/>
          <w:bCs/>
          <w:rtl/>
        </w:rPr>
        <w:t>מאסר בפועל</w:t>
      </w:r>
      <w:r w:rsidR="00D66547">
        <w:rPr>
          <w:rFonts w:hint="cs"/>
          <w:rtl/>
        </w:rPr>
        <w:t xml:space="preserve"> </w:t>
      </w:r>
      <w:r>
        <w:rPr>
          <w:rFonts w:hint="cs"/>
          <w:rtl/>
        </w:rPr>
        <w:t xml:space="preserve"> - לתקופה של 5 חודשים. בהפחתת ימי מעצרו 9-15.3.11. </w:t>
      </w:r>
    </w:p>
    <w:p w14:paraId="7991DBFE" w14:textId="77777777" w:rsidR="00BB66AE" w:rsidRDefault="00CA68D7">
      <w:pPr>
        <w:spacing w:line="360" w:lineRule="auto"/>
        <w:ind w:left="720"/>
        <w:jc w:val="both"/>
      </w:pPr>
      <w:r>
        <w:rPr>
          <w:rFonts w:hint="cs"/>
          <w:b/>
          <w:bCs/>
          <w:rtl/>
        </w:rPr>
        <w:t>הנאשם יתייצב לתחילת ריצוי עונשו במזכירות הפלילית של בית משפט זה היום עד השעה 14</w:t>
      </w:r>
      <w:r>
        <w:rPr>
          <w:rFonts w:hint="cs"/>
          <w:rtl/>
        </w:rPr>
        <w:t>:</w:t>
      </w:r>
      <w:r>
        <w:rPr>
          <w:rFonts w:hint="cs"/>
          <w:b/>
          <w:bCs/>
          <w:rtl/>
        </w:rPr>
        <w:t>00</w:t>
      </w:r>
      <w:r>
        <w:rPr>
          <w:rFonts w:hint="cs"/>
          <w:rtl/>
        </w:rPr>
        <w:t xml:space="preserve">. </w:t>
      </w:r>
    </w:p>
    <w:p w14:paraId="6BB1A1A5" w14:textId="77777777" w:rsidR="00BB66AE" w:rsidRDefault="00BB66AE">
      <w:pPr>
        <w:spacing w:line="360" w:lineRule="auto"/>
        <w:ind w:left="360" w:firstLine="360"/>
        <w:jc w:val="both"/>
        <w:rPr>
          <w:rtl/>
        </w:rPr>
      </w:pPr>
    </w:p>
    <w:p w14:paraId="1893393F" w14:textId="77777777" w:rsidR="00BB66AE" w:rsidRDefault="00CA68D7">
      <w:pPr>
        <w:spacing w:line="360" w:lineRule="auto"/>
        <w:ind w:left="720"/>
        <w:jc w:val="both"/>
        <w:rPr>
          <w:rtl/>
        </w:rPr>
      </w:pPr>
      <w:r>
        <w:rPr>
          <w:rFonts w:hint="cs"/>
          <w:b/>
          <w:bCs/>
          <w:rtl/>
        </w:rPr>
        <w:t>מאסר על תנאי</w:t>
      </w:r>
      <w:r w:rsidR="00D66547">
        <w:rPr>
          <w:rFonts w:hint="cs"/>
          <w:rtl/>
        </w:rPr>
        <w:t xml:space="preserve"> </w:t>
      </w:r>
      <w:r>
        <w:rPr>
          <w:rFonts w:hint="cs"/>
          <w:rtl/>
        </w:rPr>
        <w:t xml:space="preserve"> - לתקופה של 6 חודשים. הנאשם יישא בעונש זה אם בתקופה של שלוש שנים מיום שחרורו יעבור עבירה נוספת מסוג פשע על פי הפקודה.</w:t>
      </w:r>
    </w:p>
    <w:p w14:paraId="6307D491" w14:textId="77777777" w:rsidR="00BB66AE" w:rsidRDefault="00BB66AE">
      <w:pPr>
        <w:spacing w:line="360" w:lineRule="auto"/>
        <w:ind w:left="720"/>
        <w:jc w:val="both"/>
        <w:rPr>
          <w:rtl/>
        </w:rPr>
      </w:pPr>
    </w:p>
    <w:p w14:paraId="3E729EBC" w14:textId="77777777" w:rsidR="00BB66AE" w:rsidRDefault="00CA68D7">
      <w:pPr>
        <w:spacing w:line="360" w:lineRule="auto"/>
        <w:ind w:left="720"/>
        <w:jc w:val="both"/>
        <w:rPr>
          <w:rtl/>
        </w:rPr>
      </w:pPr>
      <w:r>
        <w:rPr>
          <w:rFonts w:hint="cs"/>
          <w:b/>
          <w:bCs/>
          <w:rtl/>
        </w:rPr>
        <w:t>מאסר על תנאי</w:t>
      </w:r>
      <w:r w:rsidR="00D66547">
        <w:rPr>
          <w:rFonts w:hint="cs"/>
          <w:rtl/>
        </w:rPr>
        <w:t xml:space="preserve"> </w:t>
      </w:r>
      <w:r>
        <w:rPr>
          <w:rFonts w:hint="cs"/>
          <w:rtl/>
        </w:rPr>
        <w:t xml:space="preserve"> - לתקופה של 3 חודשים. הנאשם יישא בעונש זה אם בתקופה של שלוש שנים מיום שחרורו יעבור עבירה נוספת מסוג עוון על פי הפקודה.</w:t>
      </w:r>
    </w:p>
    <w:p w14:paraId="4E4066E4" w14:textId="77777777" w:rsidR="00BB66AE" w:rsidRDefault="00BB66AE">
      <w:pPr>
        <w:spacing w:line="360" w:lineRule="auto"/>
        <w:ind w:left="720"/>
        <w:jc w:val="both"/>
        <w:rPr>
          <w:rtl/>
        </w:rPr>
      </w:pPr>
    </w:p>
    <w:p w14:paraId="17B81571" w14:textId="77777777" w:rsidR="00BB66AE" w:rsidRDefault="00CA68D7">
      <w:pPr>
        <w:spacing w:line="360" w:lineRule="auto"/>
        <w:ind w:left="720"/>
        <w:jc w:val="both"/>
        <w:rPr>
          <w:rtl/>
        </w:rPr>
      </w:pPr>
      <w:r w:rsidRPr="00CA68D7">
        <w:rPr>
          <w:b/>
          <w:bCs/>
          <w:color w:val="FFFFFF"/>
          <w:sz w:val="2"/>
          <w:szCs w:val="2"/>
          <w:rtl/>
        </w:rPr>
        <w:t>5129371</w:t>
      </w:r>
      <w:r>
        <w:rPr>
          <w:rFonts w:hint="cs"/>
          <w:b/>
          <w:bCs/>
          <w:rtl/>
        </w:rPr>
        <w:t>התחייבות</w:t>
      </w:r>
      <w:r>
        <w:rPr>
          <w:rFonts w:hint="cs"/>
          <w:rtl/>
        </w:rPr>
        <w:t xml:space="preserve"> - הנאשם יחתום על התחייבות בסכום של 15,000 ש"ח, להימנע מלעבור במשך שלוש שנים מיום שחרורו על כל עבירה על פי הפקודה, שאם לא יחתום על התחייבות כאמור ייאסר למשך 15 ימים. </w:t>
      </w:r>
    </w:p>
    <w:p w14:paraId="0C1B5703" w14:textId="77777777" w:rsidR="00BB66AE" w:rsidRPr="00CA68D7" w:rsidRDefault="00CA68D7">
      <w:pPr>
        <w:spacing w:line="360" w:lineRule="auto"/>
        <w:ind w:left="720"/>
        <w:jc w:val="both"/>
        <w:rPr>
          <w:color w:val="FFFFFF"/>
          <w:sz w:val="2"/>
          <w:szCs w:val="2"/>
          <w:rtl/>
        </w:rPr>
      </w:pPr>
      <w:r w:rsidRPr="00CA68D7">
        <w:rPr>
          <w:color w:val="FFFFFF"/>
          <w:sz w:val="2"/>
          <w:szCs w:val="2"/>
          <w:rtl/>
        </w:rPr>
        <w:t>54678313</w:t>
      </w:r>
    </w:p>
    <w:p w14:paraId="0FE5C218" w14:textId="77777777" w:rsidR="00CA68D7" w:rsidRPr="00CA68D7" w:rsidRDefault="00CA68D7" w:rsidP="00CA68D7">
      <w:pPr>
        <w:keepNext/>
        <w:spacing w:line="360" w:lineRule="auto"/>
        <w:rPr>
          <w:rFonts w:ascii="David" w:hAnsi="David" w:hint="cs"/>
          <w:color w:val="000000"/>
          <w:sz w:val="22"/>
          <w:szCs w:val="22"/>
          <w:rtl/>
        </w:rPr>
      </w:pPr>
    </w:p>
    <w:p w14:paraId="7C53C870" w14:textId="77777777" w:rsidR="00CA68D7" w:rsidRPr="00CA68D7" w:rsidRDefault="00CA68D7" w:rsidP="00CA68D7">
      <w:pPr>
        <w:keepNext/>
        <w:spacing w:line="360" w:lineRule="auto"/>
        <w:rPr>
          <w:rFonts w:ascii="David" w:hAnsi="David"/>
          <w:color w:val="000000"/>
          <w:sz w:val="22"/>
          <w:szCs w:val="22"/>
          <w:rtl/>
        </w:rPr>
      </w:pPr>
      <w:r w:rsidRPr="00CA68D7">
        <w:rPr>
          <w:rFonts w:ascii="David" w:hAnsi="David"/>
          <w:color w:val="000000"/>
          <w:sz w:val="22"/>
          <w:szCs w:val="22"/>
          <w:rtl/>
        </w:rPr>
        <w:t>הה ארז יקואל 54678313</w:t>
      </w:r>
    </w:p>
    <w:p w14:paraId="353D79F5" w14:textId="77777777" w:rsidR="00BB66AE" w:rsidRDefault="00CA68D7">
      <w:pPr>
        <w:spacing w:line="360" w:lineRule="auto"/>
        <w:ind w:left="360"/>
        <w:jc w:val="both"/>
        <w:rPr>
          <w:rtl/>
        </w:rPr>
      </w:pPr>
      <w:r>
        <w:rPr>
          <w:rFonts w:hint="cs"/>
          <w:rtl/>
        </w:rPr>
        <w:tab/>
        <w:t>מוצגים – סמים מסוכנים – השמדה</w:t>
      </w:r>
      <w:r>
        <w:rPr>
          <w:rFonts w:cs="Times New Roman" w:hint="cs"/>
          <w:rtl/>
        </w:rPr>
        <w:t xml:space="preserve">. </w:t>
      </w:r>
    </w:p>
    <w:p w14:paraId="127C7CDB" w14:textId="77777777" w:rsidR="00BB66AE" w:rsidRDefault="00BB66AE">
      <w:pPr>
        <w:spacing w:line="360" w:lineRule="auto"/>
        <w:ind w:left="360"/>
        <w:jc w:val="both"/>
        <w:rPr>
          <w:rtl/>
        </w:rPr>
      </w:pPr>
    </w:p>
    <w:p w14:paraId="4CCE90A9" w14:textId="77777777" w:rsidR="00BB66AE" w:rsidRDefault="00CA68D7">
      <w:pPr>
        <w:jc w:val="right"/>
      </w:pPr>
      <w:r>
        <w:rPr>
          <w:rFonts w:ascii="Arial" w:hAnsi="Arial"/>
          <w:rtl/>
        </w:rPr>
        <w:t xml:space="preserve">ניתן היום,  ב' ניסן תשע"ג, 13 מרץ 2013, במעמד הצדדים. </w:t>
      </w:r>
    </w:p>
    <w:p w14:paraId="2B907897" w14:textId="77777777" w:rsidR="00CA68D7" w:rsidRDefault="00CA68D7" w:rsidP="00CA68D7">
      <w:r w:rsidRPr="00CA68D7">
        <w:rPr>
          <w:color w:val="000000"/>
          <w:rtl/>
        </w:rPr>
        <w:t>נוסח מסמך זה כפוף לשינויי ניסוח ועריכה</w:t>
      </w:r>
    </w:p>
    <w:p w14:paraId="606F007C" w14:textId="77777777" w:rsidR="00CA68D7" w:rsidRDefault="00CA68D7" w:rsidP="00CA68D7">
      <w:pPr>
        <w:rPr>
          <w:rtl/>
        </w:rPr>
      </w:pPr>
    </w:p>
    <w:p w14:paraId="1D7287C4" w14:textId="77777777" w:rsidR="00CA68D7" w:rsidRDefault="00CA68D7" w:rsidP="00CA68D7">
      <w:pPr>
        <w:jc w:val="center"/>
        <w:rPr>
          <w:color w:val="0000FF"/>
          <w:u w:val="single"/>
        </w:rPr>
      </w:pPr>
      <w:r w:rsidRPr="00F30852">
        <w:rPr>
          <w:color w:val="000000"/>
          <w:rtl/>
        </w:rPr>
        <w:t>בעניין עריכה ושינויים במסמכי פסיקה, חקיקה ועוד באתר נבו – הקש כאן</w:t>
      </w:r>
    </w:p>
    <w:p w14:paraId="4DCF2133" w14:textId="77777777" w:rsidR="00BB66AE" w:rsidRPr="00CA68D7" w:rsidRDefault="00BB66AE" w:rsidP="00CA68D7">
      <w:pPr>
        <w:jc w:val="center"/>
        <w:rPr>
          <w:color w:val="0000FF"/>
          <w:u w:val="single"/>
        </w:rPr>
      </w:pPr>
    </w:p>
    <w:sectPr w:rsidR="00BB66AE" w:rsidRPr="00CA68D7" w:rsidSect="00CA68D7">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F957F" w14:textId="77777777" w:rsidR="00DA60ED" w:rsidRPr="008E3BD1" w:rsidRDefault="00DA60ED">
      <w:pPr>
        <w:rPr>
          <w:rFonts w:cs="Arial"/>
          <w:szCs w:val="20"/>
        </w:rPr>
      </w:pPr>
      <w:r>
        <w:separator/>
      </w:r>
    </w:p>
  </w:endnote>
  <w:endnote w:type="continuationSeparator" w:id="0">
    <w:p w14:paraId="7AE36F59" w14:textId="77777777" w:rsidR="00DA60ED" w:rsidRPr="008E3BD1" w:rsidRDefault="00DA60E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05E6A" w14:textId="77777777" w:rsidR="00141998" w:rsidRDefault="00141998" w:rsidP="00CA68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772BEC1" w14:textId="77777777" w:rsidR="00141998" w:rsidRPr="00CA68D7" w:rsidRDefault="00141998" w:rsidP="00CA68D7">
    <w:pPr>
      <w:pStyle w:val="a5"/>
      <w:pBdr>
        <w:top w:val="single" w:sz="4" w:space="1" w:color="auto"/>
        <w:between w:val="single" w:sz="4" w:space="0" w:color="auto"/>
      </w:pBdr>
      <w:spacing w:after="60"/>
      <w:jc w:val="center"/>
      <w:rPr>
        <w:rFonts w:ascii="FrankRuehl" w:hAnsi="FrankRuehl" w:cs="FrankRuehl"/>
        <w:color w:val="000000"/>
      </w:rPr>
    </w:pPr>
    <w:r w:rsidRPr="00CA68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47FC3" w14:textId="77777777" w:rsidR="00141998" w:rsidRDefault="00141998" w:rsidP="00CA68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6766">
      <w:rPr>
        <w:rFonts w:ascii="FrankRuehl" w:hAnsi="FrankRuehl" w:cs="FrankRuehl"/>
        <w:noProof/>
        <w:rtl/>
      </w:rPr>
      <w:t>1</w:t>
    </w:r>
    <w:r>
      <w:rPr>
        <w:rFonts w:ascii="FrankRuehl" w:hAnsi="FrankRuehl" w:cs="FrankRuehl"/>
        <w:rtl/>
      </w:rPr>
      <w:fldChar w:fldCharType="end"/>
    </w:r>
  </w:p>
  <w:p w14:paraId="09063EE6" w14:textId="77777777" w:rsidR="00141998" w:rsidRPr="00CA68D7" w:rsidRDefault="00141998" w:rsidP="00CA68D7">
    <w:pPr>
      <w:pStyle w:val="a5"/>
      <w:pBdr>
        <w:top w:val="single" w:sz="4" w:space="1" w:color="auto"/>
        <w:between w:val="single" w:sz="4" w:space="0" w:color="auto"/>
      </w:pBdr>
      <w:spacing w:after="60"/>
      <w:jc w:val="center"/>
      <w:rPr>
        <w:rFonts w:ascii="FrankRuehl" w:hAnsi="FrankRuehl" w:cs="FrankRuehl"/>
        <w:color w:val="000000"/>
      </w:rPr>
    </w:pPr>
    <w:r w:rsidRPr="00CA68D7">
      <w:rPr>
        <w:rFonts w:ascii="FrankRuehl" w:hAnsi="FrankRuehl" w:cs="FrankRuehl"/>
        <w:color w:val="000000"/>
      </w:rPr>
      <w:pict w14:anchorId="35DD9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BC15B" w14:textId="77777777" w:rsidR="00DA60ED" w:rsidRPr="008E3BD1" w:rsidRDefault="00DA60ED">
      <w:pPr>
        <w:rPr>
          <w:rFonts w:cs="Arial"/>
          <w:szCs w:val="20"/>
        </w:rPr>
      </w:pPr>
      <w:r>
        <w:separator/>
      </w:r>
    </w:p>
  </w:footnote>
  <w:footnote w:type="continuationSeparator" w:id="0">
    <w:p w14:paraId="0FA41619" w14:textId="77777777" w:rsidR="00DA60ED" w:rsidRPr="008E3BD1" w:rsidRDefault="00DA60E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FF892" w14:textId="77777777" w:rsidR="00141998" w:rsidRPr="00CA68D7" w:rsidRDefault="00141998" w:rsidP="00CA68D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17468-03-11</w:t>
    </w:r>
    <w:r>
      <w:rPr>
        <w:rFonts w:ascii="David" w:hAnsi="David"/>
        <w:color w:val="000000"/>
        <w:sz w:val="22"/>
        <w:szCs w:val="22"/>
        <w:rtl/>
      </w:rPr>
      <w:tab/>
      <w:t xml:space="preserve"> מדינת ישראל נ' אלון בורשטיין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7D7F" w14:textId="77777777" w:rsidR="00141998" w:rsidRPr="00CA68D7" w:rsidRDefault="00141998" w:rsidP="00CA68D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17468-03-11</w:t>
    </w:r>
    <w:r>
      <w:rPr>
        <w:rFonts w:ascii="David" w:hAnsi="David"/>
        <w:color w:val="000000"/>
        <w:sz w:val="22"/>
        <w:szCs w:val="22"/>
        <w:rtl/>
      </w:rPr>
      <w:tab/>
      <w:t xml:space="preserve"> מדינת ישראל נ' אלון בורשטיין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2E6C522"/>
    <w:lvl w:ilvl="0">
      <w:start w:val="1"/>
      <w:numFmt w:val="decimal"/>
      <w:pStyle w:val="a"/>
      <w:lvlText w:val="%1."/>
      <w:lvlJc w:val="left"/>
      <w:pPr>
        <w:tabs>
          <w:tab w:val="num" w:pos="360"/>
        </w:tabs>
        <w:ind w:left="360" w:hanging="360"/>
      </w:pPr>
      <w:rPr>
        <w:rFonts w:cs="Times New Roman"/>
      </w:rPr>
    </w:lvl>
  </w:abstractNum>
  <w:num w:numId="1" w16cid:durableId="127405091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66AE"/>
    <w:rsid w:val="000177A9"/>
    <w:rsid w:val="00141998"/>
    <w:rsid w:val="001709A3"/>
    <w:rsid w:val="006F7FDA"/>
    <w:rsid w:val="00776766"/>
    <w:rsid w:val="00786E07"/>
    <w:rsid w:val="00BB58F0"/>
    <w:rsid w:val="00BB66AE"/>
    <w:rsid w:val="00CA68D7"/>
    <w:rsid w:val="00CD15BA"/>
    <w:rsid w:val="00D66547"/>
    <w:rsid w:val="00DA60ED"/>
    <w:rsid w:val="00F20E20"/>
    <w:rsid w:val="00F30852"/>
    <w:rsid w:val="00F82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322331"/>
  <w15:chartTrackingRefBased/>
  <w15:docId w15:val="{1104A979-6331-4F17-8B0F-A8A409FD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B66AE"/>
    <w:pPr>
      <w:bidi/>
    </w:pPr>
    <w:rPr>
      <w:rFonts w:cs="David"/>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BB66AE"/>
    <w:pPr>
      <w:tabs>
        <w:tab w:val="center" w:pos="4153"/>
        <w:tab w:val="right" w:pos="8306"/>
      </w:tabs>
    </w:pPr>
  </w:style>
  <w:style w:type="paragraph" w:styleId="a5">
    <w:name w:val="footer"/>
    <w:basedOn w:val="a0"/>
    <w:rsid w:val="00BB66AE"/>
    <w:pPr>
      <w:tabs>
        <w:tab w:val="center" w:pos="4153"/>
        <w:tab w:val="right" w:pos="8306"/>
      </w:tabs>
    </w:pPr>
  </w:style>
  <w:style w:type="character" w:styleId="a6">
    <w:name w:val="page number"/>
    <w:basedOn w:val="a1"/>
    <w:rsid w:val="00BB66AE"/>
  </w:style>
  <w:style w:type="paragraph" w:styleId="a">
    <w:name w:val="List Number"/>
    <w:basedOn w:val="a0"/>
    <w:rsid w:val="00BB66AE"/>
    <w:pPr>
      <w:numPr>
        <w:numId w:val="1"/>
      </w:numPr>
      <w:spacing w:after="120" w:line="360" w:lineRule="auto"/>
      <w:ind w:left="357" w:hanging="357"/>
      <w:jc w:val="both"/>
    </w:pPr>
    <w:rPr>
      <w:rFonts w:eastAsia="Calibri" w:cs="Times New Roman"/>
    </w:rPr>
  </w:style>
  <w:style w:type="paragraph" w:customStyle="1" w:styleId="Ruller4">
    <w:name w:val="Ruller4"/>
    <w:basedOn w:val="a0"/>
    <w:rsid w:val="00BB66AE"/>
    <w:pPr>
      <w:overflowPunct w:val="0"/>
      <w:autoSpaceDE w:val="0"/>
      <w:autoSpaceDN w:val="0"/>
      <w:spacing w:line="360" w:lineRule="auto"/>
      <w:jc w:val="both"/>
    </w:pPr>
    <w:rPr>
      <w:rFonts w:ascii="Arial TUR" w:eastAsia="Calibri" w:hAnsi="Arial TUR" w:cs="Arial TUR"/>
      <w:spacing w:val="10"/>
      <w:sz w:val="22"/>
      <w:szCs w:val="22"/>
      <w:lang w:eastAsia="he-IL"/>
    </w:rPr>
  </w:style>
  <w:style w:type="paragraph" w:customStyle="1" w:styleId="ruller40">
    <w:name w:val="ruller4"/>
    <w:basedOn w:val="a0"/>
    <w:rsid w:val="00BB66AE"/>
    <w:pPr>
      <w:overflowPunct w:val="0"/>
      <w:autoSpaceDE w:val="0"/>
      <w:autoSpaceDN w:val="0"/>
      <w:spacing w:line="360" w:lineRule="auto"/>
      <w:jc w:val="both"/>
    </w:pPr>
    <w:rPr>
      <w:rFonts w:ascii="Arial TUR" w:eastAsia="Calibri" w:hAnsi="Arial TUR" w:cs="Arial TUR"/>
      <w:spacing w:val="10"/>
      <w:sz w:val="22"/>
      <w:szCs w:val="22"/>
      <w:lang w:eastAsia="he-IL"/>
    </w:rPr>
  </w:style>
  <w:style w:type="paragraph" w:customStyle="1" w:styleId="12">
    <w:name w:val="12"/>
    <w:basedOn w:val="a0"/>
    <w:rsid w:val="00BB66AE"/>
    <w:pPr>
      <w:spacing w:line="360" w:lineRule="auto"/>
      <w:jc w:val="both"/>
    </w:pPr>
    <w:rPr>
      <w:rFonts w:ascii="Arial" w:hAnsi="Arial" w:cs="Times New Roman"/>
      <w:b/>
      <w:bCs/>
      <w:u w:val="single"/>
      <w:lang w:eastAsia="he-IL"/>
    </w:rPr>
  </w:style>
  <w:style w:type="character" w:styleId="a7">
    <w:name w:val="line number"/>
    <w:basedOn w:val="a1"/>
    <w:rsid w:val="00BB66AE"/>
  </w:style>
  <w:style w:type="character" w:styleId="Hyperlink">
    <w:name w:val="Hyperlink"/>
    <w:rsid w:val="00CA6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40b" TargetMode="External"/><Relationship Id="rId39" Type="http://schemas.openxmlformats.org/officeDocument/2006/relationships/header" Target="header1.xml"/><Relationship Id="rId21" Type="http://schemas.openxmlformats.org/officeDocument/2006/relationships/hyperlink" Target="http://www.nevo.co.il/law/4216" TargetMode="External"/><Relationship Id="rId34" Type="http://schemas.openxmlformats.org/officeDocument/2006/relationships/hyperlink" Target="http://www.nevo.co.il/case/5805976"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d.a" TargetMode="External"/><Relationship Id="rId20" Type="http://schemas.openxmlformats.org/officeDocument/2006/relationships/hyperlink" Target="http://www.nevo.co.il/law/4216/19" TargetMode="External"/><Relationship Id="rId29" Type="http://schemas.openxmlformats.org/officeDocument/2006/relationships/hyperlink" Target="http://www.nevo.co.il/case/2252018"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4216/10" TargetMode="External"/><Relationship Id="rId32" Type="http://schemas.openxmlformats.org/officeDocument/2006/relationships/hyperlink" Target="http://www.nevo.co.il/case/4266129" TargetMode="External"/><Relationship Id="rId37" Type="http://schemas.openxmlformats.org/officeDocument/2006/relationships/hyperlink" Target="http://www.nevo.co.il/law/70301/40d.b"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c.a"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5953822" TargetMode="External"/><Relationship Id="rId36" Type="http://schemas.openxmlformats.org/officeDocument/2006/relationships/hyperlink" Target="http://www.nevo.co.il/law/70301/40d.a" TargetMode="External"/><Relationship Id="rId10" Type="http://schemas.openxmlformats.org/officeDocument/2006/relationships/hyperlink" Target="http://www.nevo.co.il/law/4216/10"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530196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5698919" TargetMode="External"/><Relationship Id="rId30" Type="http://schemas.openxmlformats.org/officeDocument/2006/relationships/hyperlink" Target="http://www.nevo.co.il/case/2397949" TargetMode="External"/><Relationship Id="rId35" Type="http://schemas.openxmlformats.org/officeDocument/2006/relationships/hyperlink" Target="http://www.nevo.co.il/law/70301/40ja"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9" TargetMode="External"/><Relationship Id="rId17" Type="http://schemas.openxmlformats.org/officeDocument/2006/relationships/hyperlink" Target="http://www.nevo.co.il/law/70301/40d.b"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6171235" TargetMode="External"/><Relationship Id="rId38" Type="http://schemas.openxmlformats.org/officeDocument/2006/relationships/hyperlink" Target="http://www.nevo.co.il/case/612059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2376</Words>
  <Characters>11883</Characters>
  <Application>Microsoft Office Word</Application>
  <DocSecurity>0</DocSecurity>
  <Lines>99</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14231</CharactersWithSpaces>
  <SharedDoc>false</SharedDoc>
  <HLinks>
    <vt:vector size="192" baseType="variant">
      <vt:variant>
        <vt:i4>3145852</vt:i4>
      </vt:variant>
      <vt:variant>
        <vt:i4>93</vt:i4>
      </vt:variant>
      <vt:variant>
        <vt:i4>0</vt:i4>
      </vt:variant>
      <vt:variant>
        <vt:i4>5</vt:i4>
      </vt:variant>
      <vt:variant>
        <vt:lpwstr>http://www.nevo.co.il/case/6120591</vt:lpwstr>
      </vt:variant>
      <vt:variant>
        <vt:lpwstr/>
      </vt:variant>
      <vt:variant>
        <vt:i4>4915205</vt:i4>
      </vt:variant>
      <vt:variant>
        <vt:i4>90</vt:i4>
      </vt:variant>
      <vt:variant>
        <vt:i4>0</vt:i4>
      </vt:variant>
      <vt:variant>
        <vt:i4>5</vt:i4>
      </vt:variant>
      <vt:variant>
        <vt:lpwstr>http://www.nevo.co.il/law/70301/40d.b</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3801214</vt:i4>
      </vt:variant>
      <vt:variant>
        <vt:i4>81</vt:i4>
      </vt:variant>
      <vt:variant>
        <vt:i4>0</vt:i4>
      </vt:variant>
      <vt:variant>
        <vt:i4>5</vt:i4>
      </vt:variant>
      <vt:variant>
        <vt:lpwstr>http://www.nevo.co.il/case/5805976</vt:lpwstr>
      </vt:variant>
      <vt:variant>
        <vt:lpwstr/>
      </vt:variant>
      <vt:variant>
        <vt:i4>3539063</vt:i4>
      </vt:variant>
      <vt:variant>
        <vt:i4>78</vt:i4>
      </vt:variant>
      <vt:variant>
        <vt:i4>0</vt:i4>
      </vt:variant>
      <vt:variant>
        <vt:i4>5</vt:i4>
      </vt:variant>
      <vt:variant>
        <vt:lpwstr>http://www.nevo.co.il/case/6171235</vt:lpwstr>
      </vt:variant>
      <vt:variant>
        <vt:lpwstr/>
      </vt:variant>
      <vt:variant>
        <vt:i4>3801202</vt:i4>
      </vt:variant>
      <vt:variant>
        <vt:i4>75</vt:i4>
      </vt:variant>
      <vt:variant>
        <vt:i4>0</vt:i4>
      </vt:variant>
      <vt:variant>
        <vt:i4>5</vt:i4>
      </vt:variant>
      <vt:variant>
        <vt:lpwstr>http://www.nevo.co.il/case/4266129</vt:lpwstr>
      </vt:variant>
      <vt:variant>
        <vt:lpwstr/>
      </vt:variant>
      <vt:variant>
        <vt:i4>3932272</vt:i4>
      </vt:variant>
      <vt:variant>
        <vt:i4>72</vt:i4>
      </vt:variant>
      <vt:variant>
        <vt:i4>0</vt:i4>
      </vt:variant>
      <vt:variant>
        <vt:i4>5</vt:i4>
      </vt:variant>
      <vt:variant>
        <vt:lpwstr>http://www.nevo.co.il/case/5301960</vt:lpwstr>
      </vt:variant>
      <vt:variant>
        <vt:lpwstr/>
      </vt:variant>
      <vt:variant>
        <vt:i4>3866740</vt:i4>
      </vt:variant>
      <vt:variant>
        <vt:i4>69</vt:i4>
      </vt:variant>
      <vt:variant>
        <vt:i4>0</vt:i4>
      </vt:variant>
      <vt:variant>
        <vt:i4>5</vt:i4>
      </vt:variant>
      <vt:variant>
        <vt:lpwstr>http://www.nevo.co.il/case/2397949</vt:lpwstr>
      </vt:variant>
      <vt:variant>
        <vt:lpwstr/>
      </vt:variant>
      <vt:variant>
        <vt:i4>4128885</vt:i4>
      </vt:variant>
      <vt:variant>
        <vt:i4>66</vt:i4>
      </vt:variant>
      <vt:variant>
        <vt:i4>0</vt:i4>
      </vt:variant>
      <vt:variant>
        <vt:i4>5</vt:i4>
      </vt:variant>
      <vt:variant>
        <vt:lpwstr>http://www.nevo.co.il/case/2252018</vt:lpwstr>
      </vt:variant>
      <vt:variant>
        <vt:lpwstr/>
      </vt:variant>
      <vt:variant>
        <vt:i4>3801212</vt:i4>
      </vt:variant>
      <vt:variant>
        <vt:i4>63</vt:i4>
      </vt:variant>
      <vt:variant>
        <vt:i4>0</vt:i4>
      </vt:variant>
      <vt:variant>
        <vt:i4>5</vt:i4>
      </vt:variant>
      <vt:variant>
        <vt:lpwstr>http://www.nevo.co.il/case/5953822</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6619233</vt:i4>
      </vt:variant>
      <vt:variant>
        <vt:i4>57</vt:i4>
      </vt:variant>
      <vt:variant>
        <vt:i4>0</vt:i4>
      </vt:variant>
      <vt:variant>
        <vt:i4>5</vt:i4>
      </vt:variant>
      <vt:variant>
        <vt:lpwstr>http://www.nevo.co.il/law/70301/40b</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5177418</vt:i4>
      </vt:variant>
      <vt:variant>
        <vt:i4>51</vt:i4>
      </vt:variant>
      <vt:variant>
        <vt:i4>0</vt:i4>
      </vt:variant>
      <vt:variant>
        <vt:i4>5</vt:i4>
      </vt:variant>
      <vt:variant>
        <vt:lpwstr>http://www.nevo.co.il/law/4216/10</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5177418</vt:i4>
      </vt:variant>
      <vt:variant>
        <vt:i4>39</vt:i4>
      </vt:variant>
      <vt:variant>
        <vt:i4>0</vt:i4>
      </vt:variant>
      <vt:variant>
        <vt:i4>5</vt:i4>
      </vt:variant>
      <vt:variant>
        <vt:lpwstr>http://www.nevo.co.il/law/4216/19</vt:lpwstr>
      </vt:variant>
      <vt:variant>
        <vt:lpwstr/>
      </vt:variant>
      <vt:variant>
        <vt:i4>5177418</vt:i4>
      </vt:variant>
      <vt:variant>
        <vt:i4>36</vt:i4>
      </vt:variant>
      <vt:variant>
        <vt:i4>0</vt:i4>
      </vt:variant>
      <vt:variant>
        <vt:i4>5</vt:i4>
      </vt:variant>
      <vt:variant>
        <vt:lpwstr>http://www.nevo.co.il/law/4216/13</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4915205</vt:i4>
      </vt:variant>
      <vt:variant>
        <vt:i4>30</vt:i4>
      </vt:variant>
      <vt:variant>
        <vt:i4>0</vt:i4>
      </vt:variant>
      <vt:variant>
        <vt:i4>5</vt:i4>
      </vt:variant>
      <vt:variant>
        <vt:lpwstr>http://www.nevo.co.il/law/70301/40d.b</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http://www.nevo.co.il/law/4216/19</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2025-04-22T21:37:00Z</dcterms:created>
  <dcterms:modified xsi:type="dcterms:W3CDTF">2025-04-22T21:37:00Z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17468</vt:lpwstr>
  </property>
  <property fmtid="{D5CDD505-2E9C-101B-9397-08002B2CF9AE}" pid="6" name="NEWPARTB">
    <vt:lpwstr>03</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אלון בורשטיין</vt:lpwstr>
  </property>
  <property fmtid="{D5CDD505-2E9C-101B-9397-08002B2CF9AE}" pid="10" name="LAWYER">
    <vt:lpwstr>כ#ץ;רז</vt:lpwstr>
  </property>
  <property fmtid="{D5CDD505-2E9C-101B-9397-08002B2CF9AE}" pid="11" name="JUDGE">
    <vt:lpwstr>ארז יקואל</vt:lpwstr>
  </property>
  <property fmtid="{D5CDD505-2E9C-101B-9397-08002B2CF9AE}" pid="12" name="CITY">
    <vt:lpwstr>ראשל"צ</vt:lpwstr>
  </property>
  <property fmtid="{D5CDD505-2E9C-101B-9397-08002B2CF9AE}" pid="13" name="DATE">
    <vt:lpwstr>20130313</vt:lpwstr>
  </property>
  <property fmtid="{D5CDD505-2E9C-101B-9397-08002B2CF9AE}" pid="14" name="TYPE_N_DATE">
    <vt:lpwstr>38020130313</vt:lpwstr>
  </property>
  <property fmtid="{D5CDD505-2E9C-101B-9397-08002B2CF9AE}" pid="15" name="WORDNUMPAGES">
    <vt:lpwstr>9</vt:lpwstr>
  </property>
  <property fmtid="{D5CDD505-2E9C-101B-9397-08002B2CF9AE}" pid="16" name="TYPE_ABS_DATE">
    <vt:lpwstr>380020130313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5698919;5953822;2252018;2397949;5301960;4266129;6171235;5805976;6120591</vt:lpwstr>
  </property>
  <property fmtid="{D5CDD505-2E9C-101B-9397-08002B2CF9AE}" pid="36" name="CASENOTES1">
    <vt:lpwstr>ProcID=133;209&amp;PartA=3759&amp;PartC=03</vt:lpwstr>
  </property>
  <property fmtid="{D5CDD505-2E9C-101B-9397-08002B2CF9AE}" pid="37" name="LAWLISTTMP1">
    <vt:lpwstr>4216/013;019;007.a;007.c;010</vt:lpwstr>
  </property>
  <property fmtid="{D5CDD505-2E9C-101B-9397-08002B2CF9AE}" pid="38" name="LAWLISTTMP2">
    <vt:lpwstr>70301/040c.a;040b;40ja;040d.a;040d.b</vt:lpwstr>
  </property>
</Properties>
</file>