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B2487" w:rsidRPr="0070193C" w14:paraId="209C0C8E" w14:textId="77777777">
        <w:trPr>
          <w:trHeight w:hRule="exact" w:val="418"/>
          <w:jc w:val="center"/>
        </w:trPr>
        <w:tc>
          <w:tcPr>
            <w:tcW w:w="8720" w:type="dxa"/>
            <w:gridSpan w:val="3"/>
          </w:tcPr>
          <w:p w14:paraId="13E057FC" w14:textId="77777777" w:rsidR="003B2487" w:rsidRPr="0070193C" w:rsidRDefault="0070193C">
            <w:pPr>
              <w:pStyle w:val="a3"/>
              <w:tabs>
                <w:tab w:val="clear" w:pos="8306"/>
              </w:tabs>
              <w:jc w:val="center"/>
              <w:rPr>
                <w:rFonts w:ascii="Tahoma" w:hAnsi="Tahoma" w:cs="Tahoma"/>
                <w:b/>
                <w:bCs/>
                <w:color w:val="000080"/>
                <w:sz w:val="20"/>
                <w:szCs w:val="20"/>
                <w:rtl/>
              </w:rPr>
            </w:pPr>
            <w:bookmarkStart w:id="0" w:name="LastJudge"/>
            <w:r w:rsidRPr="0070193C">
              <w:rPr>
                <w:rFonts w:ascii="Tahoma" w:hAnsi="Tahoma" w:cs="Tahoma"/>
                <w:b/>
                <w:bCs/>
                <w:color w:val="000080"/>
                <w:sz w:val="20"/>
                <w:szCs w:val="20"/>
                <w:rtl/>
              </w:rPr>
              <w:t>בית משפט השלום בעכו</w:t>
            </w:r>
          </w:p>
        </w:tc>
      </w:tr>
      <w:tr w:rsidR="003B2487" w:rsidRPr="0070193C" w14:paraId="4BFFF864" w14:textId="77777777">
        <w:trPr>
          <w:trHeight w:val="337"/>
          <w:jc w:val="center"/>
        </w:trPr>
        <w:tc>
          <w:tcPr>
            <w:tcW w:w="6396" w:type="dxa"/>
          </w:tcPr>
          <w:p w14:paraId="1D9A6B4B" w14:textId="77777777" w:rsidR="003B2487" w:rsidRPr="0070193C" w:rsidRDefault="0070193C">
            <w:pPr>
              <w:rPr>
                <w:b/>
                <w:bCs/>
                <w:sz w:val="26"/>
                <w:szCs w:val="26"/>
                <w:rtl/>
              </w:rPr>
            </w:pPr>
            <w:r w:rsidRPr="0070193C">
              <w:rPr>
                <w:b/>
                <w:bCs/>
                <w:sz w:val="26"/>
                <w:szCs w:val="26"/>
                <w:rtl/>
              </w:rPr>
              <w:t>ת"פ</w:t>
            </w:r>
            <w:r w:rsidRPr="0070193C">
              <w:rPr>
                <w:rFonts w:hint="cs"/>
                <w:b/>
                <w:bCs/>
                <w:sz w:val="26"/>
                <w:szCs w:val="26"/>
                <w:rtl/>
              </w:rPr>
              <w:t xml:space="preserve"> </w:t>
            </w:r>
            <w:r w:rsidRPr="0070193C">
              <w:rPr>
                <w:b/>
                <w:bCs/>
                <w:sz w:val="26"/>
                <w:szCs w:val="26"/>
                <w:rtl/>
              </w:rPr>
              <w:t>35661-03-11</w:t>
            </w:r>
            <w:r w:rsidRPr="0070193C">
              <w:rPr>
                <w:rFonts w:hint="cs"/>
                <w:b/>
                <w:bCs/>
                <w:sz w:val="26"/>
                <w:szCs w:val="26"/>
                <w:rtl/>
              </w:rPr>
              <w:t xml:space="preserve"> </w:t>
            </w:r>
            <w:r w:rsidRPr="0070193C">
              <w:rPr>
                <w:b/>
                <w:bCs/>
                <w:sz w:val="26"/>
                <w:szCs w:val="26"/>
                <w:rtl/>
              </w:rPr>
              <w:t>מדינת ישראל נ' דבאח(עציר)</w:t>
            </w:r>
          </w:p>
          <w:p w14:paraId="4812EF91" w14:textId="77777777" w:rsidR="003B2487" w:rsidRPr="0070193C" w:rsidRDefault="003B2487">
            <w:pPr>
              <w:rPr>
                <w:b/>
                <w:bCs/>
                <w:sz w:val="26"/>
                <w:szCs w:val="26"/>
                <w:rtl/>
              </w:rPr>
            </w:pPr>
          </w:p>
        </w:tc>
        <w:tc>
          <w:tcPr>
            <w:tcW w:w="236" w:type="dxa"/>
          </w:tcPr>
          <w:p w14:paraId="197D66EB" w14:textId="77777777" w:rsidR="003B2487" w:rsidRPr="0070193C" w:rsidRDefault="003B2487">
            <w:pPr>
              <w:pStyle w:val="a3"/>
              <w:jc w:val="right"/>
              <w:rPr>
                <w:b/>
                <w:bCs/>
                <w:sz w:val="26"/>
                <w:szCs w:val="26"/>
                <w:rtl/>
              </w:rPr>
            </w:pPr>
          </w:p>
        </w:tc>
        <w:tc>
          <w:tcPr>
            <w:tcW w:w="2088" w:type="dxa"/>
          </w:tcPr>
          <w:p w14:paraId="7AE205A8" w14:textId="77777777" w:rsidR="003B2487" w:rsidRPr="0070193C" w:rsidRDefault="0070193C">
            <w:pPr>
              <w:pStyle w:val="a3"/>
              <w:tabs>
                <w:tab w:val="clear" w:pos="4153"/>
              </w:tabs>
              <w:jc w:val="right"/>
              <w:rPr>
                <w:b/>
                <w:bCs/>
                <w:sz w:val="26"/>
                <w:szCs w:val="26"/>
                <w:rtl/>
              </w:rPr>
            </w:pPr>
            <w:r w:rsidRPr="0070193C">
              <w:rPr>
                <w:b/>
                <w:bCs/>
                <w:sz w:val="26"/>
                <w:szCs w:val="26"/>
                <w:rtl/>
              </w:rPr>
              <w:t>27 אוקטובר 2013</w:t>
            </w:r>
          </w:p>
        </w:tc>
      </w:tr>
    </w:tbl>
    <w:p w14:paraId="35E8DFA2" w14:textId="77777777" w:rsidR="003B2487" w:rsidRPr="0070193C" w:rsidRDefault="003B2487">
      <w:pPr>
        <w:pStyle w:val="a3"/>
        <w:jc w:val="center"/>
        <w:rPr>
          <w:rFonts w:ascii="Tahoma" w:hAnsi="Tahoma" w:cs="Tahoma"/>
          <w:b/>
          <w:bCs/>
          <w:color w:val="000080"/>
          <w:sz w:val="20"/>
          <w:szCs w:val="20"/>
          <w:rtl/>
        </w:rPr>
      </w:pPr>
    </w:p>
    <w:p w14:paraId="41D81262" w14:textId="77777777" w:rsidR="003B2487" w:rsidRPr="0070193C" w:rsidRDefault="003B248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B2487" w:rsidRPr="0070193C" w14:paraId="2F67B31B" w14:textId="77777777">
        <w:trPr>
          <w:gridAfter w:val="1"/>
          <w:wAfter w:w="83" w:type="dxa"/>
        </w:trPr>
        <w:tc>
          <w:tcPr>
            <w:tcW w:w="8719" w:type="dxa"/>
            <w:gridSpan w:val="2"/>
          </w:tcPr>
          <w:p w14:paraId="19460CD9" w14:textId="77777777" w:rsidR="003B2487" w:rsidRPr="0070193C" w:rsidRDefault="0070193C">
            <w:pPr>
              <w:spacing w:line="360" w:lineRule="auto"/>
              <w:rPr>
                <w:rFonts w:ascii="Times New Roman" w:eastAsia="Times New Roman" w:hAnsi="Times New Roman"/>
                <w:b/>
                <w:bCs/>
                <w:sz w:val="26"/>
                <w:szCs w:val="26"/>
                <w:rtl/>
              </w:rPr>
            </w:pPr>
            <w:r w:rsidRPr="0070193C">
              <w:rPr>
                <w:rFonts w:ascii="Times New Roman" w:eastAsia="Times New Roman" w:hAnsi="Times New Roman" w:hint="cs"/>
                <w:b/>
                <w:bCs/>
                <w:sz w:val="26"/>
                <w:szCs w:val="26"/>
                <w:rtl/>
              </w:rPr>
              <w:t>בפני כב' ה</w:t>
            </w:r>
            <w:r w:rsidRPr="0070193C">
              <w:rPr>
                <w:rFonts w:ascii="Times New Roman" w:eastAsia="Times New Roman" w:hAnsi="Times New Roman" w:hint="cs"/>
                <w:rtl/>
              </w:rPr>
              <w:t>שופטת שושנה פיינסוד-כהן</w:t>
            </w:r>
            <w:r w:rsidRPr="0070193C">
              <w:rPr>
                <w:rStyle w:val="TimesNewRomanTimesNewRoman"/>
                <w:rFonts w:eastAsia="Times New Roman"/>
                <w:rtl/>
              </w:rPr>
              <w:t xml:space="preserve"> </w:t>
            </w:r>
          </w:p>
        </w:tc>
      </w:tr>
      <w:tr w:rsidR="003B2487" w:rsidRPr="0070193C" w14:paraId="3E29F0DA" w14:textId="77777777">
        <w:tc>
          <w:tcPr>
            <w:tcW w:w="2880" w:type="dxa"/>
          </w:tcPr>
          <w:p w14:paraId="384ED738" w14:textId="77777777" w:rsidR="003B2487" w:rsidRPr="0070193C" w:rsidRDefault="0070193C">
            <w:pPr>
              <w:ind w:left="26"/>
              <w:rPr>
                <w:rFonts w:ascii="Times New Roman" w:eastAsia="Times New Roman" w:hAnsi="Times New Roman"/>
                <w:b/>
                <w:bCs/>
                <w:sz w:val="26"/>
                <w:szCs w:val="26"/>
                <w:rtl/>
              </w:rPr>
            </w:pPr>
            <w:bookmarkStart w:id="1" w:name="FirstAppellant"/>
            <w:r w:rsidRPr="0070193C">
              <w:rPr>
                <w:rFonts w:ascii="Times New Roman" w:eastAsia="Times New Roman" w:hAnsi="Times New Roman" w:hint="cs"/>
                <w:b/>
                <w:bCs/>
                <w:sz w:val="26"/>
                <w:szCs w:val="26"/>
                <w:rtl/>
              </w:rPr>
              <w:t>ה</w:t>
            </w:r>
            <w:r w:rsidRPr="0070193C">
              <w:rPr>
                <w:rFonts w:ascii="Times New Roman" w:eastAsia="Times New Roman" w:hAnsi="Times New Roman" w:hint="cs"/>
                <w:rtl/>
              </w:rPr>
              <w:t>מאשימה</w:t>
            </w:r>
          </w:p>
        </w:tc>
        <w:tc>
          <w:tcPr>
            <w:tcW w:w="5922" w:type="dxa"/>
            <w:gridSpan w:val="2"/>
          </w:tcPr>
          <w:p w14:paraId="43A352F7" w14:textId="77777777" w:rsidR="003B2487" w:rsidRPr="0070193C" w:rsidRDefault="0070193C">
            <w:pPr>
              <w:rPr>
                <w:rFonts w:ascii="Times New Roman" w:eastAsia="Times New Roman" w:hAnsi="Times New Roman"/>
                <w:b/>
                <w:bCs/>
                <w:sz w:val="26"/>
                <w:szCs w:val="26"/>
                <w:rtl/>
              </w:rPr>
            </w:pPr>
            <w:r w:rsidRPr="0070193C">
              <w:rPr>
                <w:rFonts w:ascii="Times New Roman" w:eastAsia="Times New Roman" w:hAnsi="Times New Roman" w:hint="cs"/>
                <w:rtl/>
              </w:rPr>
              <w:t>מדינת ישראל</w:t>
            </w:r>
          </w:p>
          <w:p w14:paraId="6BB29C7A" w14:textId="77777777" w:rsidR="003B2487" w:rsidRPr="0070193C" w:rsidRDefault="003B2487">
            <w:pPr>
              <w:rPr>
                <w:rFonts w:ascii="Times New Roman" w:eastAsia="Times New Roman" w:hAnsi="Times New Roman"/>
                <w:b/>
                <w:bCs/>
                <w:sz w:val="26"/>
                <w:szCs w:val="26"/>
                <w:rtl/>
              </w:rPr>
            </w:pPr>
          </w:p>
        </w:tc>
      </w:tr>
      <w:bookmarkEnd w:id="1"/>
      <w:tr w:rsidR="003B2487" w:rsidRPr="0070193C" w14:paraId="6786416B" w14:textId="77777777">
        <w:tc>
          <w:tcPr>
            <w:tcW w:w="8802" w:type="dxa"/>
            <w:gridSpan w:val="3"/>
          </w:tcPr>
          <w:p w14:paraId="6A09B0D6" w14:textId="77777777" w:rsidR="003B2487" w:rsidRPr="0070193C" w:rsidRDefault="003B2487">
            <w:pPr>
              <w:jc w:val="both"/>
              <w:rPr>
                <w:rFonts w:ascii="Arial" w:eastAsia="Times New Roman" w:hAnsi="Arial"/>
                <w:b/>
                <w:bCs/>
                <w:sz w:val="26"/>
                <w:szCs w:val="26"/>
                <w:rtl/>
              </w:rPr>
            </w:pPr>
          </w:p>
          <w:p w14:paraId="10D1F330" w14:textId="77777777" w:rsidR="003B2487" w:rsidRPr="0070193C" w:rsidRDefault="0070193C">
            <w:pPr>
              <w:jc w:val="center"/>
              <w:rPr>
                <w:rFonts w:ascii="Arial" w:eastAsia="Times New Roman" w:hAnsi="Arial"/>
                <w:b/>
                <w:bCs/>
                <w:sz w:val="26"/>
                <w:szCs w:val="26"/>
                <w:rtl/>
              </w:rPr>
            </w:pPr>
            <w:r w:rsidRPr="0070193C">
              <w:rPr>
                <w:rFonts w:ascii="Arial" w:eastAsia="Times New Roman" w:hAnsi="Arial"/>
                <w:b/>
                <w:bCs/>
                <w:sz w:val="26"/>
                <w:szCs w:val="26"/>
                <w:rtl/>
              </w:rPr>
              <w:t>נגד</w:t>
            </w:r>
          </w:p>
          <w:p w14:paraId="616B2C10" w14:textId="77777777" w:rsidR="003B2487" w:rsidRPr="0070193C" w:rsidRDefault="003B2487">
            <w:pPr>
              <w:jc w:val="center"/>
              <w:rPr>
                <w:rFonts w:ascii="Arial" w:eastAsia="Times New Roman" w:hAnsi="Arial"/>
                <w:b/>
                <w:bCs/>
                <w:sz w:val="26"/>
                <w:szCs w:val="26"/>
              </w:rPr>
            </w:pPr>
          </w:p>
        </w:tc>
      </w:tr>
      <w:tr w:rsidR="003B2487" w:rsidRPr="0070193C" w14:paraId="15ABFA74" w14:textId="77777777">
        <w:tc>
          <w:tcPr>
            <w:tcW w:w="2880" w:type="dxa"/>
          </w:tcPr>
          <w:p w14:paraId="24889D62" w14:textId="77777777" w:rsidR="003B2487" w:rsidRPr="0070193C" w:rsidRDefault="0070193C">
            <w:pPr>
              <w:ind w:left="26"/>
              <w:rPr>
                <w:rFonts w:ascii="Times New Roman" w:eastAsia="Times New Roman" w:hAnsi="Times New Roman"/>
                <w:b/>
                <w:bCs/>
                <w:sz w:val="26"/>
                <w:szCs w:val="26"/>
                <w:rtl/>
              </w:rPr>
            </w:pPr>
            <w:r w:rsidRPr="0070193C">
              <w:rPr>
                <w:rFonts w:ascii="Times New Roman" w:eastAsia="Times New Roman" w:hAnsi="Times New Roman" w:hint="cs"/>
                <w:b/>
                <w:bCs/>
                <w:sz w:val="26"/>
                <w:szCs w:val="26"/>
                <w:rtl/>
              </w:rPr>
              <w:t>ה</w:t>
            </w:r>
            <w:r w:rsidRPr="0070193C">
              <w:rPr>
                <w:rFonts w:ascii="Times New Roman" w:eastAsia="Times New Roman" w:hAnsi="Times New Roman" w:hint="cs"/>
                <w:rtl/>
              </w:rPr>
              <w:t>נאשם</w:t>
            </w:r>
          </w:p>
        </w:tc>
        <w:tc>
          <w:tcPr>
            <w:tcW w:w="5922" w:type="dxa"/>
            <w:gridSpan w:val="2"/>
          </w:tcPr>
          <w:p w14:paraId="280A8794" w14:textId="77777777" w:rsidR="003B2487" w:rsidRPr="0070193C" w:rsidRDefault="0070193C">
            <w:pPr>
              <w:rPr>
                <w:rFonts w:ascii="Times New Roman" w:eastAsia="Times New Roman" w:hAnsi="Times New Roman"/>
                <w:b/>
                <w:bCs/>
                <w:sz w:val="26"/>
                <w:szCs w:val="26"/>
                <w:rtl/>
              </w:rPr>
            </w:pPr>
            <w:r w:rsidRPr="0070193C">
              <w:rPr>
                <w:rFonts w:ascii="Times New Roman" w:eastAsia="Times New Roman" w:hAnsi="Times New Roman" w:hint="cs"/>
                <w:rtl/>
              </w:rPr>
              <w:t>אמין דבאח</w:t>
            </w:r>
          </w:p>
          <w:p w14:paraId="36FFFD7A" w14:textId="77777777" w:rsidR="003B2487" w:rsidRPr="0070193C" w:rsidRDefault="003B2487">
            <w:pPr>
              <w:rPr>
                <w:rFonts w:ascii="Times New Roman" w:eastAsia="Times New Roman" w:hAnsi="Times New Roman"/>
                <w:b/>
                <w:bCs/>
                <w:sz w:val="26"/>
                <w:szCs w:val="26"/>
                <w:rtl/>
              </w:rPr>
            </w:pPr>
          </w:p>
        </w:tc>
      </w:tr>
    </w:tbl>
    <w:p w14:paraId="01B3F269" w14:textId="77777777" w:rsidR="003B2487" w:rsidRPr="0070193C" w:rsidRDefault="0070193C">
      <w:pPr>
        <w:pStyle w:val="12"/>
        <w:rPr>
          <w:u w:val="none"/>
          <w:rtl/>
        </w:rPr>
      </w:pPr>
      <w:r w:rsidRPr="0070193C">
        <w:rPr>
          <w:rFonts w:hint="cs"/>
          <w:u w:val="none"/>
          <w:rtl/>
        </w:rPr>
        <w:t>נוכחים:</w:t>
      </w:r>
    </w:p>
    <w:p w14:paraId="6F675772" w14:textId="77777777" w:rsidR="003B2487" w:rsidRPr="0070193C" w:rsidRDefault="0070193C">
      <w:pPr>
        <w:pStyle w:val="12"/>
        <w:rPr>
          <w:sz w:val="4"/>
          <w:szCs w:val="4"/>
          <w:u w:val="none"/>
          <w:rtl/>
        </w:rPr>
      </w:pPr>
      <w:r w:rsidRPr="0070193C">
        <w:rPr>
          <w:rFonts w:hint="cs"/>
          <w:b w:val="0"/>
          <w:bCs w:val="0"/>
          <w:sz w:val="4"/>
          <w:szCs w:val="4"/>
          <w:u w:val="none"/>
          <w:rtl/>
        </w:rPr>
        <w:t xml:space="preserve"> </w:t>
      </w:r>
    </w:p>
    <w:p w14:paraId="6A929E2F" w14:textId="77777777" w:rsidR="003B2487" w:rsidRPr="0070193C" w:rsidRDefault="0070193C">
      <w:pPr>
        <w:pStyle w:val="12"/>
        <w:rPr>
          <w:u w:val="none"/>
          <w:rtl/>
        </w:rPr>
      </w:pPr>
      <w:bookmarkStart w:id="2" w:name="FirstLawyer"/>
      <w:r w:rsidRPr="0070193C">
        <w:rPr>
          <w:rFonts w:hint="cs"/>
          <w:b w:val="0"/>
          <w:bCs w:val="0"/>
          <w:u w:val="none"/>
          <w:rtl/>
        </w:rPr>
        <w:t>ב"כ</w:t>
      </w:r>
      <w:bookmarkEnd w:id="2"/>
      <w:r w:rsidRPr="0070193C">
        <w:rPr>
          <w:rFonts w:hint="cs"/>
          <w:b w:val="0"/>
          <w:bCs w:val="0"/>
          <w:u w:val="none"/>
          <w:rtl/>
        </w:rPr>
        <w:t xml:space="preserve"> המאשימה – עו"ד עדי תורג'מן</w:t>
      </w:r>
      <w:r w:rsidRPr="0070193C">
        <w:rPr>
          <w:rFonts w:hint="cs"/>
          <w:b w:val="0"/>
          <w:bCs w:val="0"/>
          <w:u w:val="none"/>
          <w:rtl/>
        </w:rPr>
        <w:br/>
        <w:t>הנאשם - נוכח</w:t>
      </w:r>
      <w:r w:rsidRPr="0070193C">
        <w:rPr>
          <w:rFonts w:hint="cs"/>
          <w:b w:val="0"/>
          <w:bCs w:val="0"/>
          <w:u w:val="none"/>
          <w:rtl/>
        </w:rPr>
        <w:br/>
        <w:t xml:space="preserve">הסניגור -  עו"ד </w:t>
      </w:r>
      <w:r w:rsidRPr="0070193C">
        <w:rPr>
          <w:rFonts w:hint="cs"/>
          <w:u w:val="none"/>
          <w:rtl/>
        </w:rPr>
        <w:t>שאדי</w:t>
      </w:r>
      <w:r w:rsidRPr="0070193C">
        <w:rPr>
          <w:rFonts w:hint="cs"/>
          <w:b w:val="0"/>
          <w:bCs w:val="0"/>
          <w:u w:val="none"/>
          <w:rtl/>
        </w:rPr>
        <w:t xml:space="preserve"> </w:t>
      </w:r>
      <w:r w:rsidRPr="0070193C">
        <w:rPr>
          <w:rFonts w:hint="cs"/>
          <w:u w:val="none"/>
          <w:rtl/>
        </w:rPr>
        <w:t>דבאח</w:t>
      </w:r>
      <w:r w:rsidRPr="0070193C">
        <w:rPr>
          <w:rFonts w:hint="cs"/>
          <w:b w:val="0"/>
          <w:bCs w:val="0"/>
          <w:u w:val="none"/>
          <w:rtl/>
        </w:rPr>
        <w:t xml:space="preserve">  </w:t>
      </w:r>
    </w:p>
    <w:p w14:paraId="15CB65E4" w14:textId="77777777" w:rsidR="003B2487" w:rsidRPr="0070193C" w:rsidRDefault="003B2487">
      <w:pPr>
        <w:pStyle w:val="12"/>
        <w:rPr>
          <w:b w:val="0"/>
          <w:bCs w:val="0"/>
          <w:sz w:val="4"/>
          <w:szCs w:val="4"/>
          <w:u w:val="none"/>
        </w:rPr>
      </w:pPr>
    </w:p>
    <w:p w14:paraId="37109620" w14:textId="77777777" w:rsidR="003B2487" w:rsidRPr="0070193C" w:rsidRDefault="003B2487">
      <w:pPr>
        <w:pStyle w:val="12"/>
        <w:rPr>
          <w:b w:val="0"/>
          <w:bCs w:val="0"/>
          <w:u w:val="none"/>
          <w:rtl/>
        </w:rPr>
      </w:pPr>
    </w:p>
    <w:p w14:paraId="125C093E" w14:textId="77777777" w:rsidR="003B2487" w:rsidRPr="0070193C" w:rsidRDefault="0070193C">
      <w:pPr>
        <w:pStyle w:val="a6"/>
        <w:spacing w:line="360" w:lineRule="auto"/>
        <w:jc w:val="center"/>
        <w:rPr>
          <w:rFonts w:ascii="David" w:eastAsia="David" w:hAnsi="David"/>
          <w:b/>
          <w:snapToGrid/>
          <w:sz w:val="24"/>
          <w:szCs w:val="28"/>
          <w:rtl/>
          <w:lang w:eastAsia="en-US"/>
        </w:rPr>
      </w:pPr>
      <w:r w:rsidRPr="0070193C">
        <w:rPr>
          <w:rFonts w:ascii="David" w:eastAsia="David" w:hAnsi="David"/>
          <w:b/>
          <w:bCs w:val="0"/>
          <w:snapToGrid/>
          <w:color w:val="FF0000"/>
          <w:sz w:val="24"/>
          <w:rtl/>
          <w:lang w:eastAsia="en-US"/>
        </w:rPr>
        <w:t>במסמך זה הושמטו פרוטוקולים</w:t>
      </w:r>
    </w:p>
    <w:p w14:paraId="6FDB4B2A" w14:textId="77777777" w:rsidR="0070193C" w:rsidRPr="0070193C" w:rsidRDefault="0070193C">
      <w:pPr>
        <w:pStyle w:val="a6"/>
        <w:spacing w:line="360" w:lineRule="auto"/>
        <w:jc w:val="center"/>
        <w:rPr>
          <w:rFonts w:ascii="David" w:eastAsia="David" w:hAnsi="David"/>
          <w:b/>
          <w:snapToGrid/>
          <w:sz w:val="24"/>
          <w:szCs w:val="28"/>
          <w:rtl/>
          <w:lang w:eastAsia="en-US"/>
        </w:rPr>
      </w:pPr>
    </w:p>
    <w:p w14:paraId="4ADF7A93" w14:textId="77777777" w:rsidR="0070193C" w:rsidRPr="0070193C" w:rsidRDefault="0070193C" w:rsidP="0070193C">
      <w:pPr>
        <w:pStyle w:val="a6"/>
        <w:spacing w:line="360" w:lineRule="auto"/>
        <w:jc w:val="center"/>
        <w:rPr>
          <w:rFonts w:ascii="David" w:eastAsia="David" w:hAnsi="David"/>
          <w:b/>
          <w:snapToGrid/>
          <w:sz w:val="24"/>
          <w:szCs w:val="28"/>
          <w:u w:val="single"/>
          <w:rtl/>
          <w:lang w:eastAsia="en-US"/>
        </w:rPr>
      </w:pPr>
      <w:bookmarkStart w:id="3" w:name="PsakDin"/>
      <w:bookmarkEnd w:id="0"/>
      <w:r w:rsidRPr="0070193C">
        <w:rPr>
          <w:rFonts w:ascii="David" w:eastAsia="David" w:hAnsi="David"/>
          <w:b/>
          <w:snapToGrid/>
          <w:sz w:val="24"/>
          <w:szCs w:val="28"/>
          <w:u w:val="single"/>
          <w:rtl/>
          <w:lang w:eastAsia="en-US"/>
        </w:rPr>
        <w:t>גזר-דין</w:t>
      </w:r>
    </w:p>
    <w:bookmarkEnd w:id="3"/>
    <w:p w14:paraId="7A6E3E07" w14:textId="77777777" w:rsidR="003B2487" w:rsidRDefault="003B2487">
      <w:pPr>
        <w:pStyle w:val="a6"/>
        <w:spacing w:line="360" w:lineRule="auto"/>
        <w:jc w:val="both"/>
        <w:rPr>
          <w:b/>
          <w:bCs w:val="0"/>
          <w:rtl/>
        </w:rPr>
      </w:pPr>
    </w:p>
    <w:p w14:paraId="724E9092" w14:textId="77777777" w:rsidR="003B2487" w:rsidRDefault="0070193C">
      <w:pPr>
        <w:pStyle w:val="a6"/>
        <w:spacing w:line="360" w:lineRule="auto"/>
        <w:jc w:val="both"/>
        <w:rPr>
          <w:b/>
          <w:bCs w:val="0"/>
          <w:rtl/>
        </w:rPr>
      </w:pPr>
      <w:r>
        <w:rPr>
          <w:rFonts w:hint="cs"/>
          <w:b/>
          <w:bCs w:val="0"/>
          <w:rtl/>
        </w:rPr>
        <w:t xml:space="preserve">אני מקבלת את הסדר הטיעון. לטעמי הסדר הטיעון תואם את המלצת שירות המבחן, תואם את נסיבותיו של תיק זה, נסיבותיו האישיות של הנאשם אשר על פניו עושה שינוי בחייו. עמדתו תחת צו מבחן תאפשר לבחון את המשך השינוי בחייו ולסייע לו בדרכו זו. הוסבר לנאשם כי באם ייכשל, ישוב לביהמ"ש לגזירת עונשו. </w:t>
      </w:r>
    </w:p>
    <w:p w14:paraId="4B0D1EF5" w14:textId="77777777" w:rsidR="003B2487" w:rsidRDefault="003B2487">
      <w:pPr>
        <w:pStyle w:val="a6"/>
        <w:spacing w:line="360" w:lineRule="auto"/>
        <w:rPr>
          <w:b/>
          <w:bCs w:val="0"/>
          <w:rtl/>
        </w:rPr>
      </w:pPr>
    </w:p>
    <w:p w14:paraId="516988D3" w14:textId="77777777" w:rsidR="003B2487" w:rsidRDefault="0070193C">
      <w:pPr>
        <w:pStyle w:val="a6"/>
        <w:spacing w:line="360" w:lineRule="auto"/>
        <w:jc w:val="both"/>
        <w:rPr>
          <w:b/>
          <w:bCs w:val="0"/>
          <w:rtl/>
        </w:rPr>
      </w:pPr>
      <w:r>
        <w:rPr>
          <w:rFonts w:hint="eastAsia"/>
          <w:b/>
          <w:bCs w:val="0"/>
          <w:rtl/>
        </w:rPr>
        <w:t>אני</w:t>
      </w:r>
      <w:r>
        <w:rPr>
          <w:b/>
          <w:bCs w:val="0"/>
          <w:rtl/>
        </w:rPr>
        <w:t xml:space="preserve"> מחליט</w:t>
      </w:r>
      <w:r>
        <w:rPr>
          <w:rFonts w:hint="cs"/>
          <w:b/>
          <w:bCs w:val="0"/>
          <w:rtl/>
        </w:rPr>
        <w:t>ה</w:t>
      </w:r>
      <w:r>
        <w:rPr>
          <w:b/>
          <w:bCs w:val="0"/>
          <w:rtl/>
        </w:rPr>
        <w:t xml:space="preserve"> להטיל על הנאשם את העונשים הבאים: </w:t>
      </w:r>
    </w:p>
    <w:p w14:paraId="58B2EF1A" w14:textId="77777777" w:rsidR="003B2487" w:rsidRDefault="003B2487">
      <w:pPr>
        <w:pStyle w:val="a6"/>
        <w:rPr>
          <w:b/>
          <w:bCs w:val="0"/>
          <w:rtl/>
        </w:rPr>
      </w:pPr>
    </w:p>
    <w:p w14:paraId="638B9A3A" w14:textId="77777777" w:rsidR="003B2487" w:rsidRDefault="003B2487">
      <w:pPr>
        <w:pStyle w:val="a6"/>
        <w:rPr>
          <w:b/>
          <w:bCs w:val="0"/>
          <w:rtl/>
        </w:rPr>
      </w:pPr>
    </w:p>
    <w:p w14:paraId="7DA87E7B" w14:textId="77777777" w:rsidR="003B2487" w:rsidRDefault="0070193C">
      <w:pPr>
        <w:pStyle w:val="a6"/>
        <w:spacing w:line="360" w:lineRule="auto"/>
        <w:ind w:left="720" w:hanging="720"/>
        <w:jc w:val="both"/>
        <w:rPr>
          <w:b/>
          <w:bCs w:val="0"/>
          <w:rtl/>
        </w:rPr>
      </w:pPr>
      <w:r>
        <w:rPr>
          <w:rFonts w:hint="cs"/>
          <w:b/>
          <w:bCs w:val="0"/>
          <w:rtl/>
        </w:rPr>
        <w:t>א.</w:t>
      </w:r>
      <w:r>
        <w:rPr>
          <w:rFonts w:hint="cs"/>
          <w:b/>
          <w:bCs w:val="0"/>
          <w:rtl/>
        </w:rPr>
        <w:tab/>
      </w:r>
      <w:r>
        <w:rPr>
          <w:rFonts w:hint="eastAsia"/>
          <w:b/>
          <w:bCs w:val="0"/>
          <w:rtl/>
        </w:rPr>
        <w:t>מאסר</w:t>
      </w:r>
      <w:r>
        <w:rPr>
          <w:b/>
          <w:bCs w:val="0"/>
          <w:rtl/>
        </w:rPr>
        <w:t xml:space="preserve"> על תנאי לתקופה של </w:t>
      </w:r>
      <w:r>
        <w:rPr>
          <w:rFonts w:hint="cs"/>
          <w:b/>
          <w:bCs w:val="0"/>
          <w:rtl/>
        </w:rPr>
        <w:t>4</w:t>
      </w:r>
      <w:r>
        <w:rPr>
          <w:b/>
          <w:bCs w:val="0"/>
          <w:rtl/>
        </w:rPr>
        <w:t xml:space="preserve"> </w:t>
      </w:r>
      <w:r>
        <w:rPr>
          <w:rFonts w:hint="eastAsia"/>
          <w:b/>
          <w:bCs w:val="0"/>
          <w:rtl/>
        </w:rPr>
        <w:t>חודשים</w:t>
      </w:r>
      <w:r>
        <w:rPr>
          <w:b/>
          <w:bCs w:val="0"/>
          <w:rtl/>
        </w:rPr>
        <w:t xml:space="preserve"> למשך </w:t>
      </w:r>
      <w:r>
        <w:rPr>
          <w:rFonts w:hint="cs"/>
          <w:b/>
          <w:bCs w:val="0"/>
          <w:rtl/>
        </w:rPr>
        <w:t>3</w:t>
      </w:r>
      <w:r>
        <w:rPr>
          <w:b/>
          <w:bCs w:val="0"/>
          <w:rtl/>
        </w:rPr>
        <w:t xml:space="preserve"> </w:t>
      </w:r>
      <w:r>
        <w:rPr>
          <w:rFonts w:hint="eastAsia"/>
          <w:b/>
          <w:bCs w:val="0"/>
          <w:rtl/>
        </w:rPr>
        <w:t>שנים</w:t>
      </w:r>
      <w:r>
        <w:rPr>
          <w:b/>
          <w:bCs w:val="0"/>
          <w:rtl/>
        </w:rPr>
        <w:t xml:space="preserve"> </w:t>
      </w:r>
      <w:r>
        <w:rPr>
          <w:rFonts w:hint="eastAsia"/>
          <w:b/>
          <w:bCs w:val="0"/>
          <w:rtl/>
        </w:rPr>
        <w:t>מהיום</w:t>
      </w:r>
      <w:r>
        <w:rPr>
          <w:b/>
          <w:bCs w:val="0"/>
          <w:rtl/>
        </w:rPr>
        <w:t xml:space="preserve"> והתנאי הוא כי הנאשם לא יעבור בתקופה זאת </w:t>
      </w:r>
      <w:r>
        <w:rPr>
          <w:rFonts w:hint="cs"/>
          <w:b/>
          <w:bCs w:val="0"/>
          <w:rtl/>
        </w:rPr>
        <w:t xml:space="preserve">עבירה על </w:t>
      </w:r>
      <w:hyperlink r:id="rId6" w:history="1">
        <w:r w:rsidRPr="0070193C">
          <w:rPr>
            <w:b/>
            <w:bCs w:val="0"/>
            <w:color w:val="0000FF"/>
            <w:u w:val="single"/>
            <w:rtl/>
          </w:rPr>
          <w:t>פקודת הסמים המסוכנים</w:t>
        </w:r>
      </w:hyperlink>
      <w:r>
        <w:rPr>
          <w:rFonts w:hint="cs"/>
          <w:b/>
          <w:bCs w:val="0"/>
          <w:rtl/>
        </w:rPr>
        <w:t xml:space="preserve"> מסוג עוון</w:t>
      </w:r>
      <w:r>
        <w:rPr>
          <w:b/>
          <w:bCs w:val="0"/>
          <w:rtl/>
        </w:rPr>
        <w:t xml:space="preserve">, ויורשע עליה בדין. </w:t>
      </w:r>
    </w:p>
    <w:p w14:paraId="4409259A" w14:textId="77777777" w:rsidR="003B2487" w:rsidRDefault="003B2487">
      <w:pPr>
        <w:pStyle w:val="a6"/>
        <w:spacing w:line="360" w:lineRule="auto"/>
        <w:ind w:left="720" w:hanging="720"/>
        <w:jc w:val="both"/>
        <w:rPr>
          <w:b/>
          <w:bCs w:val="0"/>
          <w:rtl/>
        </w:rPr>
      </w:pPr>
    </w:p>
    <w:p w14:paraId="2DF45498" w14:textId="77777777" w:rsidR="003B2487" w:rsidRDefault="0070193C">
      <w:pPr>
        <w:pStyle w:val="a6"/>
        <w:spacing w:line="360" w:lineRule="auto"/>
        <w:ind w:left="720" w:hanging="720"/>
        <w:jc w:val="both"/>
        <w:rPr>
          <w:b/>
          <w:bCs w:val="0"/>
          <w:rtl/>
        </w:rPr>
      </w:pPr>
      <w:r>
        <w:rPr>
          <w:rFonts w:hint="cs"/>
          <w:b/>
          <w:bCs w:val="0"/>
          <w:rtl/>
        </w:rPr>
        <w:t>ב.</w:t>
      </w:r>
      <w:r>
        <w:rPr>
          <w:rFonts w:hint="cs"/>
          <w:b/>
          <w:bCs w:val="0"/>
          <w:rtl/>
        </w:rPr>
        <w:tab/>
      </w:r>
      <w:r>
        <w:rPr>
          <w:rFonts w:hint="eastAsia"/>
          <w:b/>
          <w:bCs w:val="0"/>
          <w:rtl/>
        </w:rPr>
        <w:t>מאסר</w:t>
      </w:r>
      <w:r>
        <w:rPr>
          <w:b/>
          <w:bCs w:val="0"/>
          <w:rtl/>
        </w:rPr>
        <w:t xml:space="preserve"> על תנאי לתקופה של </w:t>
      </w:r>
      <w:r>
        <w:rPr>
          <w:rFonts w:hint="cs"/>
          <w:b/>
          <w:bCs w:val="0"/>
          <w:rtl/>
        </w:rPr>
        <w:t>8</w:t>
      </w:r>
      <w:r>
        <w:rPr>
          <w:b/>
          <w:bCs w:val="0"/>
          <w:rtl/>
        </w:rPr>
        <w:t xml:space="preserve"> </w:t>
      </w:r>
      <w:r>
        <w:rPr>
          <w:rFonts w:hint="eastAsia"/>
          <w:b/>
          <w:bCs w:val="0"/>
          <w:rtl/>
        </w:rPr>
        <w:t>חודשים</w:t>
      </w:r>
      <w:r>
        <w:rPr>
          <w:b/>
          <w:bCs w:val="0"/>
          <w:rtl/>
        </w:rPr>
        <w:t xml:space="preserve"> למשך </w:t>
      </w:r>
      <w:r>
        <w:rPr>
          <w:rFonts w:hint="cs"/>
          <w:b/>
          <w:bCs w:val="0"/>
          <w:rtl/>
        </w:rPr>
        <w:t>3</w:t>
      </w:r>
      <w:r>
        <w:rPr>
          <w:b/>
          <w:bCs w:val="0"/>
          <w:rtl/>
        </w:rPr>
        <w:t xml:space="preserve"> </w:t>
      </w:r>
      <w:r>
        <w:rPr>
          <w:rFonts w:hint="eastAsia"/>
          <w:b/>
          <w:bCs w:val="0"/>
          <w:rtl/>
        </w:rPr>
        <w:t>שנים</w:t>
      </w:r>
      <w:r>
        <w:rPr>
          <w:b/>
          <w:bCs w:val="0"/>
          <w:rtl/>
        </w:rPr>
        <w:t xml:space="preserve"> </w:t>
      </w:r>
      <w:r>
        <w:rPr>
          <w:rFonts w:hint="eastAsia"/>
          <w:b/>
          <w:bCs w:val="0"/>
          <w:rtl/>
        </w:rPr>
        <w:t>מהיום</w:t>
      </w:r>
      <w:r>
        <w:rPr>
          <w:b/>
          <w:bCs w:val="0"/>
          <w:rtl/>
        </w:rPr>
        <w:t xml:space="preserve"> והתנאי הוא כי הנאשם לא יעבור בתקופה זאת </w:t>
      </w:r>
      <w:r>
        <w:rPr>
          <w:rFonts w:hint="cs"/>
          <w:b/>
          <w:bCs w:val="0"/>
          <w:rtl/>
        </w:rPr>
        <w:t xml:space="preserve">עבירה על </w:t>
      </w:r>
      <w:hyperlink r:id="rId7" w:history="1">
        <w:r w:rsidRPr="0070193C">
          <w:rPr>
            <w:b/>
            <w:bCs w:val="0"/>
            <w:color w:val="0000FF"/>
            <w:u w:val="single"/>
            <w:rtl/>
          </w:rPr>
          <w:t>פקודת הסמים המסוכנים</w:t>
        </w:r>
      </w:hyperlink>
      <w:r>
        <w:rPr>
          <w:rFonts w:hint="cs"/>
          <w:b/>
          <w:bCs w:val="0"/>
          <w:rtl/>
        </w:rPr>
        <w:t xml:space="preserve"> מסוג פשע</w:t>
      </w:r>
      <w:r>
        <w:rPr>
          <w:b/>
          <w:bCs w:val="0"/>
          <w:rtl/>
        </w:rPr>
        <w:t xml:space="preserve">, ויורשע עליה בדין. </w:t>
      </w:r>
    </w:p>
    <w:p w14:paraId="115E2848" w14:textId="77777777" w:rsidR="003B2487" w:rsidRDefault="003B2487">
      <w:pPr>
        <w:pStyle w:val="a6"/>
        <w:rPr>
          <w:b/>
          <w:bCs w:val="0"/>
          <w:rtl/>
        </w:rPr>
      </w:pPr>
    </w:p>
    <w:p w14:paraId="643C1C8F" w14:textId="77777777" w:rsidR="003B2487" w:rsidRDefault="0070193C">
      <w:pPr>
        <w:overflowPunct w:val="0"/>
        <w:autoSpaceDE w:val="0"/>
        <w:autoSpaceDN w:val="0"/>
        <w:adjustRightInd w:val="0"/>
        <w:spacing w:line="360" w:lineRule="auto"/>
        <w:ind w:left="720" w:hanging="720"/>
        <w:jc w:val="both"/>
        <w:rPr>
          <w:rtl/>
        </w:rPr>
      </w:pPr>
      <w:r>
        <w:rPr>
          <w:rFonts w:hint="cs"/>
          <w:rtl/>
        </w:rPr>
        <w:t>ג.</w:t>
      </w:r>
      <w:r>
        <w:rPr>
          <w:rFonts w:hint="cs"/>
          <w:rtl/>
        </w:rPr>
        <w:tab/>
      </w:r>
      <w:r>
        <w:rPr>
          <w:rFonts w:hint="eastAsia"/>
          <w:rtl/>
        </w:rPr>
        <w:t>קנס</w:t>
      </w:r>
      <w:r>
        <w:rPr>
          <w:rtl/>
        </w:rPr>
        <w:t xml:space="preserve"> </w:t>
      </w:r>
      <w:r>
        <w:rPr>
          <w:rFonts w:hint="eastAsia"/>
          <w:rtl/>
        </w:rPr>
        <w:t>בסך</w:t>
      </w:r>
      <w:r>
        <w:rPr>
          <w:rtl/>
        </w:rPr>
        <w:t xml:space="preserve"> </w:t>
      </w:r>
      <w:r>
        <w:rPr>
          <w:rFonts w:hint="cs"/>
          <w:rtl/>
        </w:rPr>
        <w:t>4,000</w:t>
      </w:r>
      <w:r>
        <w:rPr>
          <w:rtl/>
        </w:rPr>
        <w:t xml:space="preserve"> </w:t>
      </w:r>
      <w:r>
        <w:rPr>
          <w:rFonts w:hint="cs"/>
          <w:rtl/>
        </w:rPr>
        <w:t>₪</w:t>
      </w:r>
      <w:r>
        <w:rPr>
          <w:rtl/>
        </w:rPr>
        <w:t xml:space="preserve">, או </w:t>
      </w:r>
      <w:r>
        <w:rPr>
          <w:rFonts w:hint="cs"/>
          <w:rtl/>
        </w:rPr>
        <w:t>30</w:t>
      </w:r>
      <w:r>
        <w:rPr>
          <w:rtl/>
        </w:rPr>
        <w:t xml:space="preserve">  </w:t>
      </w:r>
      <w:r>
        <w:rPr>
          <w:rFonts w:hint="eastAsia"/>
          <w:rtl/>
        </w:rPr>
        <w:t>ימי</w:t>
      </w:r>
      <w:r>
        <w:rPr>
          <w:rtl/>
        </w:rPr>
        <w:t xml:space="preserve"> מאסר תמורתו.  </w:t>
      </w:r>
      <w:r>
        <w:rPr>
          <w:rFonts w:hint="eastAsia"/>
          <w:rtl/>
        </w:rPr>
        <w:t>הקנס</w:t>
      </w:r>
      <w:r>
        <w:rPr>
          <w:rtl/>
        </w:rPr>
        <w:t xml:space="preserve"> ישולם ב-  </w:t>
      </w:r>
      <w:r>
        <w:rPr>
          <w:rFonts w:hint="cs"/>
          <w:rtl/>
        </w:rPr>
        <w:t>16</w:t>
      </w:r>
      <w:r>
        <w:rPr>
          <w:rtl/>
        </w:rPr>
        <w:t xml:space="preserve">  </w:t>
      </w:r>
      <w:r>
        <w:rPr>
          <w:rFonts w:hint="eastAsia"/>
          <w:rtl/>
        </w:rPr>
        <w:t>תשלומים</w:t>
      </w:r>
      <w:r>
        <w:rPr>
          <w:rtl/>
        </w:rPr>
        <w:t xml:space="preserve"> חודשיים שווים ע"</w:t>
      </w:r>
      <w:r>
        <w:rPr>
          <w:rFonts w:hint="eastAsia"/>
          <w:rtl/>
        </w:rPr>
        <w:t>ס</w:t>
      </w:r>
      <w:r>
        <w:rPr>
          <w:rtl/>
        </w:rPr>
        <w:t xml:space="preserve">  </w:t>
      </w:r>
      <w:r>
        <w:rPr>
          <w:rFonts w:hint="cs"/>
          <w:rtl/>
        </w:rPr>
        <w:t>250</w:t>
      </w:r>
      <w:r>
        <w:rPr>
          <w:rtl/>
        </w:rPr>
        <w:t xml:space="preserve"> </w:t>
      </w:r>
      <w:r>
        <w:rPr>
          <w:rFonts w:hint="eastAsia"/>
          <w:rtl/>
        </w:rPr>
        <w:t>ש</w:t>
      </w:r>
      <w:r>
        <w:rPr>
          <w:rtl/>
        </w:rPr>
        <w:t>"</w:t>
      </w:r>
      <w:r>
        <w:rPr>
          <w:rFonts w:hint="eastAsia"/>
          <w:rtl/>
        </w:rPr>
        <w:t>ח</w:t>
      </w:r>
      <w:r>
        <w:rPr>
          <w:rtl/>
        </w:rPr>
        <w:t xml:space="preserve"> כל אחד, החל מיום </w:t>
      </w:r>
      <w:r>
        <w:rPr>
          <w:rFonts w:hint="cs"/>
          <w:rtl/>
        </w:rPr>
        <w:t>15/11/13.</w:t>
      </w:r>
      <w:r>
        <w:rPr>
          <w:rtl/>
        </w:rPr>
        <w:t xml:space="preserve"> </w:t>
      </w:r>
    </w:p>
    <w:p w14:paraId="712081F2" w14:textId="77777777" w:rsidR="003B2487" w:rsidRDefault="003B2487">
      <w:pPr>
        <w:overflowPunct w:val="0"/>
        <w:autoSpaceDE w:val="0"/>
        <w:autoSpaceDN w:val="0"/>
        <w:adjustRightInd w:val="0"/>
        <w:spacing w:line="360" w:lineRule="auto"/>
        <w:ind w:left="720" w:hanging="720"/>
        <w:jc w:val="both"/>
        <w:rPr>
          <w:rtl/>
        </w:rPr>
      </w:pPr>
    </w:p>
    <w:p w14:paraId="0726259E" w14:textId="77777777" w:rsidR="003B2487" w:rsidRDefault="0070193C">
      <w:pPr>
        <w:overflowPunct w:val="0"/>
        <w:autoSpaceDE w:val="0"/>
        <w:autoSpaceDN w:val="0"/>
        <w:adjustRightInd w:val="0"/>
        <w:spacing w:line="360" w:lineRule="auto"/>
        <w:ind w:left="720" w:hanging="720"/>
        <w:jc w:val="both"/>
        <w:rPr>
          <w:rtl/>
        </w:rPr>
      </w:pPr>
      <w:r>
        <w:rPr>
          <w:rFonts w:hint="cs"/>
          <w:rtl/>
        </w:rPr>
        <w:t>ד.</w:t>
      </w:r>
      <w:r>
        <w:rPr>
          <w:rFonts w:hint="cs"/>
          <w:rtl/>
        </w:rPr>
        <w:tab/>
        <w:t xml:space="preserve">בהתאם להמלצת שירות המבחן, צו מבחן למשך 18 חודשים, במסגרתו ימשיך את הטיפול במסגרת היחידה לטיפול בסמים ויבצע כל הוראה נוספת של שירות המבחן. </w:t>
      </w:r>
    </w:p>
    <w:p w14:paraId="5D7DC5E2" w14:textId="77777777" w:rsidR="003B2487" w:rsidRDefault="0070193C">
      <w:pPr>
        <w:overflowPunct w:val="0"/>
        <w:autoSpaceDE w:val="0"/>
        <w:autoSpaceDN w:val="0"/>
        <w:adjustRightInd w:val="0"/>
        <w:spacing w:line="360" w:lineRule="auto"/>
        <w:ind w:left="720"/>
        <w:jc w:val="both"/>
        <w:rPr>
          <w:rtl/>
        </w:rPr>
      </w:pPr>
      <w:r>
        <w:rPr>
          <w:rFonts w:hint="cs"/>
          <w:rtl/>
        </w:rPr>
        <w:t xml:space="preserve">הוסבר לנאשם כי במידה ויפר את תנאי הצו, יושב לביהמ"ש לגזירת עונשו. </w:t>
      </w:r>
      <w:r>
        <w:rPr>
          <w:rtl/>
        </w:rPr>
        <w:t xml:space="preserve">    </w:t>
      </w:r>
    </w:p>
    <w:p w14:paraId="3D1D64BD" w14:textId="77777777" w:rsidR="003B2487" w:rsidRDefault="003B2487">
      <w:pPr>
        <w:overflowPunct w:val="0"/>
        <w:autoSpaceDE w:val="0"/>
        <w:autoSpaceDN w:val="0"/>
        <w:adjustRightInd w:val="0"/>
        <w:spacing w:line="360" w:lineRule="auto"/>
        <w:ind w:left="720" w:hanging="720"/>
        <w:jc w:val="both"/>
        <w:rPr>
          <w:rtl/>
        </w:rPr>
      </w:pPr>
      <w:bookmarkStart w:id="4" w:name="_GoBack"/>
      <w:bookmarkEnd w:id="4"/>
    </w:p>
    <w:p w14:paraId="2BAE873F" w14:textId="77777777" w:rsidR="003B2487" w:rsidRDefault="0070193C">
      <w:pPr>
        <w:overflowPunct w:val="0"/>
        <w:autoSpaceDE w:val="0"/>
        <w:autoSpaceDN w:val="0"/>
        <w:adjustRightInd w:val="0"/>
        <w:spacing w:line="360" w:lineRule="auto"/>
        <w:ind w:left="720" w:hanging="720"/>
        <w:jc w:val="both"/>
        <w:rPr>
          <w:rtl/>
        </w:rPr>
      </w:pPr>
      <w:r>
        <w:rPr>
          <w:rFonts w:hint="cs"/>
          <w:rtl/>
        </w:rPr>
        <w:lastRenderedPageBreak/>
        <w:t>ה.</w:t>
      </w:r>
      <w:r>
        <w:rPr>
          <w:rFonts w:hint="cs"/>
          <w:rtl/>
        </w:rPr>
        <w:tab/>
        <w:t xml:space="preserve">צו להשמדת מוצג סמים. </w:t>
      </w:r>
    </w:p>
    <w:p w14:paraId="61873488" w14:textId="77777777" w:rsidR="003B2487" w:rsidRDefault="003B2487">
      <w:pPr>
        <w:pStyle w:val="a6"/>
        <w:rPr>
          <w:rtl/>
        </w:rPr>
      </w:pPr>
    </w:p>
    <w:p w14:paraId="1AF72B89" w14:textId="77777777" w:rsidR="003B2487" w:rsidRDefault="0070193C">
      <w:pPr>
        <w:pStyle w:val="a6"/>
        <w:rPr>
          <w:rtl/>
        </w:rPr>
      </w:pPr>
      <w:r>
        <w:rPr>
          <w:rFonts w:hint="eastAsia"/>
          <w:rtl/>
        </w:rPr>
        <w:t>זכות</w:t>
      </w:r>
      <w:r>
        <w:rPr>
          <w:rtl/>
        </w:rPr>
        <w:t xml:space="preserve"> </w:t>
      </w:r>
      <w:r>
        <w:rPr>
          <w:rFonts w:hint="eastAsia"/>
          <w:rtl/>
        </w:rPr>
        <w:t>ערעור</w:t>
      </w:r>
      <w:r>
        <w:rPr>
          <w:rtl/>
        </w:rPr>
        <w:t xml:space="preserve"> תוך 45 יום. </w:t>
      </w:r>
    </w:p>
    <w:p w14:paraId="174DF05A" w14:textId="77777777" w:rsidR="003B2487" w:rsidRDefault="003B2487">
      <w:pPr>
        <w:pStyle w:val="a6"/>
        <w:rPr>
          <w:rtl/>
        </w:rPr>
      </w:pPr>
    </w:p>
    <w:p w14:paraId="240A6E69" w14:textId="77777777" w:rsidR="003B2487" w:rsidRDefault="003B2487">
      <w:pPr>
        <w:pStyle w:val="a6"/>
        <w:rPr>
          <w:rtl/>
        </w:rPr>
      </w:pPr>
    </w:p>
    <w:p w14:paraId="3F3A7116" w14:textId="77777777" w:rsidR="003B2487" w:rsidRDefault="0070193C">
      <w:pPr>
        <w:pStyle w:val="a6"/>
        <w:rPr>
          <w:sz w:val="6"/>
          <w:szCs w:val="6"/>
          <w:rtl/>
        </w:rPr>
      </w:pPr>
      <w:r>
        <w:rPr>
          <w:sz w:val="6"/>
          <w:szCs w:val="6"/>
          <w:rtl/>
        </w:rPr>
        <w:t>&lt;#3#&gt;</w:t>
      </w:r>
    </w:p>
    <w:p w14:paraId="401122A6" w14:textId="77777777" w:rsidR="003B2487" w:rsidRDefault="003B2487">
      <w:pPr>
        <w:jc w:val="right"/>
        <w:rPr>
          <w:rtl/>
        </w:rPr>
      </w:pPr>
    </w:p>
    <w:p w14:paraId="6C6B02FC" w14:textId="77777777" w:rsidR="003B2487" w:rsidRDefault="0070193C">
      <w:pPr>
        <w:jc w:val="center"/>
        <w:rPr>
          <w:rtl/>
        </w:rPr>
      </w:pPr>
      <w:r w:rsidRPr="0070193C">
        <w:rPr>
          <w:b/>
          <w:bCs/>
          <w:color w:val="FFFFFF"/>
          <w:sz w:val="2"/>
          <w:szCs w:val="2"/>
          <w:rtl/>
        </w:rPr>
        <w:t>5129371</w:t>
      </w:r>
      <w:r>
        <w:rPr>
          <w:b/>
          <w:bCs/>
          <w:rtl/>
        </w:rPr>
        <w:t xml:space="preserve">ניתן והודע היום כ"ג חשון תשע"ד, 27/10/2013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B2487" w14:paraId="7F3FA9C2" w14:textId="77777777">
        <w:trPr>
          <w:trHeight w:val="364"/>
          <w:jc w:val="right"/>
        </w:trPr>
        <w:tc>
          <w:tcPr>
            <w:tcW w:w="3708" w:type="dxa"/>
          </w:tcPr>
          <w:p w14:paraId="605E5EBA" w14:textId="77777777" w:rsidR="003B2487" w:rsidRPr="0070193C" w:rsidRDefault="0070193C">
            <w:pPr>
              <w:jc w:val="center"/>
              <w:rPr>
                <w:rFonts w:ascii="Times New Roman" w:eastAsia="Times New Roman" w:hAnsi="Times New Roman" w:cs="Times New Roman"/>
                <w:color w:val="FFFFFF"/>
                <w:sz w:val="2"/>
                <w:szCs w:val="2"/>
              </w:rPr>
            </w:pPr>
            <w:r w:rsidRPr="0070193C">
              <w:rPr>
                <w:rFonts w:ascii="Times New Roman" w:eastAsia="Times New Roman" w:hAnsi="Times New Roman" w:cs="Times New Roman"/>
                <w:color w:val="FFFFFF"/>
                <w:sz w:val="2"/>
                <w:szCs w:val="2"/>
                <w:rtl/>
              </w:rPr>
              <w:t>54678313</w:t>
            </w:r>
          </w:p>
          <w:p w14:paraId="1F64F60A" w14:textId="77777777" w:rsidR="003B2487" w:rsidRDefault="003B2487">
            <w:pPr>
              <w:jc w:val="center"/>
              <w:rPr>
                <w:rFonts w:ascii="Times New Roman" w:eastAsia="Times New Roman" w:hAnsi="Times New Roman" w:cs="Times New Roman"/>
                <w:rtl/>
              </w:rPr>
            </w:pPr>
          </w:p>
        </w:tc>
      </w:tr>
      <w:tr w:rsidR="003B2487" w14:paraId="35413DF6" w14:textId="77777777">
        <w:trPr>
          <w:trHeight w:val="415"/>
          <w:jc w:val="right"/>
        </w:trPr>
        <w:tc>
          <w:tcPr>
            <w:tcW w:w="3708" w:type="dxa"/>
          </w:tcPr>
          <w:p w14:paraId="4860664C" w14:textId="77777777" w:rsidR="003B2487" w:rsidRDefault="0070193C">
            <w:pPr>
              <w:jc w:val="center"/>
              <w:rPr>
                <w:rFonts w:ascii="Times New Roman" w:eastAsia="Times New Roman" w:hAnsi="Times New Roman"/>
                <w:b/>
                <w:bCs/>
                <w:rtl/>
              </w:rPr>
            </w:pPr>
            <w:r>
              <w:rPr>
                <w:rFonts w:ascii="Times New Roman" w:eastAsia="Times New Roman" w:hAnsi="Times New Roman" w:hint="cs"/>
                <w:rtl/>
              </w:rPr>
              <w:t>שושנה</w:t>
            </w:r>
            <w:r>
              <w:rPr>
                <w:rFonts w:ascii="Times New Roman" w:eastAsia="Times New Roman" w:hAnsi="Times New Roman" w:hint="cs"/>
                <w:b/>
                <w:bCs/>
                <w:rtl/>
              </w:rPr>
              <w:t xml:space="preserve"> </w:t>
            </w:r>
            <w:r>
              <w:rPr>
                <w:rFonts w:ascii="Times New Roman" w:eastAsia="Times New Roman" w:hAnsi="Times New Roman" w:hint="cs"/>
                <w:rtl/>
              </w:rPr>
              <w:t>פיינסוד-כהן</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22F2E3BB" w14:textId="77777777" w:rsidR="003B2487" w:rsidRDefault="003B2487">
      <w:pPr>
        <w:jc w:val="right"/>
        <w:rPr>
          <w:rtl/>
        </w:rPr>
      </w:pPr>
    </w:p>
    <w:p w14:paraId="5B173CD9" w14:textId="77777777" w:rsidR="003B2487" w:rsidRDefault="003B2487">
      <w:pPr>
        <w:spacing w:line="360" w:lineRule="auto"/>
        <w:jc w:val="both"/>
        <w:rPr>
          <w:rtl/>
        </w:rPr>
      </w:pPr>
    </w:p>
    <w:p w14:paraId="2586285A" w14:textId="77777777" w:rsidR="003B2487" w:rsidRDefault="0070193C">
      <w:r>
        <w:rPr>
          <w:rtl/>
        </w:rPr>
        <w:t>הוקלד</w:t>
      </w:r>
      <w:r>
        <w:t xml:space="preserve"> </w:t>
      </w:r>
      <w:r>
        <w:rPr>
          <w:rtl/>
        </w:rPr>
        <w:t>על</w:t>
      </w:r>
      <w:r>
        <w:t xml:space="preserve"> </w:t>
      </w:r>
      <w:r>
        <w:rPr>
          <w:rtl/>
        </w:rPr>
        <w:t>ידי</w:t>
      </w:r>
      <w:r>
        <w:t xml:space="preserve"> </w:t>
      </w:r>
      <w:r>
        <w:rPr>
          <w:rtl/>
        </w:rPr>
        <w:t>ענבל</w:t>
      </w:r>
      <w:r>
        <w:t xml:space="preserve"> </w:t>
      </w:r>
      <w:r>
        <w:rPr>
          <w:rtl/>
        </w:rPr>
        <w:t>רויטמן</w:t>
      </w:r>
    </w:p>
    <w:p w14:paraId="26C6BE2B" w14:textId="77777777" w:rsidR="0070193C" w:rsidRPr="0070193C" w:rsidRDefault="0070193C" w:rsidP="0070193C">
      <w:pPr>
        <w:keepNext/>
        <w:rPr>
          <w:color w:val="000000"/>
          <w:sz w:val="22"/>
          <w:szCs w:val="22"/>
          <w:rtl/>
        </w:rPr>
      </w:pPr>
    </w:p>
    <w:p w14:paraId="317A3750" w14:textId="77777777" w:rsidR="0070193C" w:rsidRPr="0070193C" w:rsidRDefault="0070193C" w:rsidP="0070193C">
      <w:pPr>
        <w:keepNext/>
        <w:rPr>
          <w:color w:val="000000"/>
          <w:sz w:val="22"/>
          <w:szCs w:val="22"/>
          <w:rtl/>
        </w:rPr>
      </w:pPr>
      <w:r w:rsidRPr="0070193C">
        <w:rPr>
          <w:color w:val="000000"/>
          <w:sz w:val="22"/>
          <w:szCs w:val="22"/>
          <w:rtl/>
        </w:rPr>
        <w:t>שושנה פיינסוד כהן 54678313</w:t>
      </w:r>
    </w:p>
    <w:p w14:paraId="38A8BAAD" w14:textId="77777777" w:rsidR="0070193C" w:rsidRDefault="0070193C" w:rsidP="0070193C">
      <w:r w:rsidRPr="0070193C">
        <w:rPr>
          <w:color w:val="000000"/>
          <w:rtl/>
        </w:rPr>
        <w:t>נוסח מסמך זה כפוף לשינויי ניסוח ועריכה</w:t>
      </w:r>
    </w:p>
    <w:p w14:paraId="3C0E44AE" w14:textId="77777777" w:rsidR="0070193C" w:rsidRDefault="0070193C" w:rsidP="0070193C">
      <w:pPr>
        <w:rPr>
          <w:rtl/>
        </w:rPr>
      </w:pPr>
    </w:p>
    <w:p w14:paraId="0A6DAC25" w14:textId="77777777" w:rsidR="0070193C" w:rsidRDefault="0070193C" w:rsidP="0070193C">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C71AE41" w14:textId="77777777" w:rsidR="003B2487" w:rsidRPr="0070193C" w:rsidRDefault="003B2487" w:rsidP="0070193C">
      <w:pPr>
        <w:jc w:val="center"/>
        <w:rPr>
          <w:color w:val="0000FF"/>
          <w:u w:val="single"/>
        </w:rPr>
      </w:pPr>
    </w:p>
    <w:sectPr w:rsidR="003B2487" w:rsidRPr="0070193C" w:rsidSect="0070193C">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AA8DA" w14:textId="77777777" w:rsidR="009B0841" w:rsidRPr="00507DB8" w:rsidRDefault="009B0841">
      <w:pPr>
        <w:rPr>
          <w:rFonts w:cs="Arial"/>
          <w:szCs w:val="20"/>
        </w:rPr>
      </w:pPr>
      <w:r>
        <w:separator/>
      </w:r>
    </w:p>
  </w:endnote>
  <w:endnote w:type="continuationSeparator" w:id="0">
    <w:p w14:paraId="3C99CDC6" w14:textId="77777777" w:rsidR="009B0841" w:rsidRPr="00507DB8" w:rsidRDefault="009B084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6C547" w14:textId="77777777" w:rsidR="0070193C" w:rsidRDefault="0070193C" w:rsidP="007019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30</w:t>
    </w:r>
    <w:r>
      <w:rPr>
        <w:rFonts w:ascii="FrankRuehl" w:hAnsi="FrankRuehl" w:cs="FrankRuehl"/>
        <w:rtl/>
      </w:rPr>
      <w:fldChar w:fldCharType="end"/>
    </w:r>
  </w:p>
  <w:p w14:paraId="54CAF89A" w14:textId="77777777" w:rsidR="003B2487" w:rsidRPr="0070193C" w:rsidRDefault="0070193C" w:rsidP="0070193C">
    <w:pPr>
      <w:pStyle w:val="a4"/>
      <w:pBdr>
        <w:top w:val="single" w:sz="4" w:space="1" w:color="auto"/>
        <w:between w:val="single" w:sz="4" w:space="0" w:color="auto"/>
      </w:pBdr>
      <w:spacing w:after="60"/>
      <w:jc w:val="center"/>
      <w:rPr>
        <w:rFonts w:ascii="FrankRuehl" w:hAnsi="FrankRuehl" w:cs="FrankRuehl"/>
        <w:color w:val="000000"/>
      </w:rPr>
    </w:pPr>
    <w:r w:rsidRPr="007019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10837" w14:textId="77777777" w:rsidR="0070193C" w:rsidRDefault="0070193C" w:rsidP="007019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26B7">
      <w:rPr>
        <w:rFonts w:ascii="FrankRuehl" w:hAnsi="FrankRuehl" w:cs="FrankRuehl"/>
        <w:noProof/>
        <w:rtl/>
      </w:rPr>
      <w:t>1</w:t>
    </w:r>
    <w:r>
      <w:rPr>
        <w:rFonts w:ascii="FrankRuehl" w:hAnsi="FrankRuehl" w:cs="FrankRuehl"/>
        <w:rtl/>
      </w:rPr>
      <w:fldChar w:fldCharType="end"/>
    </w:r>
  </w:p>
  <w:p w14:paraId="7F74F926" w14:textId="77777777" w:rsidR="003B2487" w:rsidRPr="0070193C" w:rsidRDefault="0070193C" w:rsidP="0070193C">
    <w:pPr>
      <w:pStyle w:val="a4"/>
      <w:pBdr>
        <w:top w:val="single" w:sz="4" w:space="1" w:color="auto"/>
        <w:between w:val="single" w:sz="4" w:space="0" w:color="auto"/>
      </w:pBdr>
      <w:spacing w:after="60"/>
      <w:jc w:val="center"/>
      <w:rPr>
        <w:rFonts w:ascii="FrankRuehl" w:hAnsi="FrankRuehl" w:cs="FrankRuehl"/>
        <w:color w:val="000000"/>
      </w:rPr>
    </w:pPr>
    <w:r w:rsidRPr="0070193C">
      <w:rPr>
        <w:rFonts w:ascii="FrankRuehl" w:hAnsi="FrankRuehl" w:cs="FrankRuehl"/>
        <w:color w:val="000000"/>
      </w:rPr>
      <w:pict w14:anchorId="47E34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8E6DC" w14:textId="77777777" w:rsidR="009B0841" w:rsidRPr="00507DB8" w:rsidRDefault="009B0841">
      <w:pPr>
        <w:rPr>
          <w:rFonts w:cs="Arial"/>
          <w:szCs w:val="20"/>
        </w:rPr>
      </w:pPr>
      <w:r>
        <w:separator/>
      </w:r>
    </w:p>
  </w:footnote>
  <w:footnote w:type="continuationSeparator" w:id="0">
    <w:p w14:paraId="26144845" w14:textId="77777777" w:rsidR="009B0841" w:rsidRPr="00507DB8" w:rsidRDefault="009B084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2518B" w14:textId="77777777" w:rsidR="0070193C" w:rsidRPr="0070193C" w:rsidRDefault="0070193C" w:rsidP="0070193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35661-03-11</w:t>
    </w:r>
    <w:r>
      <w:rPr>
        <w:color w:val="000000"/>
        <w:sz w:val="22"/>
        <w:szCs w:val="22"/>
        <w:rtl/>
      </w:rPr>
      <w:tab/>
      <w:t xml:space="preserve"> מדינת ישראל נ' אמין דבאח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3CD7D" w14:textId="77777777" w:rsidR="0070193C" w:rsidRPr="0070193C" w:rsidRDefault="0070193C" w:rsidP="0070193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35661-03-11</w:t>
    </w:r>
    <w:r>
      <w:rPr>
        <w:color w:val="000000"/>
        <w:sz w:val="22"/>
        <w:szCs w:val="22"/>
        <w:rtl/>
      </w:rPr>
      <w:tab/>
      <w:t xml:space="preserve"> מדינת ישראל נ' אמין דבאח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2487"/>
    <w:rsid w:val="00337D46"/>
    <w:rsid w:val="003B2487"/>
    <w:rsid w:val="005C1C1F"/>
    <w:rsid w:val="0070193C"/>
    <w:rsid w:val="009B0841"/>
    <w:rsid w:val="00C328E0"/>
    <w:rsid w:val="00CB26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060FF3"/>
  <w15:chartTrackingRefBased/>
  <w15:docId w15:val="{14492DE3-6995-4716-8860-5D73E748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248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B2487"/>
    <w:pPr>
      <w:tabs>
        <w:tab w:val="center" w:pos="4153"/>
        <w:tab w:val="right" w:pos="8306"/>
      </w:tabs>
    </w:pPr>
  </w:style>
  <w:style w:type="paragraph" w:styleId="a4">
    <w:name w:val="footer"/>
    <w:basedOn w:val="a"/>
    <w:rsid w:val="003B2487"/>
    <w:pPr>
      <w:tabs>
        <w:tab w:val="center" w:pos="4153"/>
        <w:tab w:val="right" w:pos="8306"/>
      </w:tabs>
    </w:pPr>
  </w:style>
  <w:style w:type="character" w:styleId="a5">
    <w:name w:val="page number"/>
    <w:basedOn w:val="a0"/>
    <w:rsid w:val="003B2487"/>
  </w:style>
  <w:style w:type="character" w:customStyle="1" w:styleId="TimesNewRomanTimesNewRoman">
    <w:name w:val="סגנון (לטיני) Times New Roman (עברית ושפות אחרות) Times New Roman..."/>
    <w:basedOn w:val="a0"/>
    <w:rsid w:val="003B248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B248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3B2487"/>
    <w:pPr>
      <w:spacing w:line="360" w:lineRule="auto"/>
      <w:jc w:val="both"/>
    </w:pPr>
    <w:rPr>
      <w:rFonts w:ascii="Times New Roman" w:eastAsia="Times New Roman" w:hAnsi="Times New Roman"/>
    </w:rPr>
  </w:style>
  <w:style w:type="paragraph" w:customStyle="1" w:styleId="a6">
    <w:name w:val="החלטה"/>
    <w:basedOn w:val="a"/>
    <w:rsid w:val="003B2487"/>
    <w:pPr>
      <w:suppressLineNumbers/>
    </w:pPr>
    <w:rPr>
      <w:rFonts w:ascii="Times New Roman" w:eastAsia="Times New Roman" w:hAnsi="Times New Roman"/>
      <w:bCs/>
      <w:snapToGrid w:val="0"/>
      <w:sz w:val="20"/>
      <w:lang w:eastAsia="he-IL"/>
    </w:rPr>
  </w:style>
  <w:style w:type="character" w:styleId="a7">
    <w:name w:val="line number"/>
    <w:basedOn w:val="a0"/>
    <w:rsid w:val="003B2487"/>
  </w:style>
  <w:style w:type="character" w:styleId="Hyperlink">
    <w:name w:val="Hyperlink"/>
    <w:basedOn w:val="a0"/>
    <w:rsid w:val="00701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35661</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אמין דבאח</vt:lpwstr>
  </property>
  <property fmtid="{D5CDD505-2E9C-101B-9397-08002B2CF9AE}" pid="10" name="LAWYER">
    <vt:lpwstr>עדי תורג'מן הסניגור שאדי דבאח</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20131027</vt:lpwstr>
  </property>
  <property fmtid="{D5CDD505-2E9C-101B-9397-08002B2CF9AE}" pid="14" name="TYPE_N_DATE">
    <vt:lpwstr>38020131027</vt:lpwstr>
  </property>
  <property fmtid="{D5CDD505-2E9C-101B-9397-08002B2CF9AE}" pid="15" name="WORDNUMPAGES">
    <vt:lpwstr>2</vt:lpwstr>
  </property>
  <property fmtid="{D5CDD505-2E9C-101B-9397-08002B2CF9AE}" pid="16" name="TYPE_ABS_DATE">
    <vt:lpwstr>380020131027</vt:lpwstr>
  </property>
</Properties>
</file>