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5F1ECA" w:rsidRPr="007E1D52" w14:paraId="483731B8" w14:textId="77777777">
        <w:trPr>
          <w:trHeight w:hRule="exact" w:val="418"/>
          <w:jc w:val="center"/>
        </w:trPr>
        <w:tc>
          <w:tcPr>
            <w:tcW w:w="8721" w:type="dxa"/>
            <w:gridSpan w:val="2"/>
          </w:tcPr>
          <w:p w14:paraId="1BC0A2ED" w14:textId="77777777" w:rsidR="005F1ECA" w:rsidRPr="007E1D52" w:rsidRDefault="007E1D52">
            <w:pPr>
              <w:pStyle w:val="a3"/>
              <w:jc w:val="center"/>
              <w:rPr>
                <w:rFonts w:ascii="Tahoma" w:hAnsi="Tahoma" w:cs="Tahoma"/>
                <w:color w:val="000080"/>
                <w:rtl/>
              </w:rPr>
            </w:pPr>
            <w:r w:rsidRPr="007E1D52">
              <w:rPr>
                <w:rFonts w:ascii="Tahoma" w:hAnsi="Tahoma" w:cs="Tahoma"/>
                <w:b/>
                <w:bCs/>
                <w:color w:val="000080"/>
                <w:rtl/>
              </w:rPr>
              <w:t>בית משפט השלום בתל אביב - יפו</w:t>
            </w:r>
          </w:p>
        </w:tc>
      </w:tr>
      <w:tr w:rsidR="005F1ECA" w:rsidRPr="007E1D52" w14:paraId="2C06D276" w14:textId="77777777">
        <w:trPr>
          <w:trHeight w:val="337"/>
          <w:jc w:val="center"/>
        </w:trPr>
        <w:tc>
          <w:tcPr>
            <w:tcW w:w="5047" w:type="dxa"/>
          </w:tcPr>
          <w:p w14:paraId="087B2E99" w14:textId="77777777" w:rsidR="005F1ECA" w:rsidRPr="007E1D52" w:rsidRDefault="005F1ECA">
            <w:pPr>
              <w:pStyle w:val="a3"/>
              <w:rPr>
                <w:rFonts w:cs="FrankRuehl"/>
                <w:sz w:val="28"/>
                <w:szCs w:val="28"/>
                <w:rtl/>
              </w:rPr>
            </w:pPr>
          </w:p>
        </w:tc>
        <w:tc>
          <w:tcPr>
            <w:tcW w:w="3674" w:type="dxa"/>
          </w:tcPr>
          <w:p w14:paraId="78B75362" w14:textId="77777777" w:rsidR="005F1ECA" w:rsidRPr="007E1D52" w:rsidRDefault="005F1ECA">
            <w:pPr>
              <w:pStyle w:val="a3"/>
              <w:jc w:val="right"/>
              <w:rPr>
                <w:rFonts w:cs="FrankRuehl"/>
                <w:sz w:val="28"/>
                <w:szCs w:val="28"/>
                <w:rtl/>
              </w:rPr>
            </w:pPr>
          </w:p>
        </w:tc>
      </w:tr>
      <w:tr w:rsidR="005F1ECA" w:rsidRPr="007E1D52" w14:paraId="6CE69BC0" w14:textId="77777777">
        <w:trPr>
          <w:trHeight w:val="337"/>
          <w:jc w:val="center"/>
        </w:trPr>
        <w:tc>
          <w:tcPr>
            <w:tcW w:w="8721" w:type="dxa"/>
            <w:gridSpan w:val="2"/>
          </w:tcPr>
          <w:p w14:paraId="1CC4B616" w14:textId="77777777" w:rsidR="005F1ECA" w:rsidRPr="007E1D52" w:rsidRDefault="007E1D52">
            <w:pPr>
              <w:rPr>
                <w:b/>
                <w:bCs/>
                <w:rtl/>
              </w:rPr>
            </w:pPr>
            <w:r w:rsidRPr="007E1D52">
              <w:rPr>
                <w:b/>
                <w:bCs/>
                <w:rtl/>
              </w:rPr>
              <w:t>ת"פ</w:t>
            </w:r>
            <w:r w:rsidRPr="007E1D52">
              <w:rPr>
                <w:rFonts w:hint="cs"/>
                <w:b/>
                <w:bCs/>
                <w:rtl/>
              </w:rPr>
              <w:t xml:space="preserve"> </w:t>
            </w:r>
            <w:r w:rsidRPr="007E1D52">
              <w:rPr>
                <w:b/>
                <w:bCs/>
                <w:rtl/>
              </w:rPr>
              <w:t>27605-04-11</w:t>
            </w:r>
            <w:r w:rsidRPr="007E1D52">
              <w:rPr>
                <w:rFonts w:hint="cs"/>
                <w:b/>
                <w:bCs/>
                <w:rtl/>
              </w:rPr>
              <w:t xml:space="preserve"> </w:t>
            </w:r>
            <w:r w:rsidRPr="007E1D52">
              <w:rPr>
                <w:b/>
                <w:bCs/>
                <w:rtl/>
              </w:rPr>
              <w:t>מדינת ישראל נ' סבג(עציר)</w:t>
            </w:r>
          </w:p>
          <w:p w14:paraId="418A2CD4" w14:textId="77777777" w:rsidR="005F1ECA" w:rsidRPr="007E1D52" w:rsidRDefault="007E1D52">
            <w:pPr>
              <w:pStyle w:val="a3"/>
              <w:tabs>
                <w:tab w:val="clear" w:pos="4153"/>
                <w:tab w:val="clear" w:pos="8306"/>
                <w:tab w:val="left" w:pos="2445"/>
              </w:tabs>
              <w:rPr>
                <w:b/>
                <w:bCs/>
                <w:rtl/>
              </w:rPr>
            </w:pPr>
            <w:r w:rsidRPr="007E1D52">
              <w:rPr>
                <w:b/>
                <w:bCs/>
                <w:rtl/>
              </w:rPr>
              <w:tab/>
            </w:r>
          </w:p>
        </w:tc>
      </w:tr>
    </w:tbl>
    <w:p w14:paraId="65F213AD" w14:textId="77777777" w:rsidR="005F1ECA" w:rsidRPr="007E1D52" w:rsidRDefault="007E1D52">
      <w:pPr>
        <w:pStyle w:val="a3"/>
      </w:pPr>
      <w:r w:rsidRPr="007E1D52">
        <w:rPr>
          <w:rFonts w:hint="cs"/>
          <w:rtl/>
        </w:rPr>
        <w:t xml:space="preserve"> </w:t>
      </w:r>
    </w:p>
    <w:p w14:paraId="12E9C8AA" w14:textId="77777777" w:rsidR="005F1ECA" w:rsidRPr="007E1D52" w:rsidRDefault="005F1EC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1"/>
        <w:gridCol w:w="8179"/>
      </w:tblGrid>
      <w:tr w:rsidR="005F1ECA" w:rsidRPr="007E1D52" w14:paraId="4FCFE908" w14:textId="77777777">
        <w:trPr>
          <w:trHeight w:val="295"/>
          <w:jc w:val="center"/>
        </w:trPr>
        <w:tc>
          <w:tcPr>
            <w:tcW w:w="583" w:type="dxa"/>
            <w:tcBorders>
              <w:top w:val="nil"/>
              <w:left w:val="nil"/>
              <w:bottom w:val="nil"/>
              <w:right w:val="nil"/>
            </w:tcBorders>
          </w:tcPr>
          <w:p w14:paraId="2DC3DC0E" w14:textId="77777777" w:rsidR="005F1ECA" w:rsidRPr="007E1D52" w:rsidRDefault="007E1D52">
            <w:pPr>
              <w:jc w:val="both"/>
              <w:rPr>
                <w:rFonts w:ascii="Arial" w:hAnsi="Arial"/>
                <w:b/>
                <w:bCs/>
                <w:sz w:val="26"/>
                <w:szCs w:val="26"/>
              </w:rPr>
            </w:pPr>
            <w:r w:rsidRPr="007E1D52">
              <w:rPr>
                <w:rFonts w:ascii="Arial" w:hAnsi="Arial" w:hint="cs"/>
                <w:b/>
                <w:bCs/>
                <w:sz w:val="26"/>
                <w:szCs w:val="26"/>
                <w:rtl/>
              </w:rPr>
              <w:t>ב</w:t>
            </w:r>
            <w:r w:rsidRPr="007E1D52">
              <w:rPr>
                <w:rFonts w:ascii="Arial" w:hAnsi="Arial"/>
                <w:b/>
                <w:bCs/>
                <w:sz w:val="26"/>
                <w:szCs w:val="26"/>
                <w:rtl/>
              </w:rPr>
              <w:t xml:space="preserve">פני </w:t>
            </w:r>
          </w:p>
        </w:tc>
        <w:tc>
          <w:tcPr>
            <w:tcW w:w="8237" w:type="dxa"/>
            <w:tcBorders>
              <w:top w:val="nil"/>
              <w:left w:val="nil"/>
              <w:bottom w:val="nil"/>
              <w:right w:val="nil"/>
            </w:tcBorders>
          </w:tcPr>
          <w:p w14:paraId="4DDDC4B3" w14:textId="77777777" w:rsidR="005F1ECA" w:rsidRPr="007E1D52" w:rsidRDefault="007E1D52">
            <w:pPr>
              <w:tabs>
                <w:tab w:val="left" w:pos="1625"/>
              </w:tabs>
              <w:rPr>
                <w:rFonts w:ascii="Arial" w:hAnsi="Arial"/>
                <w:b/>
                <w:bCs/>
                <w:sz w:val="26"/>
                <w:szCs w:val="26"/>
                <w:highlight w:val="yellow"/>
              </w:rPr>
            </w:pPr>
            <w:r w:rsidRPr="007E1D52">
              <w:rPr>
                <w:rFonts w:ascii="Arial" w:hAnsi="Arial" w:hint="cs"/>
                <w:b/>
                <w:bCs/>
                <w:sz w:val="26"/>
                <w:szCs w:val="26"/>
                <w:rtl/>
              </w:rPr>
              <w:t xml:space="preserve">כב' השופט </w:t>
            </w:r>
            <w:r w:rsidRPr="007E1D52">
              <w:rPr>
                <w:rFonts w:hint="cs"/>
                <w:b/>
                <w:bCs/>
                <w:sz w:val="26"/>
                <w:szCs w:val="26"/>
                <w:rtl/>
              </w:rPr>
              <w:t>בני שגיא, סגן נשיאה</w:t>
            </w:r>
          </w:p>
        </w:tc>
      </w:tr>
    </w:tbl>
    <w:p w14:paraId="762BC839" w14:textId="77777777" w:rsidR="005F1ECA" w:rsidRPr="007E1D52" w:rsidRDefault="005F1ECA">
      <w:pPr>
        <w:rPr>
          <w:rtl/>
        </w:rPr>
      </w:pPr>
      <w:bookmarkStart w:id="0" w:name="LastJudge"/>
      <w:bookmarkEnd w:id="0"/>
    </w:p>
    <w:p w14:paraId="08AD1744" w14:textId="77777777" w:rsidR="005F1ECA" w:rsidRPr="007E1D52" w:rsidRDefault="005F1EC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3688"/>
        <w:gridCol w:w="3699"/>
      </w:tblGrid>
      <w:tr w:rsidR="005F1ECA" w:rsidRPr="007E1D52" w14:paraId="1A2E2FF2" w14:textId="77777777">
        <w:trPr>
          <w:trHeight w:val="355"/>
          <w:jc w:val="center"/>
        </w:trPr>
        <w:tc>
          <w:tcPr>
            <w:tcW w:w="1433" w:type="dxa"/>
            <w:tcBorders>
              <w:top w:val="nil"/>
              <w:left w:val="nil"/>
              <w:bottom w:val="nil"/>
              <w:right w:val="nil"/>
            </w:tcBorders>
          </w:tcPr>
          <w:p w14:paraId="7362362F" w14:textId="77777777" w:rsidR="005F1ECA" w:rsidRPr="007E1D52" w:rsidRDefault="005F1ECA">
            <w:pPr>
              <w:jc w:val="both"/>
              <w:rPr>
                <w:rFonts w:ascii="Arial" w:hAnsi="Arial" w:cs="FrankRuehl"/>
                <w:b/>
                <w:bCs/>
                <w:sz w:val="28"/>
                <w:szCs w:val="28"/>
                <w:rtl/>
              </w:rPr>
            </w:pPr>
            <w:bookmarkStart w:id="1" w:name="FirstAppellant"/>
          </w:p>
          <w:p w14:paraId="19C5A8E8" w14:textId="77777777" w:rsidR="005F1ECA" w:rsidRPr="007E1D52" w:rsidRDefault="007E1D52">
            <w:pPr>
              <w:jc w:val="both"/>
              <w:rPr>
                <w:rFonts w:ascii="Arial" w:hAnsi="Arial"/>
                <w:b/>
                <w:bCs/>
              </w:rPr>
            </w:pPr>
            <w:r w:rsidRPr="007E1D52">
              <w:rPr>
                <w:rFonts w:ascii="Arial" w:hAnsi="Arial" w:hint="cs"/>
                <w:b/>
                <w:bCs/>
                <w:rtl/>
              </w:rPr>
              <w:t>ה</w:t>
            </w:r>
            <w:r w:rsidRPr="007E1D52">
              <w:rPr>
                <w:rFonts w:hint="cs"/>
                <w:rtl/>
              </w:rPr>
              <w:t>מאשימה</w:t>
            </w:r>
            <w:r w:rsidRPr="007E1D52">
              <w:rPr>
                <w:rFonts w:ascii="Arial" w:hAnsi="Arial" w:hint="cs"/>
                <w:b/>
                <w:bCs/>
                <w:rtl/>
              </w:rPr>
              <w:t>:</w:t>
            </w:r>
          </w:p>
        </w:tc>
        <w:tc>
          <w:tcPr>
            <w:tcW w:w="3688" w:type="dxa"/>
            <w:tcBorders>
              <w:top w:val="nil"/>
              <w:left w:val="nil"/>
              <w:bottom w:val="nil"/>
              <w:right w:val="nil"/>
            </w:tcBorders>
          </w:tcPr>
          <w:p w14:paraId="4EED7B43" w14:textId="77777777" w:rsidR="005F1ECA" w:rsidRPr="007E1D52" w:rsidRDefault="005F1ECA">
            <w:pPr>
              <w:jc w:val="both"/>
              <w:rPr>
                <w:rFonts w:ascii="Arial" w:hAnsi="Arial"/>
                <w:b/>
                <w:bCs/>
                <w:sz w:val="26"/>
                <w:szCs w:val="26"/>
                <w:rtl/>
              </w:rPr>
            </w:pPr>
          </w:p>
          <w:p w14:paraId="079E8EE9" w14:textId="77777777" w:rsidR="005F1ECA" w:rsidRPr="007E1D52" w:rsidRDefault="007E1D52">
            <w:pPr>
              <w:jc w:val="both"/>
              <w:rPr>
                <w:rFonts w:ascii="Arial" w:hAnsi="Arial"/>
                <w:b/>
                <w:bCs/>
                <w:rtl/>
              </w:rPr>
            </w:pPr>
            <w:r w:rsidRPr="007E1D52">
              <w:rPr>
                <w:rFonts w:ascii="Arial" w:hAnsi="Arial" w:hint="cs"/>
                <w:b/>
                <w:bCs/>
                <w:rtl/>
              </w:rPr>
              <w:t>מדינת ישראל – משטרת ישראל</w:t>
            </w:r>
          </w:p>
          <w:p w14:paraId="68DD44C1" w14:textId="77777777" w:rsidR="005F1ECA" w:rsidRPr="007E1D52" w:rsidRDefault="005F1ECA">
            <w:pPr>
              <w:ind w:left="720"/>
              <w:jc w:val="both"/>
              <w:rPr>
                <w:rFonts w:ascii="Arial" w:hAnsi="Arial"/>
                <w:b/>
                <w:bCs/>
              </w:rPr>
            </w:pPr>
          </w:p>
        </w:tc>
        <w:tc>
          <w:tcPr>
            <w:tcW w:w="3699" w:type="dxa"/>
            <w:tcBorders>
              <w:top w:val="nil"/>
              <w:left w:val="nil"/>
              <w:bottom w:val="nil"/>
              <w:right w:val="nil"/>
            </w:tcBorders>
          </w:tcPr>
          <w:p w14:paraId="0BA37E3A" w14:textId="77777777" w:rsidR="005F1ECA" w:rsidRPr="007E1D52" w:rsidRDefault="005F1ECA">
            <w:pPr>
              <w:jc w:val="both"/>
              <w:rPr>
                <w:rFonts w:ascii="Arial" w:hAnsi="Arial"/>
                <w:b/>
                <w:bCs/>
                <w:sz w:val="26"/>
                <w:szCs w:val="26"/>
              </w:rPr>
            </w:pPr>
          </w:p>
        </w:tc>
      </w:tr>
      <w:bookmarkEnd w:id="1"/>
      <w:tr w:rsidR="005F1ECA" w:rsidRPr="007E1D52" w14:paraId="792BFF01" w14:textId="77777777">
        <w:trPr>
          <w:trHeight w:val="355"/>
          <w:jc w:val="center"/>
        </w:trPr>
        <w:tc>
          <w:tcPr>
            <w:tcW w:w="1433" w:type="dxa"/>
            <w:tcBorders>
              <w:top w:val="nil"/>
              <w:left w:val="nil"/>
              <w:bottom w:val="nil"/>
              <w:right w:val="nil"/>
            </w:tcBorders>
          </w:tcPr>
          <w:p w14:paraId="78F20537" w14:textId="77777777" w:rsidR="005F1ECA" w:rsidRPr="007E1D52" w:rsidRDefault="005F1ECA">
            <w:pPr>
              <w:jc w:val="both"/>
              <w:rPr>
                <w:rFonts w:ascii="Arial" w:hAnsi="Arial" w:cs="FrankRuehl"/>
                <w:b/>
                <w:bCs/>
                <w:sz w:val="28"/>
                <w:szCs w:val="28"/>
                <w:rtl/>
              </w:rPr>
            </w:pPr>
          </w:p>
        </w:tc>
        <w:tc>
          <w:tcPr>
            <w:tcW w:w="7387" w:type="dxa"/>
            <w:gridSpan w:val="2"/>
            <w:tcBorders>
              <w:top w:val="nil"/>
              <w:left w:val="nil"/>
              <w:bottom w:val="nil"/>
              <w:right w:val="nil"/>
            </w:tcBorders>
            <w:vAlign w:val="center"/>
          </w:tcPr>
          <w:p w14:paraId="77BF18EC" w14:textId="77777777" w:rsidR="005F1ECA" w:rsidRPr="007E1D52" w:rsidRDefault="007E1D52">
            <w:pPr>
              <w:rPr>
                <w:rtl/>
              </w:rPr>
            </w:pPr>
            <w:r w:rsidRPr="007E1D52">
              <w:rPr>
                <w:rFonts w:hint="cs"/>
                <w:rtl/>
              </w:rPr>
              <w:t>ע"י עו"ד מיכל זנדר</w:t>
            </w:r>
          </w:p>
        </w:tc>
      </w:tr>
      <w:tr w:rsidR="005F1ECA" w:rsidRPr="007E1D52" w14:paraId="057712D2" w14:textId="77777777">
        <w:trPr>
          <w:trHeight w:val="355"/>
          <w:jc w:val="center"/>
        </w:trPr>
        <w:tc>
          <w:tcPr>
            <w:tcW w:w="1433" w:type="dxa"/>
            <w:tcBorders>
              <w:top w:val="nil"/>
              <w:left w:val="nil"/>
              <w:bottom w:val="nil"/>
              <w:right w:val="nil"/>
            </w:tcBorders>
          </w:tcPr>
          <w:p w14:paraId="27E2D183" w14:textId="77777777" w:rsidR="005F1ECA" w:rsidRPr="007E1D52" w:rsidRDefault="005F1ECA">
            <w:pPr>
              <w:jc w:val="both"/>
              <w:rPr>
                <w:rFonts w:ascii="Arial" w:hAnsi="Arial" w:cs="FrankRuehl"/>
                <w:b/>
                <w:bCs/>
                <w:sz w:val="28"/>
                <w:szCs w:val="28"/>
                <w:rtl/>
              </w:rPr>
            </w:pPr>
          </w:p>
        </w:tc>
        <w:tc>
          <w:tcPr>
            <w:tcW w:w="7387" w:type="dxa"/>
            <w:gridSpan w:val="2"/>
            <w:tcBorders>
              <w:top w:val="nil"/>
              <w:left w:val="nil"/>
              <w:bottom w:val="nil"/>
              <w:right w:val="nil"/>
            </w:tcBorders>
          </w:tcPr>
          <w:p w14:paraId="438C43B7" w14:textId="77777777" w:rsidR="005F1ECA" w:rsidRPr="007E1D52" w:rsidRDefault="005F1ECA">
            <w:pPr>
              <w:jc w:val="center"/>
              <w:rPr>
                <w:rFonts w:ascii="Arial" w:hAnsi="Arial"/>
                <w:b/>
                <w:bCs/>
                <w:sz w:val="26"/>
                <w:szCs w:val="26"/>
                <w:rtl/>
              </w:rPr>
            </w:pPr>
          </w:p>
          <w:p w14:paraId="770E9500" w14:textId="77777777" w:rsidR="005F1ECA" w:rsidRPr="007E1D52" w:rsidRDefault="007E1D52">
            <w:pPr>
              <w:jc w:val="center"/>
              <w:rPr>
                <w:rFonts w:ascii="Arial" w:hAnsi="Arial"/>
                <w:b/>
                <w:bCs/>
                <w:sz w:val="26"/>
                <w:szCs w:val="26"/>
              </w:rPr>
            </w:pPr>
            <w:r w:rsidRPr="007E1D52">
              <w:rPr>
                <w:rFonts w:ascii="Arial" w:hAnsi="Arial"/>
                <w:b/>
                <w:bCs/>
                <w:sz w:val="26"/>
                <w:szCs w:val="26"/>
                <w:rtl/>
              </w:rPr>
              <w:t>נגד</w:t>
            </w:r>
          </w:p>
        </w:tc>
      </w:tr>
      <w:tr w:rsidR="005F1ECA" w:rsidRPr="007E1D52" w14:paraId="684E8B7A" w14:textId="77777777">
        <w:trPr>
          <w:trHeight w:val="355"/>
          <w:jc w:val="center"/>
        </w:trPr>
        <w:tc>
          <w:tcPr>
            <w:tcW w:w="1433" w:type="dxa"/>
            <w:tcBorders>
              <w:top w:val="nil"/>
              <w:left w:val="nil"/>
              <w:bottom w:val="nil"/>
              <w:right w:val="nil"/>
            </w:tcBorders>
          </w:tcPr>
          <w:p w14:paraId="4419B278" w14:textId="77777777" w:rsidR="005F1ECA" w:rsidRPr="007E1D52" w:rsidRDefault="007E1D52">
            <w:pPr>
              <w:jc w:val="both"/>
              <w:rPr>
                <w:rFonts w:ascii="Arial" w:hAnsi="Arial"/>
                <w:b/>
                <w:bCs/>
                <w:rtl/>
              </w:rPr>
            </w:pPr>
            <w:r w:rsidRPr="007E1D52">
              <w:rPr>
                <w:rFonts w:ascii="Arial" w:hAnsi="Arial" w:hint="cs"/>
                <w:b/>
                <w:bCs/>
                <w:rtl/>
              </w:rPr>
              <w:t>ה</w:t>
            </w:r>
            <w:r w:rsidRPr="007E1D52">
              <w:rPr>
                <w:rFonts w:hint="cs"/>
                <w:rtl/>
              </w:rPr>
              <w:t>נאשם</w:t>
            </w:r>
            <w:r w:rsidRPr="007E1D52">
              <w:rPr>
                <w:rFonts w:ascii="Arial" w:hAnsi="Arial" w:hint="cs"/>
                <w:b/>
                <w:bCs/>
                <w:rtl/>
              </w:rPr>
              <w:t>:</w:t>
            </w:r>
          </w:p>
        </w:tc>
        <w:tc>
          <w:tcPr>
            <w:tcW w:w="3688" w:type="dxa"/>
            <w:tcBorders>
              <w:top w:val="nil"/>
              <w:left w:val="nil"/>
              <w:bottom w:val="nil"/>
              <w:right w:val="nil"/>
            </w:tcBorders>
          </w:tcPr>
          <w:p w14:paraId="28E07791" w14:textId="77777777" w:rsidR="005F1ECA" w:rsidRPr="007E1D52" w:rsidRDefault="007E1D52">
            <w:pPr>
              <w:jc w:val="both"/>
              <w:rPr>
                <w:b/>
                <w:bCs/>
                <w:rtl/>
              </w:rPr>
            </w:pPr>
            <w:r w:rsidRPr="007E1D52">
              <w:rPr>
                <w:rFonts w:hint="cs"/>
                <w:rtl/>
              </w:rPr>
              <w:t xml:space="preserve">יניב סבג </w:t>
            </w:r>
          </w:p>
          <w:p w14:paraId="4657C493" w14:textId="77777777" w:rsidR="005F1ECA" w:rsidRPr="007E1D52" w:rsidRDefault="005F1ECA">
            <w:pPr>
              <w:ind w:left="720"/>
              <w:jc w:val="both"/>
              <w:rPr>
                <w:b/>
                <w:bCs/>
                <w:rtl/>
              </w:rPr>
            </w:pPr>
          </w:p>
        </w:tc>
        <w:tc>
          <w:tcPr>
            <w:tcW w:w="3699" w:type="dxa"/>
            <w:tcBorders>
              <w:top w:val="nil"/>
              <w:left w:val="nil"/>
              <w:bottom w:val="nil"/>
              <w:right w:val="nil"/>
            </w:tcBorders>
          </w:tcPr>
          <w:p w14:paraId="301D1F82" w14:textId="77777777" w:rsidR="005F1ECA" w:rsidRPr="007E1D52" w:rsidRDefault="005F1ECA">
            <w:pPr>
              <w:jc w:val="right"/>
              <w:rPr>
                <w:rFonts w:ascii="Arial" w:hAnsi="Arial"/>
                <w:b/>
                <w:bCs/>
                <w:sz w:val="26"/>
                <w:szCs w:val="26"/>
              </w:rPr>
            </w:pPr>
          </w:p>
        </w:tc>
      </w:tr>
      <w:tr w:rsidR="005F1ECA" w:rsidRPr="007E1D52" w14:paraId="3E71D9DE" w14:textId="77777777">
        <w:trPr>
          <w:trHeight w:val="355"/>
          <w:jc w:val="center"/>
        </w:trPr>
        <w:tc>
          <w:tcPr>
            <w:tcW w:w="1433" w:type="dxa"/>
            <w:tcBorders>
              <w:top w:val="nil"/>
              <w:left w:val="nil"/>
              <w:bottom w:val="nil"/>
              <w:right w:val="nil"/>
            </w:tcBorders>
          </w:tcPr>
          <w:p w14:paraId="2849AB93" w14:textId="77777777" w:rsidR="005F1ECA" w:rsidRPr="007E1D52" w:rsidRDefault="005F1ECA">
            <w:pPr>
              <w:jc w:val="both"/>
              <w:rPr>
                <w:rFonts w:ascii="Arial" w:hAnsi="Arial" w:cs="FrankRuehl"/>
                <w:b/>
                <w:bCs/>
                <w:sz w:val="28"/>
                <w:szCs w:val="28"/>
                <w:rtl/>
              </w:rPr>
            </w:pPr>
            <w:bookmarkStart w:id="2" w:name="FirstLawyer"/>
          </w:p>
        </w:tc>
        <w:tc>
          <w:tcPr>
            <w:tcW w:w="7387" w:type="dxa"/>
            <w:gridSpan w:val="2"/>
            <w:tcBorders>
              <w:top w:val="nil"/>
              <w:left w:val="nil"/>
              <w:bottom w:val="nil"/>
              <w:right w:val="nil"/>
            </w:tcBorders>
            <w:vAlign w:val="center"/>
          </w:tcPr>
          <w:p w14:paraId="2D480197" w14:textId="77777777" w:rsidR="005F1ECA" w:rsidRPr="007E1D52" w:rsidRDefault="007E1D52">
            <w:pPr>
              <w:rPr>
                <w:rFonts w:ascii="Arial" w:hAnsi="Arial"/>
                <w:b/>
                <w:bCs/>
                <w:sz w:val="26"/>
                <w:szCs w:val="26"/>
              </w:rPr>
            </w:pPr>
            <w:r w:rsidRPr="007E1D52">
              <w:rPr>
                <w:rFonts w:hint="cs"/>
                <w:rtl/>
              </w:rPr>
              <w:t>ע"י ב"כ עו"ד צחי רז</w:t>
            </w:r>
          </w:p>
        </w:tc>
      </w:tr>
    </w:tbl>
    <w:p w14:paraId="30BFF596" w14:textId="77777777" w:rsidR="001501CC" w:rsidRDefault="001501CC">
      <w:pPr>
        <w:rPr>
          <w:rtl/>
        </w:rPr>
      </w:pPr>
      <w:bookmarkStart w:id="3" w:name="LawTable"/>
      <w:bookmarkEnd w:id="2"/>
    </w:p>
    <w:p w14:paraId="4F3D5076" w14:textId="77777777" w:rsidR="001501CC" w:rsidRPr="001501CC" w:rsidRDefault="001501CC" w:rsidP="001501CC">
      <w:pPr>
        <w:spacing w:after="120" w:line="240" w:lineRule="exact"/>
        <w:ind w:left="283" w:hanging="283"/>
        <w:jc w:val="both"/>
        <w:rPr>
          <w:rFonts w:ascii="FrankRuehl" w:hAnsi="FrankRuehl" w:cs="FrankRuehl"/>
          <w:rtl/>
        </w:rPr>
      </w:pPr>
    </w:p>
    <w:p w14:paraId="7E4497F4" w14:textId="77777777" w:rsidR="001501CC" w:rsidRPr="001501CC" w:rsidRDefault="001501CC" w:rsidP="001501CC">
      <w:pPr>
        <w:spacing w:after="120" w:line="240" w:lineRule="exact"/>
        <w:ind w:left="283" w:hanging="283"/>
        <w:jc w:val="both"/>
        <w:rPr>
          <w:rFonts w:ascii="FrankRuehl" w:hAnsi="FrankRuehl" w:cs="FrankRuehl"/>
          <w:rtl/>
        </w:rPr>
      </w:pPr>
      <w:r w:rsidRPr="001501CC">
        <w:rPr>
          <w:rFonts w:ascii="FrankRuehl" w:hAnsi="FrankRuehl" w:cs="FrankRuehl" w:hint="eastAsia"/>
          <w:rtl/>
        </w:rPr>
        <w:t>חקיקה</w:t>
      </w:r>
      <w:r w:rsidRPr="001501CC">
        <w:rPr>
          <w:rFonts w:ascii="FrankRuehl" w:hAnsi="FrankRuehl" w:cs="FrankRuehl"/>
          <w:rtl/>
        </w:rPr>
        <w:t xml:space="preserve"> </w:t>
      </w:r>
      <w:r w:rsidRPr="001501CC">
        <w:rPr>
          <w:rFonts w:ascii="FrankRuehl" w:hAnsi="FrankRuehl" w:cs="FrankRuehl" w:hint="eastAsia"/>
          <w:rtl/>
        </w:rPr>
        <w:t>שאוזכרה</w:t>
      </w:r>
      <w:r w:rsidRPr="001501CC">
        <w:rPr>
          <w:rFonts w:ascii="FrankRuehl" w:hAnsi="FrankRuehl" w:cs="FrankRuehl"/>
          <w:rtl/>
        </w:rPr>
        <w:t xml:space="preserve">: </w:t>
      </w:r>
    </w:p>
    <w:p w14:paraId="28866AB9" w14:textId="77777777" w:rsidR="001501CC" w:rsidRPr="001501CC" w:rsidRDefault="001501CC" w:rsidP="001501CC">
      <w:pPr>
        <w:spacing w:after="120" w:line="240" w:lineRule="exact"/>
        <w:ind w:left="283" w:hanging="283"/>
        <w:jc w:val="both"/>
        <w:rPr>
          <w:rFonts w:ascii="FrankRuehl" w:hAnsi="FrankRuehl" w:cs="FrankRuehl"/>
          <w:rtl/>
        </w:rPr>
      </w:pPr>
      <w:hyperlink r:id="rId6" w:history="1">
        <w:r w:rsidRPr="001501CC">
          <w:rPr>
            <w:rFonts w:ascii="FrankRuehl" w:hAnsi="FrankRuehl" w:cs="FrankRuehl" w:hint="eastAsia"/>
            <w:color w:val="0000FF"/>
            <w:u w:val="single"/>
            <w:rtl/>
          </w:rPr>
          <w:t>פקודת</w:t>
        </w:r>
        <w:r w:rsidRPr="001501CC">
          <w:rPr>
            <w:rFonts w:ascii="FrankRuehl" w:hAnsi="FrankRuehl" w:cs="FrankRuehl"/>
            <w:color w:val="0000FF"/>
            <w:u w:val="single"/>
            <w:rtl/>
          </w:rPr>
          <w:t xml:space="preserve"> </w:t>
        </w:r>
        <w:r w:rsidRPr="001501CC">
          <w:rPr>
            <w:rFonts w:ascii="FrankRuehl" w:hAnsi="FrankRuehl" w:cs="FrankRuehl" w:hint="eastAsia"/>
            <w:color w:val="0000FF"/>
            <w:u w:val="single"/>
            <w:rtl/>
          </w:rPr>
          <w:t>הסמים</w:t>
        </w:r>
        <w:r w:rsidRPr="001501CC">
          <w:rPr>
            <w:rFonts w:ascii="FrankRuehl" w:hAnsi="FrankRuehl" w:cs="FrankRuehl"/>
            <w:color w:val="0000FF"/>
            <w:u w:val="single"/>
            <w:rtl/>
          </w:rPr>
          <w:t xml:space="preserve"> </w:t>
        </w:r>
        <w:r w:rsidRPr="001501CC">
          <w:rPr>
            <w:rFonts w:ascii="FrankRuehl" w:hAnsi="FrankRuehl" w:cs="FrankRuehl" w:hint="eastAsia"/>
            <w:color w:val="0000FF"/>
            <w:u w:val="single"/>
            <w:rtl/>
          </w:rPr>
          <w:t>המסוכנים</w:t>
        </w:r>
        <w:r w:rsidRPr="001501CC">
          <w:rPr>
            <w:rFonts w:ascii="FrankRuehl" w:hAnsi="FrankRuehl" w:cs="FrankRuehl"/>
            <w:color w:val="0000FF"/>
            <w:u w:val="single"/>
            <w:rtl/>
          </w:rPr>
          <w:t xml:space="preserve"> [</w:t>
        </w:r>
        <w:r w:rsidRPr="001501CC">
          <w:rPr>
            <w:rFonts w:ascii="FrankRuehl" w:hAnsi="FrankRuehl" w:cs="FrankRuehl" w:hint="eastAsia"/>
            <w:color w:val="0000FF"/>
            <w:u w:val="single"/>
            <w:rtl/>
          </w:rPr>
          <w:t>נוסח</w:t>
        </w:r>
        <w:r w:rsidRPr="001501CC">
          <w:rPr>
            <w:rFonts w:ascii="FrankRuehl" w:hAnsi="FrankRuehl" w:cs="FrankRuehl"/>
            <w:color w:val="0000FF"/>
            <w:u w:val="single"/>
            <w:rtl/>
          </w:rPr>
          <w:t xml:space="preserve"> </w:t>
        </w:r>
        <w:r w:rsidRPr="001501CC">
          <w:rPr>
            <w:rFonts w:ascii="FrankRuehl" w:hAnsi="FrankRuehl" w:cs="FrankRuehl" w:hint="eastAsia"/>
            <w:color w:val="0000FF"/>
            <w:u w:val="single"/>
            <w:rtl/>
          </w:rPr>
          <w:t>חדש</w:t>
        </w:r>
        <w:r w:rsidRPr="001501CC">
          <w:rPr>
            <w:rFonts w:ascii="FrankRuehl" w:hAnsi="FrankRuehl" w:cs="FrankRuehl"/>
            <w:color w:val="0000FF"/>
            <w:u w:val="single"/>
            <w:rtl/>
          </w:rPr>
          <w:t xml:space="preserve">], </w:t>
        </w:r>
        <w:r w:rsidRPr="001501CC">
          <w:rPr>
            <w:rFonts w:ascii="FrankRuehl" w:hAnsi="FrankRuehl" w:cs="FrankRuehl" w:hint="eastAsia"/>
            <w:color w:val="0000FF"/>
            <w:u w:val="single"/>
            <w:rtl/>
          </w:rPr>
          <w:t>תשל</w:t>
        </w:r>
        <w:r w:rsidRPr="001501CC">
          <w:rPr>
            <w:rFonts w:ascii="FrankRuehl" w:hAnsi="FrankRuehl" w:cs="FrankRuehl"/>
            <w:color w:val="0000FF"/>
            <w:u w:val="single"/>
            <w:rtl/>
          </w:rPr>
          <w:t>"</w:t>
        </w:r>
        <w:r w:rsidRPr="001501CC">
          <w:rPr>
            <w:rFonts w:ascii="FrankRuehl" w:hAnsi="FrankRuehl" w:cs="FrankRuehl" w:hint="eastAsia"/>
            <w:color w:val="0000FF"/>
            <w:u w:val="single"/>
            <w:rtl/>
          </w:rPr>
          <w:t>ג</w:t>
        </w:r>
        <w:r w:rsidRPr="001501CC">
          <w:rPr>
            <w:rFonts w:ascii="FrankRuehl" w:hAnsi="FrankRuehl" w:cs="FrankRuehl"/>
            <w:color w:val="0000FF"/>
            <w:u w:val="single"/>
            <w:rtl/>
          </w:rPr>
          <w:t>-1973</w:t>
        </w:r>
      </w:hyperlink>
      <w:r w:rsidRPr="001501CC">
        <w:rPr>
          <w:rFonts w:ascii="FrankRuehl" w:hAnsi="FrankRuehl" w:cs="FrankRuehl"/>
          <w:rtl/>
        </w:rPr>
        <w:t xml:space="preserve">: </w:t>
      </w:r>
      <w:r w:rsidRPr="001501CC">
        <w:rPr>
          <w:rFonts w:ascii="FrankRuehl" w:hAnsi="FrankRuehl" w:cs="FrankRuehl" w:hint="eastAsia"/>
          <w:rtl/>
        </w:rPr>
        <w:t>סע</w:t>
      </w:r>
      <w:r w:rsidRPr="001501CC">
        <w:rPr>
          <w:rFonts w:ascii="FrankRuehl" w:hAnsi="FrankRuehl" w:cs="FrankRuehl"/>
          <w:rtl/>
        </w:rPr>
        <w:t xml:space="preserve">'  </w:t>
      </w:r>
      <w:hyperlink r:id="rId7" w:history="1">
        <w:r w:rsidRPr="001501CC">
          <w:rPr>
            <w:rFonts w:ascii="FrankRuehl" w:hAnsi="FrankRuehl" w:cs="FrankRuehl"/>
            <w:color w:val="0000FF"/>
            <w:u w:val="single"/>
            <w:rtl/>
          </w:rPr>
          <w:t>6</w:t>
        </w:r>
      </w:hyperlink>
      <w:r w:rsidRPr="001501CC">
        <w:rPr>
          <w:rFonts w:ascii="FrankRuehl" w:hAnsi="FrankRuehl" w:cs="FrankRuehl"/>
          <w:rtl/>
        </w:rPr>
        <w:t xml:space="preserve">, </w:t>
      </w:r>
      <w:hyperlink r:id="rId8" w:history="1">
        <w:r w:rsidRPr="001501CC">
          <w:rPr>
            <w:rFonts w:ascii="FrankRuehl" w:hAnsi="FrankRuehl" w:cs="FrankRuehl"/>
            <w:color w:val="0000FF"/>
            <w:u w:val="single"/>
            <w:rtl/>
          </w:rPr>
          <w:t>7.</w:t>
        </w:r>
        <w:r w:rsidRPr="001501CC">
          <w:rPr>
            <w:rFonts w:ascii="FrankRuehl" w:hAnsi="FrankRuehl" w:cs="FrankRuehl" w:hint="eastAsia"/>
            <w:color w:val="0000FF"/>
            <w:u w:val="single"/>
            <w:rtl/>
          </w:rPr>
          <w:t>א</w:t>
        </w:r>
        <w:r w:rsidRPr="001501CC">
          <w:rPr>
            <w:rFonts w:ascii="FrankRuehl" w:hAnsi="FrankRuehl" w:cs="FrankRuehl"/>
            <w:color w:val="0000FF"/>
            <w:u w:val="single"/>
            <w:rtl/>
          </w:rPr>
          <w:t>.</w:t>
        </w:r>
      </w:hyperlink>
      <w:r w:rsidRPr="001501CC">
        <w:rPr>
          <w:rFonts w:ascii="FrankRuehl" w:hAnsi="FrankRuehl" w:cs="FrankRuehl"/>
          <w:rtl/>
        </w:rPr>
        <w:t xml:space="preserve">, </w:t>
      </w:r>
      <w:hyperlink r:id="rId9" w:history="1">
        <w:r w:rsidRPr="001501CC">
          <w:rPr>
            <w:rFonts w:ascii="FrankRuehl" w:hAnsi="FrankRuehl" w:cs="FrankRuehl"/>
            <w:color w:val="0000FF"/>
            <w:u w:val="single"/>
            <w:rtl/>
          </w:rPr>
          <w:t>7.</w:t>
        </w:r>
        <w:r w:rsidRPr="001501CC">
          <w:rPr>
            <w:rFonts w:ascii="FrankRuehl" w:hAnsi="FrankRuehl" w:cs="FrankRuehl" w:hint="eastAsia"/>
            <w:color w:val="0000FF"/>
            <w:u w:val="single"/>
            <w:rtl/>
          </w:rPr>
          <w:t>ג</w:t>
        </w:r>
      </w:hyperlink>
    </w:p>
    <w:bookmarkEnd w:id="3"/>
    <w:p w14:paraId="47B8F115" w14:textId="77777777" w:rsidR="005F1ECA" w:rsidRPr="007E1D52" w:rsidRDefault="005F1ECA">
      <w:pPr>
        <w:rPr>
          <w:rtl/>
        </w:rPr>
      </w:pPr>
    </w:p>
    <w:p w14:paraId="1D057D1C" w14:textId="77777777" w:rsidR="005F1ECA" w:rsidRPr="007E1D52" w:rsidRDefault="005F1EC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F1ECA" w14:paraId="7FD28060" w14:textId="77777777">
        <w:trPr>
          <w:trHeight w:val="355"/>
          <w:jc w:val="center"/>
        </w:trPr>
        <w:tc>
          <w:tcPr>
            <w:tcW w:w="8820" w:type="dxa"/>
            <w:tcBorders>
              <w:top w:val="nil"/>
              <w:left w:val="nil"/>
              <w:bottom w:val="nil"/>
              <w:right w:val="nil"/>
            </w:tcBorders>
          </w:tcPr>
          <w:p w14:paraId="769D63C6" w14:textId="77777777" w:rsidR="007E1D52" w:rsidRPr="007E1D52" w:rsidRDefault="007E1D52" w:rsidP="007E1D52">
            <w:pPr>
              <w:jc w:val="center"/>
              <w:rPr>
                <w:rFonts w:ascii="Arial" w:hAnsi="Arial"/>
                <w:b/>
                <w:bCs/>
                <w:sz w:val="26"/>
                <w:szCs w:val="26"/>
                <w:u w:val="single"/>
                <w:rtl/>
              </w:rPr>
            </w:pPr>
            <w:bookmarkStart w:id="4" w:name="PsakDin" w:colFirst="0" w:colLast="0"/>
            <w:r w:rsidRPr="007E1D52">
              <w:rPr>
                <w:rFonts w:ascii="Arial" w:hAnsi="Arial"/>
                <w:b/>
                <w:bCs/>
                <w:sz w:val="26"/>
                <w:szCs w:val="26"/>
                <w:u w:val="single"/>
                <w:rtl/>
              </w:rPr>
              <w:t>גזר דין</w:t>
            </w:r>
          </w:p>
          <w:p w14:paraId="0F09A383" w14:textId="77777777" w:rsidR="005F1ECA" w:rsidRPr="007E1D52" w:rsidRDefault="005F1ECA" w:rsidP="007E1D52">
            <w:pPr>
              <w:jc w:val="center"/>
              <w:rPr>
                <w:rFonts w:ascii="Arial" w:hAnsi="Arial"/>
                <w:bCs/>
                <w:sz w:val="26"/>
                <w:szCs w:val="26"/>
                <w:u w:val="single"/>
                <w:rtl/>
              </w:rPr>
            </w:pPr>
          </w:p>
        </w:tc>
      </w:tr>
      <w:bookmarkEnd w:id="4"/>
    </w:tbl>
    <w:p w14:paraId="4993CE06" w14:textId="77777777" w:rsidR="005F1ECA" w:rsidRDefault="005F1ECA">
      <w:pPr>
        <w:spacing w:line="360" w:lineRule="auto"/>
        <w:rPr>
          <w:rtl/>
        </w:rPr>
      </w:pPr>
    </w:p>
    <w:p w14:paraId="46538C6E" w14:textId="77777777" w:rsidR="005F1ECA" w:rsidRDefault="005F1ECA">
      <w:pPr>
        <w:jc w:val="both"/>
        <w:rPr>
          <w:rFonts w:ascii="Arial" w:hAnsi="Arial"/>
        </w:rPr>
      </w:pPr>
    </w:p>
    <w:p w14:paraId="0E3F200C" w14:textId="77777777" w:rsidR="005F1ECA" w:rsidRDefault="007E1D52">
      <w:pPr>
        <w:spacing w:line="360" w:lineRule="auto"/>
        <w:ind w:firstLine="720"/>
        <w:jc w:val="both"/>
        <w:rPr>
          <w:rFonts w:ascii="Arial" w:hAnsi="Arial"/>
          <w:u w:val="single"/>
          <w:rtl/>
        </w:rPr>
      </w:pPr>
      <w:r>
        <w:rPr>
          <w:rFonts w:ascii="Arial" w:hAnsi="Arial" w:hint="cs"/>
          <w:u w:val="single"/>
          <w:rtl/>
        </w:rPr>
        <w:t>כללי</w:t>
      </w:r>
    </w:p>
    <w:p w14:paraId="26BD15CC" w14:textId="77777777" w:rsidR="005F1ECA" w:rsidRDefault="005F1ECA">
      <w:pPr>
        <w:spacing w:line="360" w:lineRule="auto"/>
        <w:jc w:val="both"/>
        <w:rPr>
          <w:rFonts w:ascii="Arial" w:hAnsi="Arial"/>
          <w:rtl/>
        </w:rPr>
      </w:pPr>
    </w:p>
    <w:p w14:paraId="3EF9F7BE" w14:textId="77777777" w:rsidR="005F1ECA" w:rsidRDefault="007E1D52">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5" w:name="ABSTRACT_START"/>
      <w:bookmarkEnd w:id="5"/>
      <w:r>
        <w:rPr>
          <w:rFonts w:ascii="Arial" w:hAnsi="Arial" w:hint="cs"/>
          <w:rtl/>
        </w:rPr>
        <w:t xml:space="preserve">הנאשם הורשע, על יסוד הודאתו, במסגרת הסדר טיעון, בכתב אישום מתוקן שעניינו עבירות סמים. </w:t>
      </w:r>
    </w:p>
    <w:p w14:paraId="16A21C8D" w14:textId="77777777" w:rsidR="005F1ECA" w:rsidRDefault="005F1ECA">
      <w:pPr>
        <w:spacing w:line="360" w:lineRule="auto"/>
        <w:jc w:val="both"/>
        <w:rPr>
          <w:rFonts w:ascii="Arial" w:hAnsi="Arial"/>
          <w:rtl/>
        </w:rPr>
      </w:pPr>
      <w:bookmarkStart w:id="6" w:name="ABSTRACT_END"/>
      <w:bookmarkEnd w:id="6"/>
    </w:p>
    <w:p w14:paraId="642E0F9B" w14:textId="77777777" w:rsidR="005F1ECA" w:rsidRDefault="007E1D52">
      <w:pPr>
        <w:spacing w:line="360" w:lineRule="auto"/>
        <w:ind w:left="720"/>
        <w:jc w:val="both"/>
        <w:rPr>
          <w:rFonts w:ascii="Arial" w:hAnsi="Arial"/>
          <w:rtl/>
        </w:rPr>
      </w:pPr>
      <w:r>
        <w:rPr>
          <w:rFonts w:ascii="Arial" w:hAnsi="Arial" w:hint="cs"/>
          <w:rtl/>
        </w:rPr>
        <w:t>הודאת הנאשם ניתנה מבלי שגובשה הסכמה באשר לעונש והצדדים טענו כראות עיניהם בעניין זה.</w:t>
      </w:r>
    </w:p>
    <w:p w14:paraId="5619AAF6" w14:textId="77777777" w:rsidR="005F1ECA" w:rsidRDefault="005F1ECA">
      <w:pPr>
        <w:spacing w:line="360" w:lineRule="auto"/>
        <w:jc w:val="both"/>
        <w:rPr>
          <w:rFonts w:ascii="Arial" w:hAnsi="Arial"/>
          <w:u w:val="single"/>
          <w:rtl/>
        </w:rPr>
      </w:pPr>
    </w:p>
    <w:p w14:paraId="31C090A9" w14:textId="77777777" w:rsidR="005F1ECA" w:rsidRDefault="007E1D52">
      <w:pPr>
        <w:spacing w:line="360" w:lineRule="auto"/>
        <w:ind w:left="720" w:hanging="720"/>
        <w:jc w:val="both"/>
        <w:rPr>
          <w:rFonts w:ascii="Arial" w:hAnsi="Arial"/>
          <w:rtl/>
        </w:rPr>
      </w:pPr>
      <w:r>
        <w:rPr>
          <w:rFonts w:ascii="Arial" w:hAnsi="Arial" w:hint="cs"/>
          <w:rtl/>
        </w:rPr>
        <w:t>2.</w:t>
      </w:r>
      <w:r>
        <w:rPr>
          <w:rFonts w:ascii="Arial" w:hAnsi="Arial" w:hint="cs"/>
          <w:rtl/>
        </w:rPr>
        <w:tab/>
      </w:r>
      <w:r>
        <w:rPr>
          <w:rFonts w:ascii="Arial" w:hAnsi="Arial" w:hint="cs"/>
          <w:b/>
          <w:bCs/>
          <w:rtl/>
        </w:rPr>
        <w:t xml:space="preserve">על פי עובדות כתב האישום המתוקן, </w:t>
      </w:r>
      <w:r>
        <w:rPr>
          <w:rFonts w:ascii="Arial" w:hAnsi="Arial" w:hint="cs"/>
          <w:rtl/>
        </w:rPr>
        <w:t>הנאשם גידל סמים בתוך מעבדה בחדר מוצפן ומוסלק בביתו, בכמות מסחרית, שלא לצריכה עצמית (</w:t>
      </w:r>
      <w:smartTag w:uri="urn:schemas-microsoft-com:office:smarttags" w:element="metricconverter">
        <w:smartTagPr>
          <w:attr w:name="ProductID" w:val="3.6 ק&quot;ג"/>
        </w:smartTagPr>
        <w:r>
          <w:rPr>
            <w:rFonts w:ascii="Arial" w:hAnsi="Arial" w:hint="cs"/>
            <w:rtl/>
          </w:rPr>
          <w:t>3.6 ק"ג</w:t>
        </w:r>
      </w:smartTag>
      <w:r>
        <w:rPr>
          <w:rFonts w:ascii="Arial" w:hAnsi="Arial" w:hint="cs"/>
          <w:rtl/>
        </w:rPr>
        <w:t xml:space="preserve"> נטו וכן 462.08 סם מסוכן קנבוס), וכן החזיק בדירה כלים, ציוד ועזרים שיש בהם כדי למנף את תהליך גידול הסמים, לרבות ספוגים, מזמרות, חומרי דישון, אדניות, תאורה מתאימה ועוד. בנוסף, החזיק הנאשם בביתו </w:t>
      </w:r>
      <w:smartTag w:uri="urn:schemas-microsoft-com:office:smarttags" w:element="metricconverter">
        <w:smartTagPr>
          <w:attr w:name="ProductID" w:val="7.27 גרם"/>
        </w:smartTagPr>
        <w:r>
          <w:rPr>
            <w:rFonts w:ascii="Arial" w:hAnsi="Arial" w:hint="cs"/>
            <w:rtl/>
          </w:rPr>
          <w:t>7.27 גרם</w:t>
        </w:r>
      </w:smartTag>
      <w:r>
        <w:rPr>
          <w:rFonts w:ascii="Arial" w:hAnsi="Arial" w:hint="cs"/>
          <w:rtl/>
        </w:rPr>
        <w:t xml:space="preserve"> של סם מסוכן מסוג קנבוס, לצריכה עצמית.</w:t>
      </w:r>
    </w:p>
    <w:p w14:paraId="437A6F72" w14:textId="77777777" w:rsidR="005F1ECA" w:rsidRDefault="005F1ECA">
      <w:pPr>
        <w:spacing w:line="360" w:lineRule="auto"/>
        <w:ind w:left="720" w:hanging="720"/>
        <w:jc w:val="both"/>
        <w:rPr>
          <w:rFonts w:ascii="Arial" w:hAnsi="Arial"/>
          <w:rtl/>
        </w:rPr>
      </w:pPr>
    </w:p>
    <w:p w14:paraId="4B125044" w14:textId="77777777" w:rsidR="005F1ECA" w:rsidRDefault="007E1D52">
      <w:pPr>
        <w:spacing w:line="360" w:lineRule="auto"/>
        <w:ind w:left="720"/>
        <w:jc w:val="both"/>
        <w:rPr>
          <w:rFonts w:ascii="Arial" w:hAnsi="Arial"/>
          <w:rtl/>
        </w:rPr>
      </w:pPr>
      <w:r>
        <w:rPr>
          <w:rFonts w:ascii="Arial" w:hAnsi="Arial" w:hint="cs"/>
          <w:rtl/>
        </w:rPr>
        <w:t xml:space="preserve">על יסוד העובדות האמורות, הורשע הנאשם בעבירה של גידול יצור הכנת סמים מסוכנים, לפי </w:t>
      </w:r>
      <w:hyperlink r:id="rId10" w:history="1">
        <w:r w:rsidR="001501CC" w:rsidRPr="001501CC">
          <w:rPr>
            <w:rFonts w:ascii="Arial" w:hAnsi="Arial"/>
            <w:color w:val="0000FF"/>
            <w:u w:val="single"/>
            <w:rtl/>
          </w:rPr>
          <w:t>סעיף 6</w:t>
        </w:r>
      </w:hyperlink>
      <w:r>
        <w:rPr>
          <w:rFonts w:ascii="Arial" w:hAnsi="Arial" w:hint="cs"/>
          <w:rtl/>
        </w:rPr>
        <w:t xml:space="preserve"> ל</w:t>
      </w:r>
      <w:hyperlink r:id="rId11" w:history="1">
        <w:r w:rsidRPr="007E1D52">
          <w:rPr>
            <w:rFonts w:ascii="Arial" w:hAnsi="Arial"/>
            <w:color w:val="0000FF"/>
            <w:u w:val="single"/>
            <w:rtl/>
          </w:rPr>
          <w:t>פקודת הסמים המסוכנים</w:t>
        </w:r>
      </w:hyperlink>
      <w:r>
        <w:rPr>
          <w:rFonts w:ascii="Arial" w:hAnsi="Arial" w:hint="cs"/>
          <w:rtl/>
        </w:rPr>
        <w:t xml:space="preserve"> (נוסח חדש), תשל"ג 1973 (להלן – </w:t>
      </w:r>
      <w:r>
        <w:rPr>
          <w:rFonts w:ascii="Arial" w:hAnsi="Arial" w:hint="cs"/>
          <w:b/>
          <w:bCs/>
          <w:rtl/>
        </w:rPr>
        <w:t>פקודת הסמים</w:t>
      </w:r>
      <w:r>
        <w:rPr>
          <w:rFonts w:ascii="Arial" w:hAnsi="Arial" w:hint="cs"/>
          <w:rtl/>
        </w:rPr>
        <w:t xml:space="preserve">) ובעבירה של החזקת סמים מסוכנים לצריכה עצמית, לפי </w:t>
      </w:r>
      <w:hyperlink r:id="rId12" w:history="1">
        <w:r w:rsidR="001501CC" w:rsidRPr="001501CC">
          <w:rPr>
            <w:rFonts w:ascii="Arial" w:hAnsi="Arial"/>
            <w:color w:val="0000FF"/>
            <w:u w:val="single"/>
            <w:rtl/>
          </w:rPr>
          <w:t>סעיף 7 (א)+(ג)</w:t>
        </w:r>
      </w:hyperlink>
      <w:r>
        <w:rPr>
          <w:rFonts w:ascii="Arial" w:hAnsi="Arial" w:hint="cs"/>
          <w:rtl/>
        </w:rPr>
        <w:t xml:space="preserve"> סיפא </w:t>
      </w:r>
      <w:hyperlink r:id="rId13" w:history="1">
        <w:r w:rsidR="001501CC" w:rsidRPr="001501CC">
          <w:rPr>
            <w:rFonts w:ascii="Arial" w:hAnsi="Arial"/>
            <w:color w:val="0000FF"/>
            <w:u w:val="single"/>
            <w:rtl/>
          </w:rPr>
          <w:t>לפקודת הסמים</w:t>
        </w:r>
      </w:hyperlink>
      <w:r>
        <w:rPr>
          <w:rFonts w:ascii="Arial" w:hAnsi="Arial" w:hint="cs"/>
          <w:rtl/>
        </w:rPr>
        <w:t>. הנאשם הוכרז כסוחר סמים.</w:t>
      </w:r>
    </w:p>
    <w:p w14:paraId="189E111B" w14:textId="77777777" w:rsidR="005F1ECA" w:rsidRDefault="005F1ECA">
      <w:pPr>
        <w:spacing w:line="360" w:lineRule="auto"/>
        <w:ind w:left="720" w:hanging="720"/>
        <w:jc w:val="both"/>
        <w:rPr>
          <w:rFonts w:ascii="Arial" w:hAnsi="Arial"/>
          <w:rtl/>
        </w:rPr>
      </w:pPr>
    </w:p>
    <w:p w14:paraId="0302E878" w14:textId="77777777" w:rsidR="005F1ECA" w:rsidRDefault="007E1D52">
      <w:pPr>
        <w:spacing w:line="360" w:lineRule="auto"/>
        <w:ind w:firstLine="720"/>
        <w:jc w:val="both"/>
        <w:rPr>
          <w:rFonts w:ascii="Arial" w:hAnsi="Arial"/>
          <w:rtl/>
        </w:rPr>
      </w:pPr>
      <w:r>
        <w:rPr>
          <w:rFonts w:ascii="Arial" w:hAnsi="Arial" w:hint="cs"/>
          <w:u w:val="single"/>
          <w:rtl/>
        </w:rPr>
        <w:t>תסקירי שירות המבחן</w:t>
      </w:r>
    </w:p>
    <w:p w14:paraId="219CE4CA" w14:textId="77777777" w:rsidR="005F1ECA" w:rsidRDefault="005F1ECA">
      <w:pPr>
        <w:spacing w:line="360" w:lineRule="auto"/>
        <w:jc w:val="both"/>
        <w:rPr>
          <w:rFonts w:ascii="Arial" w:hAnsi="Arial"/>
          <w:rtl/>
        </w:rPr>
      </w:pPr>
    </w:p>
    <w:p w14:paraId="1B01DEC5" w14:textId="77777777" w:rsidR="005F1ECA" w:rsidRDefault="007E1D52">
      <w:pPr>
        <w:spacing w:line="360" w:lineRule="auto"/>
        <w:ind w:left="720" w:hanging="720"/>
        <w:jc w:val="both"/>
        <w:rPr>
          <w:rFonts w:ascii="Arial" w:hAnsi="Arial"/>
          <w:rtl/>
        </w:rPr>
      </w:pPr>
      <w:r>
        <w:rPr>
          <w:rFonts w:ascii="Arial" w:hAnsi="Arial" w:hint="cs"/>
          <w:rtl/>
        </w:rPr>
        <w:t>3.</w:t>
      </w:r>
      <w:r>
        <w:rPr>
          <w:rFonts w:ascii="Arial" w:hAnsi="Arial" w:hint="cs"/>
          <w:rtl/>
        </w:rPr>
        <w:tab/>
        <w:t xml:space="preserve">מתסקיר שירות המבחן מיום </w:t>
      </w:r>
      <w:r>
        <w:rPr>
          <w:rFonts w:ascii="Arial" w:hAnsi="Arial" w:hint="cs"/>
          <w:b/>
          <w:bCs/>
          <w:rtl/>
        </w:rPr>
        <w:t xml:space="preserve">2.12.12 </w:t>
      </w:r>
      <w:r>
        <w:rPr>
          <w:rFonts w:ascii="Arial" w:hAnsi="Arial" w:hint="cs"/>
          <w:rtl/>
        </w:rPr>
        <w:t xml:space="preserve">עולה כי מדובר בנאשם בן 37, גרוש בשלישית, אב לשני ילדים, כיום מנהל מערכת יחסים זוגית. לחובתו הרשעה יחידה מבית דין צבאי משנת 1995. הנאשם סיים 11 שנות לימוד, התגייס לצה"ל אך שוחרר כעבור שנה על רקע אי התאמה. שהה באיביזה שבספרד כחמש וחצי שנים, עבד שם בתחומים שונים וזכה להצלחה כלכלית שמפירותיה נהנה גם כיום. הנאשם הסביר את הסתבכותו במסכת האירועים ככזו שנבעה משימוש אינטנסיבי בסם ושלל כוונת הפצה. בנסיבות שתוארו לעיל, ולאור הצהרת הנאשם בדבר נקיונו מסמים, סבר שירות המבחן כי יש מקום לשלב את הנאשם בטיפול במסגרת היחידה העירונית, תוך דחיית הדיון על מנת שניתן יהיה לבחון את מידת התגייסות הנאשם. </w:t>
      </w:r>
    </w:p>
    <w:p w14:paraId="31CBFDB0" w14:textId="77777777" w:rsidR="005F1ECA" w:rsidRDefault="005F1ECA">
      <w:pPr>
        <w:spacing w:line="360" w:lineRule="auto"/>
        <w:ind w:left="720" w:hanging="720"/>
        <w:jc w:val="both"/>
        <w:rPr>
          <w:rFonts w:ascii="Arial" w:hAnsi="Arial"/>
          <w:rtl/>
        </w:rPr>
      </w:pPr>
    </w:p>
    <w:p w14:paraId="79D025C5" w14:textId="77777777" w:rsidR="005F1ECA" w:rsidRDefault="007E1D52">
      <w:pPr>
        <w:spacing w:line="360" w:lineRule="auto"/>
        <w:ind w:left="720"/>
        <w:jc w:val="both"/>
        <w:rPr>
          <w:rFonts w:ascii="Arial" w:hAnsi="Arial"/>
          <w:rtl/>
        </w:rPr>
      </w:pPr>
      <w:r>
        <w:rPr>
          <w:rFonts w:ascii="Arial" w:hAnsi="Arial" w:hint="cs"/>
          <w:rtl/>
        </w:rPr>
        <w:t xml:space="preserve">מתסקיר שירות המבחן מיום </w:t>
      </w:r>
      <w:r>
        <w:rPr>
          <w:rFonts w:ascii="Arial" w:hAnsi="Arial" w:hint="cs"/>
          <w:b/>
          <w:bCs/>
          <w:rtl/>
        </w:rPr>
        <w:t>9.5.13,</w:t>
      </w:r>
      <w:r>
        <w:rPr>
          <w:rFonts w:ascii="Arial" w:hAnsi="Arial" w:hint="cs"/>
          <w:rtl/>
        </w:rPr>
        <w:t xml:space="preserve"> עולה כי הנאשם שולב בהליך טיפולי ביחידה לנפגעי סמים בחולון. נכון למועד עריכת התסקיר, נראה היה כי הנאשם מבטא מוטיבציה לעריכת שינוי בדפוסיו ומבין כי הוא נדרש לסיוע של גורמים מקצועיים לבחון את כשליו, התמכרותו לסמים ומעורבותו בתיק הנוכחי ולרכוש כלים להתמודדות נורמטיבית עם קשייו. בנסיבות אלה, סבר שירות המבחן כי יש להמשיך לעקוב אחר התקדמות הנאשם עוד טרם גזירת דינו.</w:t>
      </w:r>
    </w:p>
    <w:p w14:paraId="4145F8CB" w14:textId="77777777" w:rsidR="005F1ECA" w:rsidRDefault="005F1ECA">
      <w:pPr>
        <w:spacing w:line="360" w:lineRule="auto"/>
        <w:ind w:left="720"/>
        <w:jc w:val="both"/>
        <w:rPr>
          <w:rFonts w:ascii="Arial" w:hAnsi="Arial"/>
          <w:rtl/>
        </w:rPr>
      </w:pPr>
    </w:p>
    <w:p w14:paraId="346651E6" w14:textId="77777777" w:rsidR="005F1ECA" w:rsidRDefault="007E1D52">
      <w:pPr>
        <w:spacing w:line="360" w:lineRule="auto"/>
        <w:ind w:left="720"/>
        <w:jc w:val="both"/>
        <w:rPr>
          <w:rFonts w:ascii="Arial" w:hAnsi="Arial"/>
          <w:rtl/>
        </w:rPr>
      </w:pPr>
      <w:r>
        <w:rPr>
          <w:rFonts w:ascii="Arial" w:hAnsi="Arial" w:hint="cs"/>
          <w:rtl/>
        </w:rPr>
        <w:t xml:space="preserve">מתסקיר שירות המבחן מיום </w:t>
      </w:r>
      <w:r>
        <w:rPr>
          <w:rFonts w:ascii="Arial" w:hAnsi="Arial" w:hint="cs"/>
          <w:b/>
          <w:bCs/>
          <w:rtl/>
        </w:rPr>
        <w:t>3.9.13</w:t>
      </w:r>
      <w:r>
        <w:rPr>
          <w:rFonts w:ascii="Arial" w:hAnsi="Arial" w:hint="cs"/>
          <w:rtl/>
        </w:rPr>
        <w:t xml:space="preserve">, עולה כי הנאשם התמיד בטיפול וגילה הבנה עמוקה להשלכות מעשיו. העו"ס המטפל בו מסר כי הנאשם מסוגל כיום להציב לעצמו גבולות להתנהגותו, מתוך הבנה ששימוש בסמים או גידולם עלול לפגוע בחופש שלו ובמטרות שחשובות לו בחייו. הנאשם מלווה ע"י שירות המבחן למעלה משנתיים, משתף פעולה, שומר על ניקיון מלא מסמים ומפגין מוטיבציה להיעזר ולקדם את עצמו. הנאשם לוקח אחריות על חייו וניתן להתרשם מפירותיו החיוביים של ההליך הטיפולי בו נתון. שירות המבחן התרשם כי הנאשם השתמש בהזדמנות השיקומית שניתנה לו בחסות ההליך המשפטי ונראה כי הורתע ומבטא חרטה כנה ויכולת להפקת לקחים. שירות המבחן מעריך כי פחת באופן משמעותי הסיכון להסתבכות חוזרת. </w:t>
      </w:r>
    </w:p>
    <w:p w14:paraId="5460A957" w14:textId="77777777" w:rsidR="005F1ECA" w:rsidRDefault="005F1ECA">
      <w:pPr>
        <w:spacing w:line="360" w:lineRule="auto"/>
        <w:jc w:val="both"/>
        <w:rPr>
          <w:rFonts w:ascii="Arial" w:hAnsi="Arial"/>
          <w:rtl/>
        </w:rPr>
      </w:pPr>
    </w:p>
    <w:p w14:paraId="1B4D3EB5" w14:textId="77777777" w:rsidR="005F1ECA" w:rsidRDefault="007E1D52">
      <w:pPr>
        <w:spacing w:line="360" w:lineRule="auto"/>
        <w:ind w:left="720"/>
        <w:jc w:val="both"/>
        <w:rPr>
          <w:rFonts w:ascii="Arial" w:hAnsi="Arial"/>
          <w:rtl/>
        </w:rPr>
      </w:pPr>
      <w:r>
        <w:rPr>
          <w:rFonts w:ascii="Arial" w:hAnsi="Arial" w:hint="cs"/>
          <w:rtl/>
        </w:rPr>
        <w:t>על רקע האמור לעיל, סבר שירות המבחן כי ניתן לסיים את ההליכים בעניינו של הנאשם תוך עדיפות לפן השיקומי. העמדת הנאשם בפיקוחם למשך שנה, בתנאי של המשך טיפול ביחידה העירונית ועל עונש מאסר שירוצה בדרך של עבודות שירות.</w:t>
      </w:r>
    </w:p>
    <w:p w14:paraId="7D6B5FE5" w14:textId="77777777" w:rsidR="005F1ECA" w:rsidRDefault="005F1ECA">
      <w:pPr>
        <w:spacing w:line="360" w:lineRule="auto"/>
        <w:ind w:left="720"/>
        <w:jc w:val="both"/>
        <w:rPr>
          <w:rFonts w:ascii="Arial" w:hAnsi="Arial"/>
          <w:rtl/>
        </w:rPr>
      </w:pPr>
    </w:p>
    <w:p w14:paraId="1B4AD299" w14:textId="77777777" w:rsidR="005F1ECA" w:rsidRDefault="007E1D52">
      <w:pPr>
        <w:spacing w:line="360" w:lineRule="auto"/>
        <w:ind w:left="720"/>
        <w:jc w:val="both"/>
        <w:rPr>
          <w:rFonts w:ascii="Arial" w:hAnsi="Arial"/>
          <w:u w:val="single"/>
          <w:rtl/>
        </w:rPr>
      </w:pPr>
      <w:r>
        <w:rPr>
          <w:rFonts w:ascii="Arial" w:hAnsi="Arial" w:hint="cs"/>
          <w:u w:val="single"/>
          <w:rtl/>
        </w:rPr>
        <w:t>חוות דעת ממונה וההתנהלות הדיונית הקשורה בכך</w:t>
      </w:r>
    </w:p>
    <w:p w14:paraId="207DFB8B" w14:textId="77777777" w:rsidR="005F1ECA" w:rsidRDefault="005F1ECA">
      <w:pPr>
        <w:spacing w:line="360" w:lineRule="auto"/>
        <w:jc w:val="both"/>
        <w:rPr>
          <w:rFonts w:ascii="Arial" w:hAnsi="Arial"/>
          <w:rtl/>
        </w:rPr>
      </w:pPr>
    </w:p>
    <w:p w14:paraId="1C27D3AC" w14:textId="77777777" w:rsidR="005F1ECA" w:rsidRDefault="007E1D52">
      <w:pPr>
        <w:spacing w:line="360" w:lineRule="auto"/>
        <w:ind w:left="720" w:hanging="720"/>
        <w:jc w:val="both"/>
        <w:rPr>
          <w:rFonts w:ascii="Arial" w:hAnsi="Arial"/>
          <w:b/>
          <w:bCs/>
          <w:rtl/>
        </w:rPr>
      </w:pPr>
      <w:r>
        <w:rPr>
          <w:rFonts w:ascii="Arial" w:hAnsi="Arial" w:hint="cs"/>
          <w:rtl/>
        </w:rPr>
        <w:t>4.</w:t>
      </w:r>
      <w:r>
        <w:rPr>
          <w:rFonts w:ascii="Arial" w:hAnsi="Arial" w:hint="cs"/>
          <w:rtl/>
        </w:rPr>
        <w:tab/>
        <w:t xml:space="preserve">במסגרת ישיבת יום 3.12.12, הופנה הנאשם לממונה על עבודות שירות על מנת שתבחן התאמתו לביצוע עבודות שירות, ובהתאם לחוות דעת הממונה מיום </w:t>
      </w:r>
      <w:r>
        <w:rPr>
          <w:rFonts w:ascii="Arial" w:hAnsi="Arial" w:hint="cs"/>
          <w:b/>
          <w:bCs/>
          <w:rtl/>
        </w:rPr>
        <w:t>24.2.13</w:t>
      </w:r>
      <w:r>
        <w:rPr>
          <w:rFonts w:ascii="Arial" w:hAnsi="Arial" w:hint="cs"/>
          <w:rtl/>
        </w:rPr>
        <w:t xml:space="preserve">, נמצא כשיר לבצע עבודות שירות. </w:t>
      </w:r>
      <w:r>
        <w:rPr>
          <w:rFonts w:ascii="Arial" w:hAnsi="Arial" w:hint="cs"/>
          <w:b/>
          <w:bCs/>
          <w:rtl/>
        </w:rPr>
        <w:t xml:space="preserve">מחוות הדעת עולה כי בשל אותו רקע של שימוש בסמים התבקש הנאשם למסור בדיקת שתן, אך ציין כי לא יוכל למסור במעמד הראיון וביקש להגיע למחרת. הנאשם הגיע למחרת ומסר דגימת שתן, כאשר הבדיקה התבצעה ללא פיקוח (ועל כן, מבחינת הממונה על עבודות שירות היא נחשבת חסרת ערך). משהוברר לנאשם מהי עמדת הממונה, הוא זרק את הדגימה ועזב את המקום. הנאשם זומן שוב, התייצב ומסר בדיקת שתן שנמצאה נקייה מסמים. </w:t>
      </w:r>
    </w:p>
    <w:p w14:paraId="3EF02E99" w14:textId="77777777" w:rsidR="005F1ECA" w:rsidRDefault="005F1ECA">
      <w:pPr>
        <w:spacing w:line="360" w:lineRule="auto"/>
        <w:jc w:val="both"/>
        <w:rPr>
          <w:rFonts w:ascii="Arial" w:hAnsi="Arial"/>
          <w:rtl/>
        </w:rPr>
      </w:pPr>
    </w:p>
    <w:p w14:paraId="1F387781" w14:textId="77777777" w:rsidR="005F1ECA" w:rsidRDefault="007E1D52">
      <w:pPr>
        <w:spacing w:line="360" w:lineRule="auto"/>
        <w:ind w:left="720"/>
        <w:jc w:val="both"/>
        <w:rPr>
          <w:rFonts w:ascii="Arial" w:hAnsi="Arial"/>
          <w:rtl/>
        </w:rPr>
      </w:pPr>
      <w:r>
        <w:rPr>
          <w:rFonts w:ascii="Arial" w:hAnsi="Arial" w:hint="cs"/>
          <w:rtl/>
        </w:rPr>
        <w:lastRenderedPageBreak/>
        <w:t xml:space="preserve">לאור העובדה שההליך השיקומי היה כרוך במעקב ממושך אודות התקדמות הנאשם, נוצר צורך בקבלת חוות דעת מעודכנת, ועל כן ביום 12.5.13 הופנה הנאשם לקבלת חוות דעת מעודכנת. </w:t>
      </w:r>
      <w:r>
        <w:rPr>
          <w:rFonts w:ascii="Arial" w:hAnsi="Arial" w:hint="cs"/>
          <w:b/>
          <w:bCs/>
          <w:rtl/>
        </w:rPr>
        <w:t xml:space="preserve">מחוות דעת המעודכנת מיום 15.9.13, עולה כי הנאשם זומן פעם נוספת ונדרש לבצע בדיקת שתן, אך ציין (שוב) בעת הראיון כי אין ביכולתו למסור במעמד הראיון בדיקת שתן וכי יגיע למחרת. הנאשם הגיע למחרת וטען כי יש לו קושי למסור בדיקה למרות שדאג להגיע לפני מתן שתן מאז הלילה ולכן הלך וקנה לעצמו </w:t>
      </w:r>
      <w:r>
        <w:rPr>
          <w:rFonts w:ascii="Arial" w:hAnsi="Arial"/>
          <w:b/>
          <w:bCs/>
        </w:rPr>
        <w:t>fuze tea</w:t>
      </w:r>
      <w:r>
        <w:rPr>
          <w:rFonts w:ascii="Arial" w:hAnsi="Arial" w:hint="cs"/>
          <w:b/>
          <w:bCs/>
          <w:rtl/>
        </w:rPr>
        <w:t>.</w:t>
      </w:r>
      <w:r>
        <w:rPr>
          <w:rFonts w:ascii="Arial" w:hAnsi="Arial"/>
          <w:b/>
          <w:bCs/>
        </w:rPr>
        <w:t xml:space="preserve"> </w:t>
      </w:r>
      <w:r>
        <w:rPr>
          <w:rFonts w:ascii="Arial" w:hAnsi="Arial" w:hint="cs"/>
          <w:b/>
          <w:bCs/>
          <w:rtl/>
        </w:rPr>
        <w:t>מהמעבדה נמסר כי בכוסית לא היה שתן אלא נוזל אחר (לעמדת הממונה צורפה חוו"ד מומחה של ר"כ מיכל וקנין, מנהלת מעבדות שירות בתי הסוהר). בנסיבות אלה נמצא הנאשם כבלתי ניתן להשמה לביצוע עבודות שירות.</w:t>
      </w:r>
    </w:p>
    <w:p w14:paraId="544D541F" w14:textId="77777777" w:rsidR="005F1ECA" w:rsidRDefault="005F1ECA">
      <w:pPr>
        <w:spacing w:line="360" w:lineRule="auto"/>
        <w:ind w:left="720"/>
        <w:jc w:val="both"/>
        <w:rPr>
          <w:rFonts w:ascii="Arial" w:hAnsi="Arial"/>
          <w:rtl/>
        </w:rPr>
      </w:pPr>
    </w:p>
    <w:p w14:paraId="35A1154F" w14:textId="77777777" w:rsidR="005F1ECA" w:rsidRDefault="007E1D52">
      <w:pPr>
        <w:spacing w:line="360" w:lineRule="auto"/>
        <w:ind w:left="720"/>
        <w:jc w:val="both"/>
        <w:rPr>
          <w:rFonts w:ascii="Arial" w:hAnsi="Arial"/>
          <w:rtl/>
        </w:rPr>
      </w:pPr>
      <w:r>
        <w:rPr>
          <w:rFonts w:ascii="Arial" w:hAnsi="Arial" w:hint="cs"/>
          <w:rtl/>
        </w:rPr>
        <w:t xml:space="preserve">במסגרת ישיבת יום 17.9.13 טען הסניגור כי באותו היום שמסר הנאשם בדיקת שתן אצל הממונה, מסר הנאשם בדיקת שתן תקינה ביחידה העירונית, ותמך טיעוניו במסמך שאישר זאת. </w:t>
      </w:r>
    </w:p>
    <w:p w14:paraId="7FBB4EB0" w14:textId="77777777" w:rsidR="005F1ECA" w:rsidRDefault="005F1ECA">
      <w:pPr>
        <w:spacing w:line="360" w:lineRule="auto"/>
        <w:ind w:left="720"/>
        <w:jc w:val="both"/>
        <w:rPr>
          <w:rFonts w:ascii="Arial" w:hAnsi="Arial"/>
          <w:rtl/>
        </w:rPr>
      </w:pPr>
    </w:p>
    <w:p w14:paraId="4FC6B1B8" w14:textId="77777777" w:rsidR="005F1ECA" w:rsidRDefault="007E1D52">
      <w:pPr>
        <w:spacing w:line="360" w:lineRule="auto"/>
        <w:ind w:left="720"/>
        <w:jc w:val="both"/>
        <w:rPr>
          <w:rFonts w:ascii="Arial" w:hAnsi="Arial"/>
          <w:rtl/>
        </w:rPr>
      </w:pPr>
      <w:r>
        <w:rPr>
          <w:rFonts w:ascii="Arial" w:hAnsi="Arial" w:hint="cs"/>
          <w:rtl/>
        </w:rPr>
        <w:t xml:space="preserve">לאור טיעון זה, הוריתי על הפנייתו הנוספת של הנאשם לממונה על עבודות שירות על מנת שיבחן </w:t>
      </w:r>
      <w:r>
        <w:rPr>
          <w:rFonts w:ascii="Arial" w:hAnsi="Arial" w:hint="cs"/>
          <w:b/>
          <w:bCs/>
          <w:u w:val="single"/>
          <w:rtl/>
        </w:rPr>
        <w:t>פעם נוספת</w:t>
      </w:r>
      <w:r>
        <w:rPr>
          <w:rFonts w:ascii="Arial" w:hAnsi="Arial" w:hint="cs"/>
          <w:rtl/>
        </w:rPr>
        <w:t xml:space="preserve"> את התאמתו. </w:t>
      </w:r>
    </w:p>
    <w:p w14:paraId="149CBC62" w14:textId="77777777" w:rsidR="005F1ECA" w:rsidRDefault="005F1ECA">
      <w:pPr>
        <w:spacing w:line="360" w:lineRule="auto"/>
        <w:ind w:left="720"/>
        <w:jc w:val="both"/>
        <w:rPr>
          <w:rFonts w:ascii="Arial" w:hAnsi="Arial"/>
          <w:rtl/>
        </w:rPr>
      </w:pPr>
    </w:p>
    <w:p w14:paraId="5BF3BB97" w14:textId="77777777" w:rsidR="005F1ECA" w:rsidRDefault="007E1D52">
      <w:pPr>
        <w:spacing w:line="360" w:lineRule="auto"/>
        <w:ind w:left="720"/>
        <w:jc w:val="both"/>
        <w:rPr>
          <w:rFonts w:ascii="Arial" w:hAnsi="Arial"/>
          <w:rtl/>
        </w:rPr>
      </w:pPr>
      <w:r>
        <w:rPr>
          <w:rFonts w:ascii="Arial" w:hAnsi="Arial" w:hint="cs"/>
          <w:b/>
          <w:bCs/>
          <w:rtl/>
        </w:rPr>
        <w:t>מחוות דעת השלישית מיום 2.1.14 עולה כי הנאשם זומן פעם נוספת ומסר בדיקת שתן ללא עיכוב.</w:t>
      </w:r>
      <w:r>
        <w:rPr>
          <w:rFonts w:ascii="Arial" w:hAnsi="Arial" w:hint="cs"/>
          <w:rtl/>
        </w:rPr>
        <w:t xml:space="preserve"> </w:t>
      </w:r>
      <w:r>
        <w:rPr>
          <w:rFonts w:ascii="Arial" w:hAnsi="Arial" w:hint="cs"/>
          <w:b/>
          <w:bCs/>
          <w:rtl/>
        </w:rPr>
        <w:t>הנאשם התבקש להגיע פעם נוספת קודם לדיון הקבוע בבית המשפט, ואף ניתן לו לוח זמנים גמיש, אולם ביום בו היה אמור להגיע, התקשר וציין כי אינו יכול להגיע מאחר ולא ישן בלילה, התנהלות שעוררה (שוב) את חשדו של הממונה על עבודות שירות.</w:t>
      </w:r>
      <w:r>
        <w:rPr>
          <w:rFonts w:ascii="Arial" w:hAnsi="Arial" w:hint="cs"/>
          <w:rtl/>
        </w:rPr>
        <w:t xml:space="preserve"> </w:t>
      </w:r>
    </w:p>
    <w:p w14:paraId="30706E57" w14:textId="77777777" w:rsidR="005F1ECA" w:rsidRDefault="005F1ECA">
      <w:pPr>
        <w:spacing w:line="360" w:lineRule="auto"/>
        <w:ind w:left="720"/>
        <w:jc w:val="both"/>
        <w:rPr>
          <w:rFonts w:ascii="Arial" w:hAnsi="Arial"/>
          <w:rtl/>
        </w:rPr>
      </w:pPr>
    </w:p>
    <w:p w14:paraId="6445DB51" w14:textId="77777777" w:rsidR="005F1ECA" w:rsidRDefault="007E1D52">
      <w:pPr>
        <w:spacing w:line="360" w:lineRule="auto"/>
        <w:ind w:left="720"/>
        <w:jc w:val="both"/>
        <w:rPr>
          <w:rFonts w:ascii="Arial" w:hAnsi="Arial"/>
          <w:rtl/>
        </w:rPr>
      </w:pPr>
      <w:r>
        <w:rPr>
          <w:rFonts w:ascii="Arial" w:hAnsi="Arial" w:hint="cs"/>
          <w:rtl/>
        </w:rPr>
        <w:t>בישיבת יום 6.1.14 ציינתי את הדברים הבאים:</w:t>
      </w:r>
    </w:p>
    <w:p w14:paraId="66FB98DA" w14:textId="77777777" w:rsidR="005F1ECA" w:rsidRDefault="005F1ECA">
      <w:pPr>
        <w:spacing w:line="360" w:lineRule="auto"/>
        <w:ind w:left="720"/>
        <w:jc w:val="both"/>
        <w:rPr>
          <w:rFonts w:ascii="Arial" w:hAnsi="Arial"/>
          <w:rtl/>
        </w:rPr>
      </w:pPr>
    </w:p>
    <w:p w14:paraId="5D23C8A6" w14:textId="77777777" w:rsidR="005F1ECA" w:rsidRDefault="007E1D52">
      <w:pPr>
        <w:spacing w:line="360" w:lineRule="auto"/>
        <w:ind w:left="720"/>
        <w:jc w:val="both"/>
        <w:rPr>
          <w:rFonts w:ascii="David" w:hAnsi="David"/>
          <w:rtl/>
        </w:rPr>
      </w:pPr>
      <w:r>
        <w:rPr>
          <w:rFonts w:ascii="David" w:hAnsi="David" w:hint="cs"/>
          <w:rtl/>
        </w:rPr>
        <w:t>"</w:t>
      </w:r>
      <w:r>
        <w:rPr>
          <w:rFonts w:ascii="David" w:hAnsi="David" w:hint="cs"/>
          <w:b/>
          <w:bCs/>
          <w:rtl/>
        </w:rPr>
        <w:t>מבלי להיכנס לעובי הקורה בשאלת הנסיבות שהובילו לכך שהנאשם לא מסר עד כה בדיקת שתן נוספת (מעבר לזו שנמסרה בחודש אוגוסט), אני מורה לממונה על עבודות שירות להשלים את תהליך בדיקת הנאשם וזאת תוך שבועיים מהיום. מובהר לנאשם, כי עליו להתייצב בפני הממונה בכל מועד ובכל שעה ובלבד שבקשת הממונה תוצג בפניו עד 48 שעות לפני המועד בו הוא צריך להתייצב</w:t>
      </w:r>
      <w:r>
        <w:rPr>
          <w:rFonts w:ascii="David" w:hAnsi="David" w:hint="cs"/>
          <w:rtl/>
        </w:rPr>
        <w:t xml:space="preserve">". </w:t>
      </w:r>
    </w:p>
    <w:p w14:paraId="40D55FE5" w14:textId="77777777" w:rsidR="005F1ECA" w:rsidRDefault="005F1ECA">
      <w:pPr>
        <w:spacing w:line="360" w:lineRule="auto"/>
        <w:ind w:left="720"/>
        <w:jc w:val="both"/>
        <w:rPr>
          <w:rFonts w:ascii="Arial" w:hAnsi="Arial"/>
          <w:rtl/>
        </w:rPr>
      </w:pPr>
    </w:p>
    <w:p w14:paraId="54CCBAFE" w14:textId="77777777" w:rsidR="005F1ECA" w:rsidRDefault="007E1D52">
      <w:pPr>
        <w:spacing w:line="360" w:lineRule="auto"/>
        <w:ind w:left="720"/>
        <w:jc w:val="both"/>
        <w:rPr>
          <w:rFonts w:ascii="Arial" w:hAnsi="Arial"/>
          <w:b/>
          <w:bCs/>
          <w:rtl/>
        </w:rPr>
      </w:pPr>
      <w:r>
        <w:rPr>
          <w:rFonts w:ascii="Arial" w:hAnsi="Arial" w:hint="cs"/>
          <w:b/>
          <w:bCs/>
          <w:u w:val="single"/>
          <w:rtl/>
        </w:rPr>
        <w:t>מחוות דעתו הרביעית</w:t>
      </w:r>
      <w:r>
        <w:rPr>
          <w:rFonts w:ascii="Arial" w:hAnsi="Arial" w:hint="cs"/>
          <w:b/>
          <w:bCs/>
          <w:rtl/>
        </w:rPr>
        <w:t xml:space="preserve"> של הממונה מיום 26.1.14 עולה כי הנאשם התייצב ומסר בדיקת שתן אשר הייתה מהולה מאוד, ונראה היה, על פי הגדרת הממונה, כי"השתן טופל". גם לעמדה זו צורפה חוות דעתה של מנהלת מעבדות שירות בתי הסוהר.</w:t>
      </w:r>
    </w:p>
    <w:p w14:paraId="4D2E8434" w14:textId="77777777" w:rsidR="005F1ECA" w:rsidRDefault="005F1ECA">
      <w:pPr>
        <w:spacing w:line="360" w:lineRule="auto"/>
        <w:ind w:left="720"/>
        <w:jc w:val="both"/>
        <w:rPr>
          <w:rFonts w:ascii="Arial" w:hAnsi="Arial"/>
          <w:b/>
          <w:bCs/>
          <w:rtl/>
        </w:rPr>
      </w:pPr>
    </w:p>
    <w:p w14:paraId="0C92A83E" w14:textId="77777777" w:rsidR="005F1ECA" w:rsidRDefault="007E1D52">
      <w:pPr>
        <w:spacing w:line="360" w:lineRule="auto"/>
        <w:ind w:left="720"/>
        <w:jc w:val="both"/>
        <w:rPr>
          <w:rFonts w:ascii="Arial" w:hAnsi="Arial"/>
          <w:rtl/>
        </w:rPr>
      </w:pPr>
      <w:r>
        <w:rPr>
          <w:rFonts w:ascii="Arial" w:hAnsi="Arial" w:hint="cs"/>
          <w:rtl/>
        </w:rPr>
        <w:t xml:space="preserve">לאור האמור לעיל, ומשמוצו הנסיונות לבחינת התאמתו של הנאשם לביצוע עבודות שירות, נשמעו ביום 27.1.14 טיעוני הצדדים לעונש. </w:t>
      </w:r>
    </w:p>
    <w:p w14:paraId="714D14D5" w14:textId="77777777" w:rsidR="005F1ECA" w:rsidRDefault="005F1ECA">
      <w:pPr>
        <w:spacing w:line="360" w:lineRule="auto"/>
        <w:jc w:val="both"/>
        <w:rPr>
          <w:rFonts w:ascii="Arial" w:hAnsi="Arial"/>
          <w:u w:val="single"/>
          <w:rtl/>
        </w:rPr>
      </w:pPr>
    </w:p>
    <w:p w14:paraId="35252611" w14:textId="77777777" w:rsidR="005F1ECA" w:rsidRDefault="007E1D52">
      <w:pPr>
        <w:spacing w:line="360" w:lineRule="auto"/>
        <w:ind w:firstLine="720"/>
        <w:jc w:val="both"/>
        <w:rPr>
          <w:rFonts w:ascii="Arial" w:hAnsi="Arial"/>
          <w:u w:val="single"/>
          <w:rtl/>
        </w:rPr>
      </w:pPr>
      <w:r>
        <w:rPr>
          <w:rFonts w:ascii="Arial" w:hAnsi="Arial" w:hint="cs"/>
          <w:u w:val="single"/>
          <w:rtl/>
        </w:rPr>
        <w:t>טיעוני הצדדים</w:t>
      </w:r>
    </w:p>
    <w:p w14:paraId="6D322939" w14:textId="77777777" w:rsidR="005F1ECA" w:rsidRDefault="007E1D52">
      <w:pPr>
        <w:spacing w:line="360" w:lineRule="auto"/>
        <w:jc w:val="both"/>
        <w:rPr>
          <w:rFonts w:ascii="Arial" w:hAnsi="Arial"/>
          <w:rtl/>
        </w:rPr>
      </w:pPr>
      <w:r>
        <w:rPr>
          <w:rFonts w:ascii="Arial" w:hAnsi="Arial" w:hint="cs"/>
          <w:rtl/>
        </w:rPr>
        <w:t xml:space="preserve"> </w:t>
      </w:r>
    </w:p>
    <w:p w14:paraId="386461C0" w14:textId="77777777" w:rsidR="005F1ECA" w:rsidRDefault="007E1D52">
      <w:pPr>
        <w:spacing w:line="360" w:lineRule="auto"/>
        <w:ind w:left="720" w:hanging="720"/>
        <w:jc w:val="both"/>
        <w:rPr>
          <w:rFonts w:ascii="Arial" w:hAnsi="Arial"/>
          <w:rtl/>
        </w:rPr>
      </w:pPr>
      <w:r>
        <w:rPr>
          <w:rFonts w:ascii="Arial" w:hAnsi="Arial" w:hint="cs"/>
          <w:rtl/>
        </w:rPr>
        <w:t>5.</w:t>
      </w:r>
      <w:r>
        <w:rPr>
          <w:rFonts w:ascii="Arial" w:hAnsi="Arial" w:hint="cs"/>
          <w:rtl/>
        </w:rPr>
        <w:tab/>
        <w:t xml:space="preserve">התובעת, עו"ד מיכל זנדר, טענה כי עבירות הסמים עשויות לפגוע לא רק בפרט עצמו אלא גם בחברה, הנאשם הוא היצרן של הסמים אשר גידל את הסמים במעבדה מוסלקת בביתו. התובעת סברה כי יש לדחות את המלצת שירות המבחן לשיקום הנאשם מחוץ לכותלי בית המאסר, וזאת מכיוון שהנאשם משתף פעולה עם שירות המבחן אך מתוך חוות דעת הממונה עולה בעיתיות במסירת בדיקות השתן במועד, וסברה כי ניתן להניח שהנאשם ממשיך להשתמש בסמים ולכן, לא יכול הנאשם ליהנות היום מההנחה שההליך הטיפולי היה מוצלח ושהתחיל בדרך חדשה. בנסיבות אלה, כך לשיטת התובעת, יש מקום להטיל על הנאשם עונש מאסר ממושך, שלא ירוצה בדרך של עבודות שירות, מאסר על תנאי, קנס, פסילת רישיון נהיגה בפועל ועל תנאי וחילוט. </w:t>
      </w:r>
    </w:p>
    <w:p w14:paraId="7E06C7E8" w14:textId="77777777" w:rsidR="005F1ECA" w:rsidRDefault="005F1ECA">
      <w:pPr>
        <w:spacing w:line="360" w:lineRule="auto"/>
        <w:jc w:val="both"/>
        <w:rPr>
          <w:rFonts w:ascii="Arial" w:hAnsi="Arial"/>
          <w:rtl/>
        </w:rPr>
      </w:pPr>
    </w:p>
    <w:p w14:paraId="65300238" w14:textId="77777777" w:rsidR="005F1ECA" w:rsidRDefault="007E1D52">
      <w:pPr>
        <w:spacing w:line="360" w:lineRule="auto"/>
        <w:ind w:left="720" w:hanging="720"/>
        <w:jc w:val="both"/>
        <w:rPr>
          <w:rFonts w:ascii="Arial" w:hAnsi="Arial"/>
          <w:rtl/>
        </w:rPr>
      </w:pPr>
      <w:r>
        <w:rPr>
          <w:rFonts w:ascii="Arial" w:hAnsi="Arial" w:hint="cs"/>
          <w:rtl/>
        </w:rPr>
        <w:t>6.</w:t>
      </w:r>
      <w:r>
        <w:rPr>
          <w:rFonts w:ascii="Arial" w:hAnsi="Arial" w:hint="cs"/>
          <w:rtl/>
        </w:rPr>
        <w:tab/>
        <w:t xml:space="preserve">הסניגור, עו"ד צחי רז, התייחס בטיעוניו למספר רכיבים אשר בהצטברותם יחדיו, מצדיקים, לשיטתו, הטלת עונש מוחשי אשר משקף את ימי המעצר בלבד, לצד ענישה צופה פני עתיד. הסניגור הדגיש את הודאתו וחרטו של הנאשם, את העובדה כי אין לחובתו הרשעות קודמות, ואת נסיבות חייו, לרבות מערכת היחסים הזוגית אותה הוא מנהל, והיותו אב לשני ילדים קטנים. בהתייחס להתנהלות הנאשם מול הממונה על עבודות שירות, נטען כי חוות הדעת הראשונה מצאה את הנאשם כשיר, ואילו עמדתו של הממונה על עבודות שירות אינה כזו הנשענת על עובדות מוכחות, אלא על רצף של הנחות, מה גם שאין חולק כי הנאשם מסר בדיקת שתן נקיה לממונה (ראה חוות הדעת מיום 2.1.14) והמשיך, במקביל, למסור דגימות ביחידה העירונית לטיפול בנפגעי סמים. הסניגור הגיש מכתב מאגף לשירותים חברתיים של עיריית חולון מיום 22.1.14 המתאר את ההליך השיקומי שעבר הנאשם, וביקש להתחשב הן בתקופת מעצרו של הנאשם, והן בתקופה הממושכת בה היה במעצר בית </w:t>
      </w:r>
      <w:r>
        <w:rPr>
          <w:rFonts w:ascii="Arial" w:hAnsi="Arial"/>
          <w:rtl/>
        </w:rPr>
        <w:t>–</w:t>
      </w:r>
      <w:r>
        <w:rPr>
          <w:rFonts w:ascii="Arial" w:hAnsi="Arial" w:hint="cs"/>
          <w:rtl/>
        </w:rPr>
        <w:t xml:space="preserve"> שנתיים ימים. </w:t>
      </w:r>
    </w:p>
    <w:p w14:paraId="7DD210C1" w14:textId="77777777" w:rsidR="005F1ECA" w:rsidRDefault="005F1ECA">
      <w:pPr>
        <w:spacing w:line="360" w:lineRule="auto"/>
        <w:ind w:left="720" w:hanging="720"/>
        <w:jc w:val="both"/>
        <w:rPr>
          <w:rFonts w:ascii="Arial" w:hAnsi="Arial"/>
          <w:rtl/>
        </w:rPr>
      </w:pPr>
    </w:p>
    <w:p w14:paraId="7ED9CA53" w14:textId="77777777" w:rsidR="005F1ECA" w:rsidRDefault="007E1D52">
      <w:pPr>
        <w:spacing w:line="360" w:lineRule="auto"/>
        <w:ind w:left="720" w:hanging="720"/>
        <w:jc w:val="both"/>
        <w:rPr>
          <w:rFonts w:ascii="Arial" w:hAnsi="Arial"/>
          <w:rtl/>
        </w:rPr>
      </w:pPr>
      <w:r>
        <w:rPr>
          <w:rFonts w:ascii="Arial" w:hAnsi="Arial" w:hint="cs"/>
          <w:rtl/>
        </w:rPr>
        <w:t>7.</w:t>
      </w:r>
      <w:r>
        <w:rPr>
          <w:rFonts w:ascii="Arial" w:hAnsi="Arial" w:hint="cs"/>
          <w:rtl/>
        </w:rPr>
        <w:tab/>
        <w:t>הנאשם בדברו האחרון סיפר כי משך תקופה העומדת על 33 חודשים לא נגע בסמים, וציין כי אינו יודע מדוע הבדיקות שמסר לממונה על עבודות שירות לא נמצאו תקינות.</w:t>
      </w:r>
    </w:p>
    <w:p w14:paraId="0433C911" w14:textId="77777777" w:rsidR="005F1ECA" w:rsidRDefault="005F1ECA">
      <w:pPr>
        <w:spacing w:line="360" w:lineRule="auto"/>
        <w:ind w:left="720" w:hanging="720"/>
        <w:jc w:val="both"/>
        <w:rPr>
          <w:rFonts w:ascii="Arial" w:hAnsi="Arial"/>
          <w:rtl/>
        </w:rPr>
      </w:pPr>
    </w:p>
    <w:p w14:paraId="51B54ED7" w14:textId="77777777" w:rsidR="005F1ECA" w:rsidRDefault="007E1D52">
      <w:pPr>
        <w:spacing w:line="360" w:lineRule="auto"/>
        <w:ind w:left="720"/>
        <w:jc w:val="both"/>
        <w:rPr>
          <w:rFonts w:ascii="Arial" w:hAnsi="Arial"/>
          <w:u w:val="single"/>
          <w:rtl/>
        </w:rPr>
      </w:pPr>
      <w:r>
        <w:rPr>
          <w:rFonts w:ascii="Arial" w:hAnsi="Arial" w:hint="cs"/>
          <w:u w:val="single"/>
          <w:rtl/>
        </w:rPr>
        <w:t>דיון והכרעה</w:t>
      </w:r>
    </w:p>
    <w:p w14:paraId="339E7AC1" w14:textId="77777777" w:rsidR="005F1ECA" w:rsidRDefault="005F1ECA">
      <w:pPr>
        <w:spacing w:line="360" w:lineRule="auto"/>
        <w:ind w:left="720"/>
        <w:jc w:val="both"/>
        <w:rPr>
          <w:rFonts w:ascii="Arial" w:hAnsi="Arial"/>
          <w:u w:val="single"/>
          <w:rtl/>
        </w:rPr>
      </w:pPr>
    </w:p>
    <w:p w14:paraId="61D80020" w14:textId="77777777" w:rsidR="005F1ECA" w:rsidRDefault="007E1D52">
      <w:pPr>
        <w:spacing w:line="360" w:lineRule="auto"/>
        <w:ind w:left="720" w:hanging="720"/>
        <w:jc w:val="both"/>
        <w:rPr>
          <w:rFonts w:ascii="Arial" w:hAnsi="Arial"/>
          <w:rtl/>
        </w:rPr>
      </w:pPr>
      <w:r>
        <w:rPr>
          <w:rFonts w:ascii="Arial" w:hAnsi="Arial" w:hint="cs"/>
          <w:rtl/>
        </w:rPr>
        <w:t>8.</w:t>
      </w:r>
      <w:r>
        <w:rPr>
          <w:rFonts w:ascii="Arial" w:hAnsi="Arial" w:hint="cs"/>
          <w:rtl/>
        </w:rPr>
        <w:tab/>
        <w:t xml:space="preserve">אין חולק כי יש לראות חומרה רבה במעשיו של הנאשם. עבירות הסמים הינן עבירות קשות וחמורות, וכאשר עסקינן בנסיבות המפורטות בכתב האישום המתוקן, דהיינו </w:t>
      </w:r>
      <w:r>
        <w:rPr>
          <w:rFonts w:ascii="Arial" w:hAnsi="Arial"/>
          <w:rtl/>
        </w:rPr>
        <w:t>–</w:t>
      </w:r>
      <w:r>
        <w:rPr>
          <w:rFonts w:ascii="Arial" w:hAnsi="Arial" w:hint="cs"/>
          <w:rtl/>
        </w:rPr>
        <w:t xml:space="preserve"> הקמת מעבדה ביתית מאובזרת, גידול סם מסוכן מסוג קנבוס במשקל של </w:t>
      </w:r>
      <w:smartTag w:uri="urn:schemas-microsoft-com:office:smarttags" w:element="metricconverter">
        <w:smartTagPr>
          <w:attr w:name="ProductID" w:val="3.6 ק&quot;ג"/>
        </w:smartTagPr>
        <w:r>
          <w:rPr>
            <w:rFonts w:ascii="Arial" w:hAnsi="Arial" w:hint="cs"/>
            <w:rtl/>
          </w:rPr>
          <w:t>3.6 ק"ג</w:t>
        </w:r>
      </w:smartTag>
      <w:r>
        <w:rPr>
          <w:rFonts w:ascii="Arial" w:hAnsi="Arial" w:hint="cs"/>
          <w:rtl/>
        </w:rPr>
        <w:t xml:space="preserve"> והחזקת </w:t>
      </w:r>
      <w:smartTag w:uri="urn:schemas-microsoft-com:office:smarttags" w:element="metricconverter">
        <w:smartTagPr>
          <w:attr w:name="ProductID" w:val="462 גרם"/>
        </w:smartTagPr>
        <w:r>
          <w:rPr>
            <w:rFonts w:ascii="Arial" w:hAnsi="Arial" w:hint="cs"/>
            <w:rtl/>
          </w:rPr>
          <w:t>462 גרם</w:t>
        </w:r>
      </w:smartTag>
      <w:r>
        <w:rPr>
          <w:rFonts w:ascii="Arial" w:hAnsi="Arial" w:hint="cs"/>
          <w:rtl/>
        </w:rPr>
        <w:t xml:space="preserve"> נוספים שלא לצריכה עצמית, דומה כי אין צורך להכביר במילים. </w:t>
      </w:r>
    </w:p>
    <w:p w14:paraId="3689A670" w14:textId="77777777" w:rsidR="005F1ECA" w:rsidRDefault="005F1ECA">
      <w:pPr>
        <w:spacing w:line="360" w:lineRule="auto"/>
        <w:ind w:left="720" w:hanging="720"/>
        <w:jc w:val="both"/>
        <w:rPr>
          <w:rFonts w:ascii="Arial" w:hAnsi="Arial"/>
          <w:rtl/>
        </w:rPr>
      </w:pPr>
    </w:p>
    <w:p w14:paraId="59C2F638" w14:textId="77777777" w:rsidR="005F1ECA" w:rsidRDefault="007E1D52">
      <w:pPr>
        <w:spacing w:line="360" w:lineRule="auto"/>
        <w:ind w:left="720" w:hanging="720"/>
        <w:jc w:val="both"/>
        <w:rPr>
          <w:rFonts w:ascii="Arial" w:hAnsi="Arial"/>
          <w:rtl/>
        </w:rPr>
      </w:pPr>
      <w:r>
        <w:rPr>
          <w:rFonts w:ascii="Arial" w:hAnsi="Arial" w:hint="cs"/>
          <w:rtl/>
        </w:rPr>
        <w:t>9.</w:t>
      </w:r>
      <w:r>
        <w:rPr>
          <w:rFonts w:ascii="Arial" w:hAnsi="Arial" w:hint="cs"/>
          <w:rtl/>
        </w:rPr>
        <w:tab/>
        <w:t xml:space="preserve">כעת, יש להידרש למקבץ נתוניו של הנאשם, ולהשפעת נתונים אלה על העונש. אין חולק כי ניתן למנות מספר נתונים העומדים לזכותו של הנאשם, והם בעלי השפעה לא מבוטלת על הענישה. כך הודאתו של הנאשם וקבלת האחריות, כך היותו נעדר הרשעות קודמות, וכך התקופה הממושכת בה שהה  במעצר בית, תקופה אשר לטעמי, צריכה לקבל ביטוי מסויים בענישה הסופית. תקופה ממושכת זו, בה לא יכול היה הנאשם לפרנס את משפחתו, מצדיקה לטעמי אף הימנעות מהשתת קנס. עוד יצויין כי מדובר בנאשם אשר הוחזק במעצר ממש כחודשיים וחצי (11.4.11 </w:t>
      </w:r>
      <w:r>
        <w:rPr>
          <w:rFonts w:ascii="Arial" w:hAnsi="Arial"/>
          <w:rtl/>
        </w:rPr>
        <w:t>–</w:t>
      </w:r>
      <w:r>
        <w:rPr>
          <w:rFonts w:ascii="Arial" w:hAnsi="Arial" w:hint="cs"/>
          <w:rtl/>
        </w:rPr>
        <w:t xml:space="preserve"> 28.6.11), תקופה לא מבוטלת אשר אין לי ספק כי הייתה בבחינת תקופה מטלטלת ולא קלה עבור הנאשם שמעולם לא ריצה עונש מאסר. יש אף משקל מסוים לפרק הזמן שעבר ממועד ביצוע העבירה ועד היום (כ-3 שנים) למרות שאין עסקינן בתיק שהוגש בשיהוי. </w:t>
      </w:r>
      <w:bookmarkStart w:id="7" w:name="_GoBack"/>
      <w:bookmarkEnd w:id="7"/>
    </w:p>
    <w:p w14:paraId="276CB2E3" w14:textId="77777777" w:rsidR="005F1ECA" w:rsidRDefault="005F1ECA">
      <w:pPr>
        <w:spacing w:line="360" w:lineRule="auto"/>
        <w:ind w:left="720"/>
        <w:jc w:val="both"/>
        <w:rPr>
          <w:rFonts w:ascii="Arial" w:hAnsi="Arial"/>
          <w:rtl/>
        </w:rPr>
      </w:pPr>
    </w:p>
    <w:p w14:paraId="10178190" w14:textId="77777777" w:rsidR="005F1ECA" w:rsidRDefault="007E1D52">
      <w:pPr>
        <w:spacing w:line="360" w:lineRule="auto"/>
        <w:ind w:left="720" w:hanging="720"/>
        <w:jc w:val="both"/>
        <w:rPr>
          <w:rFonts w:ascii="Arial" w:hAnsi="Arial"/>
          <w:rtl/>
        </w:rPr>
      </w:pPr>
      <w:r>
        <w:rPr>
          <w:rFonts w:ascii="Arial" w:hAnsi="Arial" w:hint="cs"/>
          <w:rtl/>
        </w:rPr>
        <w:t>10.</w:t>
      </w:r>
      <w:r>
        <w:rPr>
          <w:rFonts w:ascii="Arial" w:hAnsi="Arial" w:hint="cs"/>
          <w:rtl/>
        </w:rPr>
        <w:tab/>
        <w:t xml:space="preserve">בהתייחס להליך השיקומי, דומני כי יש מקום להעניק משקל מסוים להליך זה בהתבסס על העולה מתסקירי שירות המבחן, אולם לא את המשקל המכסימלי. מסקנה זאת נלמדת הן מבחינת התנהלותו של הנאשם מול הממונה על עבודות שירות, אך בעיקר מעיון במסמך הסיכום מהיחידה לנפגעי סמים (ב.ש/1) המלמד כי הגם שהנאשם התייצב לכל המפגשים ומסר בדיקות שתן נקיות, ראוי היה להגיע לעומק גדול יותר בטיפול הרגשי, אך להערכת מטפליו, ונוכח התרשמותם מהנאשם, לא ניתן היה לעשות כן. בהתייחס לאותה התנהלות מול הממונה על עבודות שירות, אינני נדרש לקבוע את הסיבה למציאתו כבלתי כשיר לביצוע עבודות שירות, ועל כן אסתפק בהפנייה להשתלשלות האירועים שתוארה לעיל, והתמקדות בעובדה כי בכל מפגשיו של הנאשם עם הממונה (ארבעה במספר), תהליך בדיקת השתן נתקל בקשיים מגוונים, גם אם בפעם הראשונה, בסופו של יום, נמצא הנאשם כשיר, וגם אם במסגרת ההפנייה השלישית, נמצאה אחת הבדיקות נקיה. </w:t>
      </w:r>
    </w:p>
    <w:p w14:paraId="70D235A5" w14:textId="77777777" w:rsidR="005F1ECA" w:rsidRDefault="005F1ECA">
      <w:pPr>
        <w:spacing w:line="360" w:lineRule="auto"/>
        <w:ind w:left="720"/>
        <w:jc w:val="both"/>
        <w:rPr>
          <w:rFonts w:ascii="Arial" w:hAnsi="Arial"/>
          <w:rtl/>
        </w:rPr>
      </w:pPr>
    </w:p>
    <w:p w14:paraId="4B60EDF5" w14:textId="77777777" w:rsidR="005F1ECA" w:rsidRDefault="007E1D52">
      <w:pPr>
        <w:spacing w:line="360" w:lineRule="auto"/>
        <w:jc w:val="both"/>
        <w:rPr>
          <w:rFonts w:ascii="Arial" w:hAnsi="Arial"/>
          <w:rtl/>
        </w:rPr>
      </w:pPr>
      <w:r>
        <w:rPr>
          <w:rFonts w:ascii="Arial" w:hAnsi="Arial" w:hint="cs"/>
          <w:rtl/>
        </w:rPr>
        <w:t>11.</w:t>
      </w:r>
      <w:r>
        <w:rPr>
          <w:rFonts w:ascii="Arial" w:hAnsi="Arial" w:hint="cs"/>
          <w:rtl/>
        </w:rPr>
        <w:tab/>
        <w:t>הפסיקה זרועה מקרים בהם הושתו, בתיקי "מעבדות", עונשי מאסר, וראה לדוגמא המקרים הבאים:</w:t>
      </w:r>
    </w:p>
    <w:p w14:paraId="6095A2F3" w14:textId="77777777" w:rsidR="005F1ECA" w:rsidRDefault="005F1ECA">
      <w:pPr>
        <w:spacing w:line="360" w:lineRule="auto"/>
        <w:jc w:val="both"/>
        <w:rPr>
          <w:rFonts w:ascii="Arial" w:hAnsi="Arial"/>
          <w:rtl/>
        </w:rPr>
      </w:pPr>
    </w:p>
    <w:p w14:paraId="67992109" w14:textId="77777777" w:rsidR="005F1ECA" w:rsidRDefault="004E29DC">
      <w:pPr>
        <w:spacing w:line="360" w:lineRule="auto"/>
        <w:ind w:left="720"/>
        <w:jc w:val="both"/>
        <w:rPr>
          <w:rFonts w:ascii="Arial" w:hAnsi="Arial"/>
          <w:rtl/>
        </w:rPr>
      </w:pPr>
      <w:hyperlink r:id="rId14" w:history="1">
        <w:r w:rsidRPr="004E29DC">
          <w:rPr>
            <w:rStyle w:val="Hyperlink"/>
            <w:rFonts w:hint="eastAsia"/>
            <w:rtl/>
          </w:rPr>
          <w:t>ת</w:t>
        </w:r>
        <w:r w:rsidRPr="004E29DC">
          <w:rPr>
            <w:rStyle w:val="Hyperlink"/>
            <w:rtl/>
          </w:rPr>
          <w:t>"</w:t>
        </w:r>
        <w:r w:rsidRPr="004E29DC">
          <w:rPr>
            <w:rStyle w:val="Hyperlink"/>
            <w:rFonts w:hint="eastAsia"/>
            <w:rtl/>
          </w:rPr>
          <w:t>פ</w:t>
        </w:r>
        <w:r w:rsidRPr="004E29DC">
          <w:rPr>
            <w:rStyle w:val="Hyperlink"/>
            <w:rtl/>
          </w:rPr>
          <w:t xml:space="preserve"> (</w:t>
        </w:r>
        <w:r w:rsidRPr="004E29DC">
          <w:rPr>
            <w:rStyle w:val="Hyperlink"/>
            <w:rFonts w:hint="eastAsia"/>
            <w:rtl/>
          </w:rPr>
          <w:t>מרכז</w:t>
        </w:r>
        <w:r w:rsidRPr="004E29DC">
          <w:rPr>
            <w:rStyle w:val="Hyperlink"/>
            <w:rtl/>
          </w:rPr>
          <w:t>) 2456-07-10</w:t>
        </w:r>
      </w:hyperlink>
      <w:r w:rsidR="007E1D52">
        <w:rPr>
          <w:rtl/>
        </w:rPr>
        <w:t xml:space="preserve"> </w:t>
      </w:r>
      <w:r w:rsidR="007E1D52">
        <w:rPr>
          <w:b/>
          <w:bCs/>
          <w:rtl/>
        </w:rPr>
        <w:t>מדינת ישראל נ' תבל</w:t>
      </w:r>
      <w:r w:rsidR="007E1D52">
        <w:rPr>
          <w:rtl/>
        </w:rPr>
        <w:t xml:space="preserve"> ואח' (8.5.2011), שם הטיל בית המשפט המחוזי מרכז 8 חודשי מאסר, על נאשם אשר הורשע בניהול מעבדת סמים, במסגרתה החזיק כ-</w:t>
      </w:r>
      <w:smartTag w:uri="urn:schemas-microsoft-com:office:smarttags" w:element="metricconverter">
        <w:smartTagPr>
          <w:attr w:name="ProductID" w:val="8.9 ק&quot;ג"/>
        </w:smartTagPr>
        <w:r w:rsidR="007E1D52">
          <w:rPr>
            <w:rtl/>
          </w:rPr>
          <w:t>8.9 ק"ג</w:t>
        </w:r>
      </w:smartTag>
      <w:r w:rsidR="007E1D52">
        <w:rPr>
          <w:rtl/>
        </w:rPr>
        <w:t xml:space="preserve"> קנבוס וכן ציוד רב ומתוחכם;</w:t>
      </w:r>
    </w:p>
    <w:p w14:paraId="78955186" w14:textId="77777777" w:rsidR="005F1ECA" w:rsidRDefault="005F1ECA">
      <w:pPr>
        <w:spacing w:line="360" w:lineRule="auto"/>
        <w:jc w:val="both"/>
        <w:rPr>
          <w:rtl/>
        </w:rPr>
      </w:pPr>
    </w:p>
    <w:p w14:paraId="13657A2B" w14:textId="77777777" w:rsidR="005F1ECA" w:rsidRDefault="004E29DC">
      <w:pPr>
        <w:spacing w:line="360" w:lineRule="auto"/>
        <w:ind w:left="720"/>
        <w:jc w:val="both"/>
        <w:rPr>
          <w:rtl/>
        </w:rPr>
      </w:pPr>
      <w:hyperlink r:id="rId15" w:history="1">
        <w:r w:rsidRPr="004E29DC">
          <w:rPr>
            <w:rStyle w:val="Hyperlink"/>
            <w:rFonts w:hint="eastAsia"/>
            <w:rtl/>
          </w:rPr>
          <w:t>ע</w:t>
        </w:r>
        <w:r w:rsidRPr="004E29DC">
          <w:rPr>
            <w:rStyle w:val="Hyperlink"/>
            <w:rtl/>
          </w:rPr>
          <w:t>"</w:t>
        </w:r>
        <w:r w:rsidRPr="004E29DC">
          <w:rPr>
            <w:rStyle w:val="Hyperlink"/>
            <w:rFonts w:hint="eastAsia"/>
            <w:rtl/>
          </w:rPr>
          <w:t>פ</w:t>
        </w:r>
        <w:r w:rsidRPr="004E29DC">
          <w:rPr>
            <w:rStyle w:val="Hyperlink"/>
            <w:rtl/>
          </w:rPr>
          <w:t xml:space="preserve"> (</w:t>
        </w:r>
        <w:r w:rsidRPr="004E29DC">
          <w:rPr>
            <w:rStyle w:val="Hyperlink"/>
            <w:rFonts w:hint="eastAsia"/>
            <w:rtl/>
          </w:rPr>
          <w:t>נצרת</w:t>
        </w:r>
        <w:r w:rsidRPr="004E29DC">
          <w:rPr>
            <w:rStyle w:val="Hyperlink"/>
            <w:rtl/>
          </w:rPr>
          <w:t>) 1370/05</w:t>
        </w:r>
      </w:hyperlink>
      <w:r w:rsidR="007E1D52">
        <w:rPr>
          <w:rtl/>
        </w:rPr>
        <w:t xml:space="preserve"> </w:t>
      </w:r>
      <w:r w:rsidR="007E1D52">
        <w:rPr>
          <w:b/>
          <w:bCs/>
          <w:rtl/>
        </w:rPr>
        <w:t>שינגאמונג נ' מדינת ישראל</w:t>
      </w:r>
      <w:r w:rsidR="007E1D52">
        <w:rPr>
          <w:rtl/>
        </w:rPr>
        <w:t xml:space="preserve"> (28.2.2006), </w:t>
      </w:r>
      <w:r w:rsidR="007E1D52">
        <w:rPr>
          <w:u w:val="single"/>
          <w:rtl/>
        </w:rPr>
        <w:t xml:space="preserve">שם דובר על ניהול מעבדה בדירת מגורים ובהחזקת 100 שתילי סם במשקל של </w:t>
      </w:r>
      <w:smartTag w:uri="urn:schemas-microsoft-com:office:smarttags" w:element="metricconverter">
        <w:smartTagPr>
          <w:attr w:name="ProductID" w:val="6.5 ק&quot;ג"/>
        </w:smartTagPr>
        <w:r w:rsidR="007E1D52">
          <w:rPr>
            <w:u w:val="single"/>
            <w:rtl/>
          </w:rPr>
          <w:t>6.5 ק"ג</w:t>
        </w:r>
      </w:smartTag>
      <w:r w:rsidR="007E1D52">
        <w:rPr>
          <w:u w:val="single"/>
          <w:rtl/>
        </w:rPr>
        <w:t>. יתרה מכך, באותו מקרה הורשע אחד משלושת הנאשמים גם בביצוע 10 מכירות שונות של סם מסוכן מסוג קנבוס</w:t>
      </w:r>
      <w:r w:rsidR="007E1D52">
        <w:rPr>
          <w:rtl/>
        </w:rPr>
        <w:t xml:space="preserve">. בית המשפט המחוזי בנצרת גזר על נאשמים 1 ו-3, שהורשעו בניהול המעבדה והחזקת הסם, </w:t>
      </w:r>
      <w:r w:rsidR="007E1D52">
        <w:rPr>
          <w:u w:val="single"/>
          <w:rtl/>
        </w:rPr>
        <w:t>8 חודשי מאסר</w:t>
      </w:r>
      <w:r w:rsidR="007E1D52">
        <w:rPr>
          <w:rtl/>
        </w:rPr>
        <w:t xml:space="preserve">, ואילו על נאשם 2, שהורשע גם בניהול המעבדה והחזקת הסם וגם בעבירות סחר בסם, </w:t>
      </w:r>
      <w:r w:rsidR="007E1D52">
        <w:rPr>
          <w:u w:val="single"/>
          <w:rtl/>
        </w:rPr>
        <w:t>10 חודשי מאסר</w:t>
      </w:r>
      <w:r w:rsidR="007E1D52">
        <w:rPr>
          <w:rtl/>
        </w:rPr>
        <w:t xml:space="preserve">; </w:t>
      </w:r>
    </w:p>
    <w:p w14:paraId="370C7A18" w14:textId="77777777" w:rsidR="005F1ECA" w:rsidRDefault="005F1ECA">
      <w:pPr>
        <w:spacing w:line="360" w:lineRule="auto"/>
        <w:jc w:val="both"/>
        <w:rPr>
          <w:rtl/>
        </w:rPr>
      </w:pPr>
    </w:p>
    <w:p w14:paraId="74B4C694" w14:textId="77777777" w:rsidR="005F1ECA" w:rsidRDefault="004E29DC">
      <w:pPr>
        <w:spacing w:line="360" w:lineRule="auto"/>
        <w:ind w:left="720"/>
        <w:jc w:val="both"/>
        <w:rPr>
          <w:rtl/>
        </w:rPr>
      </w:pPr>
      <w:hyperlink r:id="rId16" w:history="1">
        <w:r w:rsidRPr="004E29DC">
          <w:rPr>
            <w:rStyle w:val="Hyperlink"/>
            <w:rFonts w:hint="eastAsia"/>
            <w:rtl/>
          </w:rPr>
          <w:t>עפ</w:t>
        </w:r>
        <w:r w:rsidRPr="004E29DC">
          <w:rPr>
            <w:rStyle w:val="Hyperlink"/>
            <w:rtl/>
          </w:rPr>
          <w:t>"</w:t>
        </w:r>
        <w:r w:rsidRPr="004E29DC">
          <w:rPr>
            <w:rStyle w:val="Hyperlink"/>
            <w:rFonts w:hint="eastAsia"/>
            <w:rtl/>
          </w:rPr>
          <w:t>ג</w:t>
        </w:r>
        <w:r w:rsidRPr="004E29DC">
          <w:rPr>
            <w:rStyle w:val="Hyperlink"/>
            <w:rtl/>
          </w:rPr>
          <w:t xml:space="preserve"> (</w:t>
        </w:r>
        <w:r w:rsidRPr="004E29DC">
          <w:rPr>
            <w:rStyle w:val="Hyperlink"/>
            <w:rFonts w:hint="eastAsia"/>
            <w:rtl/>
          </w:rPr>
          <w:t>תל</w:t>
        </w:r>
        <w:r w:rsidRPr="004E29DC">
          <w:rPr>
            <w:rStyle w:val="Hyperlink"/>
            <w:rtl/>
          </w:rPr>
          <w:t>-</w:t>
        </w:r>
        <w:r w:rsidRPr="004E29DC">
          <w:rPr>
            <w:rStyle w:val="Hyperlink"/>
            <w:rFonts w:hint="eastAsia"/>
            <w:rtl/>
          </w:rPr>
          <w:t>אביב</w:t>
        </w:r>
        <w:r w:rsidRPr="004E29DC">
          <w:rPr>
            <w:rStyle w:val="Hyperlink"/>
            <w:rtl/>
          </w:rPr>
          <w:t>-</w:t>
        </w:r>
        <w:r w:rsidRPr="004E29DC">
          <w:rPr>
            <w:rStyle w:val="Hyperlink"/>
            <w:rFonts w:hint="eastAsia"/>
            <w:rtl/>
          </w:rPr>
          <w:t>יפו</w:t>
        </w:r>
        <w:r w:rsidRPr="004E29DC">
          <w:rPr>
            <w:rStyle w:val="Hyperlink"/>
            <w:rtl/>
          </w:rPr>
          <w:t>) 17155-07-10</w:t>
        </w:r>
      </w:hyperlink>
      <w:r w:rsidR="007E1D52">
        <w:rPr>
          <w:rtl/>
        </w:rPr>
        <w:t xml:space="preserve"> </w:t>
      </w:r>
      <w:r w:rsidR="007E1D52">
        <w:rPr>
          <w:b/>
          <w:bCs/>
          <w:rtl/>
        </w:rPr>
        <w:t>מדינת ישראל נ' עמר נסים ואח'</w:t>
      </w:r>
      <w:r w:rsidR="007E1D52">
        <w:rPr>
          <w:rtl/>
        </w:rPr>
        <w:t xml:space="preserve"> (1.11.2010) שם דובר בניהול מעבדת סמים וגידול של למעלה </w:t>
      </w:r>
      <w:r w:rsidR="007E1D52">
        <w:rPr>
          <w:u w:val="single"/>
          <w:rtl/>
        </w:rPr>
        <w:t>מ-</w:t>
      </w:r>
      <w:smartTag w:uri="urn:schemas-microsoft-com:office:smarttags" w:element="metricconverter">
        <w:smartTagPr>
          <w:attr w:name="ProductID" w:val="11 ק&quot;ג"/>
        </w:smartTagPr>
        <w:r w:rsidR="007E1D52">
          <w:rPr>
            <w:u w:val="single"/>
            <w:rtl/>
          </w:rPr>
          <w:t>11 ק"ג</w:t>
        </w:r>
      </w:smartTag>
      <w:r w:rsidR="007E1D52">
        <w:rPr>
          <w:rtl/>
        </w:rPr>
        <w:t xml:space="preserve">. בית משפט השלום הטיל על שני הנאשם עונש של 6 חודשי מאסר לריצוי בדרך של עבודות שירות. במסגרת הדיון בערעור שהגישה המדינה, גובשה הסכמה בין הצדדים במסגרתה הועמד עונשו של אחד הנאשמים על </w:t>
      </w:r>
      <w:r w:rsidR="007E1D52">
        <w:rPr>
          <w:u w:val="single"/>
          <w:rtl/>
        </w:rPr>
        <w:t>9 חודשי מאסר</w:t>
      </w:r>
      <w:r w:rsidR="007E1D52">
        <w:rPr>
          <w:rtl/>
        </w:rPr>
        <w:t xml:space="preserve">, ואילו המדינה חזרה בה מהערעור ביחס לנאשם השני. בית המשפט המחוזי בתל אביב ראה לכבד את הסכמת הצדדים, הגם שציין כי יש בה משום הליכה רבתי כלפי הנאשמים; </w:t>
      </w:r>
    </w:p>
    <w:p w14:paraId="56331021" w14:textId="77777777" w:rsidR="005F1ECA" w:rsidRDefault="005F1ECA">
      <w:pPr>
        <w:spacing w:line="360" w:lineRule="auto"/>
        <w:jc w:val="both"/>
        <w:rPr>
          <w:rtl/>
        </w:rPr>
      </w:pPr>
    </w:p>
    <w:p w14:paraId="7FFE9F45" w14:textId="77777777" w:rsidR="005F1ECA" w:rsidRDefault="004E29DC">
      <w:pPr>
        <w:spacing w:line="360" w:lineRule="auto"/>
        <w:ind w:left="720"/>
        <w:jc w:val="both"/>
        <w:rPr>
          <w:b/>
          <w:bCs/>
          <w:rtl/>
        </w:rPr>
      </w:pPr>
      <w:hyperlink r:id="rId17" w:history="1">
        <w:r w:rsidRPr="004E29DC">
          <w:rPr>
            <w:rStyle w:val="Hyperlink"/>
            <w:rFonts w:hint="eastAsia"/>
            <w:rtl/>
          </w:rPr>
          <w:t>עפ</w:t>
        </w:r>
        <w:r w:rsidRPr="004E29DC">
          <w:rPr>
            <w:rStyle w:val="Hyperlink"/>
            <w:rtl/>
          </w:rPr>
          <w:t>"</w:t>
        </w:r>
        <w:r w:rsidRPr="004E29DC">
          <w:rPr>
            <w:rStyle w:val="Hyperlink"/>
            <w:rFonts w:hint="eastAsia"/>
            <w:rtl/>
          </w:rPr>
          <w:t>ג</w:t>
        </w:r>
        <w:r w:rsidRPr="004E29DC">
          <w:rPr>
            <w:rStyle w:val="Hyperlink"/>
            <w:rtl/>
          </w:rPr>
          <w:t xml:space="preserve"> (</w:t>
        </w:r>
        <w:r w:rsidRPr="004E29DC">
          <w:rPr>
            <w:rStyle w:val="Hyperlink"/>
            <w:rFonts w:hint="eastAsia"/>
            <w:rtl/>
          </w:rPr>
          <w:t>מרכז</w:t>
        </w:r>
        <w:r w:rsidRPr="004E29DC">
          <w:rPr>
            <w:rStyle w:val="Hyperlink"/>
            <w:rtl/>
          </w:rPr>
          <w:t>) 52810-07-10</w:t>
        </w:r>
      </w:hyperlink>
      <w:r w:rsidR="007E1D52">
        <w:rPr>
          <w:rtl/>
        </w:rPr>
        <w:t xml:space="preserve"> </w:t>
      </w:r>
      <w:r w:rsidR="007E1D52">
        <w:rPr>
          <w:b/>
          <w:bCs/>
          <w:rtl/>
        </w:rPr>
        <w:t>חזי עזריה נ' מדינת ישראל</w:t>
      </w:r>
      <w:r w:rsidR="007E1D52">
        <w:rPr>
          <w:rtl/>
        </w:rPr>
        <w:t xml:space="preserve"> (21.12.2010) שם דובר בניהול מעבדה לייצור סמים מסוג קנבוס, בגידול של </w:t>
      </w:r>
      <w:r w:rsidR="007E1D52">
        <w:rPr>
          <w:u w:val="single"/>
          <w:rtl/>
        </w:rPr>
        <w:t xml:space="preserve">38 שתילים במשקל של </w:t>
      </w:r>
      <w:smartTag w:uri="urn:schemas-microsoft-com:office:smarttags" w:element="metricconverter">
        <w:smartTagPr>
          <w:attr w:name="ProductID" w:val="1.180 ק&quot;ג"/>
        </w:smartTagPr>
        <w:r w:rsidR="007E1D52">
          <w:rPr>
            <w:u w:val="single"/>
            <w:rtl/>
          </w:rPr>
          <w:t>1.180 ק"ג</w:t>
        </w:r>
      </w:smartTag>
      <w:r w:rsidR="007E1D52">
        <w:rPr>
          <w:u w:val="single"/>
          <w:rtl/>
        </w:rPr>
        <w:t xml:space="preserve"> נטו</w:t>
      </w:r>
      <w:r w:rsidR="007E1D52">
        <w:rPr>
          <w:rtl/>
        </w:rPr>
        <w:t xml:space="preserve">, בהחזקת כלים לצורך גידול שתילים, </w:t>
      </w:r>
      <w:r w:rsidR="007E1D52">
        <w:rPr>
          <w:u w:val="single"/>
          <w:rtl/>
        </w:rPr>
        <w:t xml:space="preserve">בהחזקת חשיש במשקל </w:t>
      </w:r>
      <w:smartTag w:uri="urn:schemas-microsoft-com:office:smarttags" w:element="metricconverter">
        <w:smartTagPr>
          <w:attr w:name="ProductID" w:val="277.29 גרם"/>
        </w:smartTagPr>
        <w:r w:rsidR="007E1D52">
          <w:rPr>
            <w:u w:val="single"/>
            <w:rtl/>
          </w:rPr>
          <w:t>277.29 גרם</w:t>
        </w:r>
      </w:smartTag>
      <w:r w:rsidR="007E1D52">
        <w:rPr>
          <w:u w:val="single"/>
          <w:rtl/>
        </w:rPr>
        <w:t xml:space="preserve"> נטו, ו"חגיגת" במשקל </w:t>
      </w:r>
      <w:smartTag w:uri="urn:schemas-microsoft-com:office:smarttags" w:element="metricconverter">
        <w:smartTagPr>
          <w:attr w:name="ProductID" w:val="94.66 גרם"/>
        </w:smartTagPr>
        <w:r w:rsidR="007E1D52">
          <w:rPr>
            <w:u w:val="single"/>
            <w:rtl/>
          </w:rPr>
          <w:t>94.66 גרם</w:t>
        </w:r>
      </w:smartTag>
      <w:r w:rsidR="007E1D52">
        <w:rPr>
          <w:rtl/>
        </w:rPr>
        <w:t xml:space="preserve">. בית משפט השלום גזר על הנאשם עונש של 9 חודשי מאסר. בית המשפט המחוזי ציין כי מדובר בגזר דין ראוי המשקלל את הנתונים הרלוונטיים, אולם נוכח התפתחויות חיובית בהיבט השיקומי, מצא לקבל את ערעור הנאשם ולהעמיד את עונשו על </w:t>
      </w:r>
      <w:r w:rsidR="007E1D52">
        <w:rPr>
          <w:u w:val="single"/>
          <w:rtl/>
        </w:rPr>
        <w:t>6 חודשי מאסר לריצוי בדרך של עבודות שירות</w:t>
      </w:r>
      <w:r w:rsidR="007E1D52">
        <w:rPr>
          <w:rtl/>
        </w:rPr>
        <w:t xml:space="preserve">; </w:t>
      </w:r>
    </w:p>
    <w:p w14:paraId="66311FBD" w14:textId="77777777" w:rsidR="005F1ECA" w:rsidRDefault="005F1ECA">
      <w:pPr>
        <w:spacing w:line="360" w:lineRule="auto"/>
        <w:jc w:val="both"/>
        <w:rPr>
          <w:rtl/>
        </w:rPr>
      </w:pPr>
    </w:p>
    <w:p w14:paraId="059B714D" w14:textId="77777777" w:rsidR="005F1ECA" w:rsidRDefault="004E29DC">
      <w:pPr>
        <w:spacing w:line="360" w:lineRule="auto"/>
        <w:ind w:left="720"/>
        <w:jc w:val="both"/>
        <w:rPr>
          <w:rtl/>
        </w:rPr>
      </w:pPr>
      <w:hyperlink r:id="rId18" w:history="1">
        <w:r w:rsidRPr="004E29DC">
          <w:rPr>
            <w:rStyle w:val="Hyperlink"/>
            <w:rFonts w:hint="eastAsia"/>
            <w:rtl/>
          </w:rPr>
          <w:t>ת</w:t>
        </w:r>
        <w:r w:rsidRPr="004E29DC">
          <w:rPr>
            <w:rStyle w:val="Hyperlink"/>
            <w:rtl/>
          </w:rPr>
          <w:t>"</w:t>
        </w:r>
        <w:r w:rsidRPr="004E29DC">
          <w:rPr>
            <w:rStyle w:val="Hyperlink"/>
            <w:rFonts w:hint="eastAsia"/>
            <w:rtl/>
          </w:rPr>
          <w:t>פ</w:t>
        </w:r>
        <w:r w:rsidRPr="004E29DC">
          <w:rPr>
            <w:rStyle w:val="Hyperlink"/>
            <w:rtl/>
          </w:rPr>
          <w:t xml:space="preserve"> 32746-11-09</w:t>
        </w:r>
      </w:hyperlink>
      <w:r w:rsidR="007E1D52">
        <w:rPr>
          <w:rtl/>
        </w:rPr>
        <w:t xml:space="preserve"> (מרכז) </w:t>
      </w:r>
      <w:r w:rsidR="007E1D52">
        <w:rPr>
          <w:b/>
          <w:bCs/>
          <w:rtl/>
        </w:rPr>
        <w:t>מדינת ישראל נ' ביטון ואח'</w:t>
      </w:r>
      <w:r w:rsidR="007E1D52">
        <w:rPr>
          <w:rtl/>
        </w:rPr>
        <w:t xml:space="preserve"> (12.7.10) שם דובר על שני נאשמים (4-5) אשר שכרו אולם באיזור תעשיה והפכו אותו למעבדת סמים משוכללת, שם גידלו כמות גדולה של סם מסוכן מסוג קנבוס (נאשם 1 באותו פרשה הורשע בכך שהגיע לאולם וסייע לשני הנאשמים להחזיק כ – </w:t>
      </w:r>
      <w:smartTag w:uri="urn:schemas-microsoft-com:office:smarttags" w:element="metricconverter">
        <w:smartTagPr>
          <w:attr w:name="ProductID" w:val="90.5 ק&quot;ג"/>
        </w:smartTagPr>
        <w:r w:rsidR="007E1D52">
          <w:rPr>
            <w:b/>
            <w:bCs/>
            <w:rtl/>
          </w:rPr>
          <w:t>90.5 ק"ג</w:t>
        </w:r>
      </w:smartTag>
      <w:r w:rsidR="007E1D52">
        <w:rPr>
          <w:b/>
          <w:bCs/>
          <w:rtl/>
        </w:rPr>
        <w:t xml:space="preserve"> </w:t>
      </w:r>
      <w:r w:rsidR="007E1D52">
        <w:rPr>
          <w:rtl/>
        </w:rPr>
        <w:t xml:space="preserve">קנבוס, ודינו נגזר, במסגרת הסדר טיעון, ל-9 חודשי מאסר בפועל). בית המשפט המחוזי מרכז גזר על שני הנאשמים (העבריינים המרכזיים) </w:t>
      </w:r>
      <w:r w:rsidR="007E1D52">
        <w:rPr>
          <w:u w:val="single"/>
          <w:rtl/>
        </w:rPr>
        <w:t>עונש של 18 חודשי מאסר</w:t>
      </w:r>
      <w:r w:rsidR="007E1D52">
        <w:rPr>
          <w:rtl/>
        </w:rPr>
        <w:t>.</w:t>
      </w:r>
      <w:r w:rsidR="007E1D52">
        <w:rPr>
          <w:b/>
          <w:bCs/>
          <w:rtl/>
        </w:rPr>
        <w:t xml:space="preserve"> </w:t>
      </w:r>
    </w:p>
    <w:p w14:paraId="37565012" w14:textId="77777777" w:rsidR="005F1ECA" w:rsidRDefault="005F1ECA">
      <w:pPr>
        <w:spacing w:line="360" w:lineRule="auto"/>
        <w:ind w:left="720" w:hanging="720"/>
        <w:jc w:val="both"/>
        <w:rPr>
          <w:rFonts w:ascii="Arial" w:hAnsi="Arial"/>
          <w:rtl/>
        </w:rPr>
      </w:pPr>
    </w:p>
    <w:p w14:paraId="054A85C1" w14:textId="77777777" w:rsidR="005F1ECA" w:rsidRDefault="007E1D52">
      <w:pPr>
        <w:spacing w:line="360" w:lineRule="auto"/>
        <w:ind w:left="720" w:hanging="720"/>
        <w:jc w:val="both"/>
        <w:rPr>
          <w:rFonts w:ascii="Arial" w:hAnsi="Arial"/>
          <w:rtl/>
        </w:rPr>
      </w:pPr>
      <w:r>
        <w:rPr>
          <w:rFonts w:ascii="Arial" w:hAnsi="Arial" w:hint="cs"/>
          <w:rtl/>
        </w:rPr>
        <w:t>12.</w:t>
      </w:r>
      <w:r>
        <w:rPr>
          <w:rFonts w:ascii="Arial" w:hAnsi="Arial" w:hint="cs"/>
          <w:rtl/>
        </w:rPr>
        <w:tab/>
        <w:t>בנסיבות שתוארו לעיל, סבורני כי הטלת עונש לתקופה הדומה בהיקפה לתקופת המאסר אותה ניתן לרצות בעבודות שירות, תוך מתן משקל לכלל הנתונים לרבות לתקופה הממושכת בה שהה הנאשם במעצר הבית, תהווה ענישה מידתית ומאוזנת.</w:t>
      </w:r>
    </w:p>
    <w:p w14:paraId="16F9EDF8" w14:textId="77777777" w:rsidR="005F1ECA" w:rsidRDefault="005F1ECA">
      <w:pPr>
        <w:spacing w:line="360" w:lineRule="auto"/>
        <w:ind w:left="720" w:hanging="720"/>
        <w:jc w:val="both"/>
        <w:rPr>
          <w:rFonts w:ascii="Arial" w:hAnsi="Arial"/>
          <w:rtl/>
        </w:rPr>
      </w:pPr>
    </w:p>
    <w:p w14:paraId="0D2B070F" w14:textId="77777777" w:rsidR="005F1ECA" w:rsidRDefault="007E1D52">
      <w:pPr>
        <w:spacing w:line="360" w:lineRule="auto"/>
        <w:ind w:left="720" w:hanging="720"/>
        <w:jc w:val="both"/>
        <w:rPr>
          <w:rFonts w:ascii="Arial" w:hAnsi="Arial"/>
          <w:rtl/>
        </w:rPr>
      </w:pPr>
      <w:r>
        <w:rPr>
          <w:rFonts w:ascii="Arial" w:hAnsi="Arial" w:hint="cs"/>
          <w:rtl/>
        </w:rPr>
        <w:tab/>
        <w:t>לאור האמור לעיל אני מטיל על הנאשם את העונשים הבאים:</w:t>
      </w:r>
    </w:p>
    <w:p w14:paraId="46BA7442" w14:textId="77777777" w:rsidR="005F1ECA" w:rsidRDefault="005F1ECA">
      <w:pPr>
        <w:spacing w:line="360" w:lineRule="auto"/>
        <w:ind w:left="720" w:hanging="720"/>
        <w:jc w:val="both"/>
        <w:rPr>
          <w:rFonts w:ascii="Arial" w:hAnsi="Arial"/>
          <w:rtl/>
        </w:rPr>
      </w:pPr>
    </w:p>
    <w:p w14:paraId="7A0AEF73" w14:textId="77777777" w:rsidR="005F1ECA" w:rsidRDefault="007E1D52">
      <w:pPr>
        <w:spacing w:line="360" w:lineRule="auto"/>
        <w:ind w:left="720"/>
        <w:jc w:val="both"/>
        <w:rPr>
          <w:rtl/>
        </w:rPr>
      </w:pPr>
      <w:r>
        <w:rPr>
          <w:rFonts w:ascii="Arial" w:hAnsi="Arial" w:hint="cs"/>
          <w:rtl/>
        </w:rPr>
        <w:t>א</w:t>
      </w:r>
      <w:r>
        <w:rPr>
          <w:rtl/>
        </w:rPr>
        <w:t xml:space="preserve">. </w:t>
      </w:r>
      <w:r>
        <w:rPr>
          <w:rFonts w:hint="cs"/>
          <w:rtl/>
        </w:rPr>
        <w:t>6</w:t>
      </w:r>
      <w:r>
        <w:rPr>
          <w:rtl/>
        </w:rPr>
        <w:t xml:space="preserve"> חודשי מאסר לריצוי בפועל, </w:t>
      </w:r>
      <w:r>
        <w:rPr>
          <w:rFonts w:hint="cs"/>
          <w:rtl/>
        </w:rPr>
        <w:t xml:space="preserve">בניכוי תקופת מעצרו </w:t>
      </w:r>
      <w:r>
        <w:rPr>
          <w:rFonts w:ascii="Arial" w:hAnsi="Arial" w:hint="cs"/>
          <w:rtl/>
        </w:rPr>
        <w:t xml:space="preserve">(11.4.11 </w:t>
      </w:r>
      <w:r>
        <w:rPr>
          <w:rFonts w:ascii="Arial" w:hAnsi="Arial"/>
          <w:rtl/>
        </w:rPr>
        <w:t>–</w:t>
      </w:r>
      <w:r>
        <w:rPr>
          <w:rFonts w:ascii="Arial" w:hAnsi="Arial" w:hint="cs"/>
          <w:rtl/>
        </w:rPr>
        <w:t xml:space="preserve"> 28.6.11). </w:t>
      </w:r>
      <w:r>
        <w:rPr>
          <w:rFonts w:hint="cs"/>
          <w:rtl/>
        </w:rPr>
        <w:t xml:space="preserve">הנאשם יתייצב ביום 24.4.14 בשעה 09:00 במתקן הכליאה "ניצן" לצורך ריצוי עונשו במקום שייקבע על ידי שב"ס. הערבויות שניתנו בהליך המעצר יעמדו בתוקפן לתקופה האמורה, עד התייצבות הנאשם לריצוי העונש. </w:t>
      </w:r>
    </w:p>
    <w:p w14:paraId="10910910" w14:textId="77777777" w:rsidR="005F1ECA" w:rsidRDefault="007E1D52">
      <w:pPr>
        <w:spacing w:line="360" w:lineRule="auto"/>
        <w:ind w:left="720"/>
        <w:jc w:val="both"/>
        <w:rPr>
          <w:rtl/>
        </w:rPr>
      </w:pPr>
      <w:r>
        <w:rPr>
          <w:rtl/>
        </w:rPr>
        <w:t xml:space="preserve">ב. </w:t>
      </w:r>
      <w:r>
        <w:rPr>
          <w:rFonts w:hint="cs"/>
          <w:rtl/>
        </w:rPr>
        <w:t>6</w:t>
      </w:r>
      <w:r>
        <w:rPr>
          <w:rtl/>
        </w:rPr>
        <w:t xml:space="preserve"> חודשי מאסר אולם הנאשם לא יישא עונש זה אלא אם תוך 3 שנים מיום שחרורו יעבור עבירה על פקודת הסמים שהיא פשע.</w:t>
      </w:r>
    </w:p>
    <w:p w14:paraId="27156F13" w14:textId="77777777" w:rsidR="005F1ECA" w:rsidRDefault="007E1D52">
      <w:pPr>
        <w:spacing w:line="360" w:lineRule="auto"/>
        <w:ind w:left="720"/>
        <w:jc w:val="both"/>
        <w:rPr>
          <w:rtl/>
        </w:rPr>
      </w:pPr>
      <w:r>
        <w:rPr>
          <w:rtl/>
        </w:rPr>
        <w:t>ג. 3 חודשי מאסר אולם הנאשם לא יישא עונש זה אלא אם תוך 3 שנים מיום שחרורו יעבור עבירה על פקודת הסמים שהיא עוון.</w:t>
      </w:r>
    </w:p>
    <w:p w14:paraId="7C52F195" w14:textId="77777777" w:rsidR="005F1ECA" w:rsidRDefault="007E1D52">
      <w:pPr>
        <w:spacing w:line="360" w:lineRule="auto"/>
        <w:ind w:left="720"/>
        <w:jc w:val="both"/>
        <w:rPr>
          <w:rtl/>
        </w:rPr>
      </w:pPr>
      <w:r>
        <w:rPr>
          <w:rtl/>
        </w:rPr>
        <w:t xml:space="preserve">ד. </w:t>
      </w:r>
      <w:r>
        <w:rPr>
          <w:rFonts w:hint="cs"/>
          <w:rtl/>
        </w:rPr>
        <w:t xml:space="preserve">אני מורה על חילוט הפריטים המפורטים בכתב האישום המתוקן (שני מחשבים, 3 טלפונים ניידים, ו-6,900 ₪). </w:t>
      </w:r>
    </w:p>
    <w:p w14:paraId="150ADE7D" w14:textId="77777777" w:rsidR="005F1ECA" w:rsidRDefault="007E1D52">
      <w:pPr>
        <w:spacing w:line="360" w:lineRule="auto"/>
        <w:ind w:firstLine="720"/>
        <w:jc w:val="both"/>
        <w:rPr>
          <w:rtl/>
        </w:rPr>
      </w:pPr>
      <w:r>
        <w:rPr>
          <w:rtl/>
        </w:rPr>
        <w:t>ה. אני פוסל את הנאשם מלקבל או להחזיק רישיון נהיגה לתקופה של 3 חודשים מיום שחרורו.</w:t>
      </w:r>
    </w:p>
    <w:p w14:paraId="5D06108A" w14:textId="77777777" w:rsidR="005F1ECA" w:rsidRDefault="007E1D52">
      <w:pPr>
        <w:spacing w:line="360" w:lineRule="auto"/>
        <w:ind w:firstLine="720"/>
        <w:jc w:val="both"/>
        <w:rPr>
          <w:rtl/>
        </w:rPr>
      </w:pPr>
      <w:r>
        <w:rPr>
          <w:rtl/>
        </w:rPr>
        <w:t>ז. ניתן צו כללי למוצגים לשיקול דעת קצין משטרה. הסמים יושמדו.</w:t>
      </w:r>
    </w:p>
    <w:p w14:paraId="4CB561A3" w14:textId="77777777" w:rsidR="005F1ECA" w:rsidRDefault="005F1ECA">
      <w:pPr>
        <w:spacing w:line="360" w:lineRule="auto"/>
        <w:ind w:firstLine="720"/>
        <w:jc w:val="both"/>
        <w:rPr>
          <w:rtl/>
        </w:rPr>
      </w:pPr>
    </w:p>
    <w:p w14:paraId="656F8C72" w14:textId="77777777" w:rsidR="005F1ECA" w:rsidRDefault="007E1D52">
      <w:pPr>
        <w:spacing w:line="360" w:lineRule="auto"/>
        <w:ind w:firstLine="720"/>
        <w:jc w:val="both"/>
        <w:rPr>
          <w:rtl/>
        </w:rPr>
      </w:pPr>
      <w:r>
        <w:rPr>
          <w:rFonts w:hint="cs"/>
          <w:rtl/>
        </w:rPr>
        <w:t xml:space="preserve">זכות ערעור כחוק. </w:t>
      </w:r>
    </w:p>
    <w:p w14:paraId="036BD047" w14:textId="77777777" w:rsidR="005F1ECA" w:rsidRDefault="005F1ECA">
      <w:pPr>
        <w:spacing w:line="360" w:lineRule="auto"/>
        <w:ind w:left="720"/>
        <w:jc w:val="both"/>
        <w:rPr>
          <w:rtl/>
        </w:rPr>
      </w:pPr>
    </w:p>
    <w:p w14:paraId="5A21E59E" w14:textId="77777777" w:rsidR="005F1ECA" w:rsidRDefault="007E1D52">
      <w:pPr>
        <w:tabs>
          <w:tab w:val="left" w:pos="1625"/>
        </w:tabs>
        <w:jc w:val="right"/>
        <w:rPr>
          <w:rtl/>
        </w:rPr>
      </w:pPr>
      <w:r w:rsidRPr="007E1D52">
        <w:rPr>
          <w:rFonts w:ascii="Arial" w:hAnsi="Arial"/>
          <w:color w:val="FFFFFF"/>
          <w:sz w:val="2"/>
          <w:szCs w:val="2"/>
          <w:rtl/>
        </w:rPr>
        <w:t>5129371</w:t>
      </w:r>
      <w:r>
        <w:rPr>
          <w:rFonts w:ascii="Arial" w:hAnsi="Arial"/>
          <w:rtl/>
        </w:rPr>
        <w:t xml:space="preserve">ניתנה היום, 13 פברואר 2014, במעמד הצדדים. </w:t>
      </w:r>
    </w:p>
    <w:p w14:paraId="6172D695" w14:textId="77777777" w:rsidR="005F1ECA" w:rsidRPr="007E1D52" w:rsidRDefault="007E1D52">
      <w:pPr>
        <w:tabs>
          <w:tab w:val="left" w:pos="1625"/>
        </w:tabs>
        <w:ind w:left="4135" w:firstLine="1625"/>
        <w:rPr>
          <w:color w:val="FFFFFF"/>
          <w:sz w:val="2"/>
          <w:szCs w:val="2"/>
          <w:rtl/>
        </w:rPr>
      </w:pPr>
      <w:r w:rsidRPr="007E1D52">
        <w:rPr>
          <w:color w:val="FFFFFF"/>
          <w:sz w:val="2"/>
          <w:szCs w:val="2"/>
          <w:rtl/>
        </w:rPr>
        <w:t>54678313</w:t>
      </w:r>
    </w:p>
    <w:tbl>
      <w:tblPr>
        <w:bidiVisual/>
        <w:tblW w:w="0" w:type="auto"/>
        <w:tblInd w:w="5733" w:type="dxa"/>
        <w:tblBorders>
          <w:top w:val="single" w:sz="4" w:space="0" w:color="auto"/>
        </w:tblBorders>
        <w:tblLook w:val="01E0" w:firstRow="1" w:lastRow="1" w:firstColumn="1" w:lastColumn="1" w:noHBand="0" w:noVBand="0"/>
      </w:tblPr>
      <w:tblGrid>
        <w:gridCol w:w="2700"/>
      </w:tblGrid>
      <w:tr w:rsidR="005F1ECA" w14:paraId="4B5C5EE9" w14:textId="77777777">
        <w:tc>
          <w:tcPr>
            <w:tcW w:w="2700" w:type="dxa"/>
          </w:tcPr>
          <w:p w14:paraId="0D9EF975" w14:textId="77777777" w:rsidR="005F1ECA" w:rsidRDefault="007E1D52">
            <w:pPr>
              <w:tabs>
                <w:tab w:val="left" w:pos="1625"/>
              </w:tabs>
              <w:jc w:val="center"/>
              <w:rPr>
                <w:b/>
                <w:bCs/>
                <w:sz w:val="26"/>
                <w:szCs w:val="26"/>
                <w:rtl/>
              </w:rPr>
            </w:pPr>
            <w:r>
              <w:rPr>
                <w:rFonts w:hint="cs"/>
                <w:b/>
                <w:bCs/>
                <w:sz w:val="26"/>
                <w:szCs w:val="26"/>
                <w:rtl/>
              </w:rPr>
              <w:t>בני שגיא, שופט</w:t>
            </w:r>
          </w:p>
          <w:p w14:paraId="26D4C37D" w14:textId="77777777" w:rsidR="005F1ECA" w:rsidRDefault="007E1D52">
            <w:pPr>
              <w:tabs>
                <w:tab w:val="left" w:pos="1625"/>
              </w:tabs>
              <w:jc w:val="center"/>
              <w:rPr>
                <w:b/>
                <w:bCs/>
                <w:sz w:val="26"/>
                <w:szCs w:val="26"/>
                <w:rtl/>
              </w:rPr>
            </w:pPr>
            <w:r>
              <w:rPr>
                <w:rFonts w:hint="cs"/>
                <w:b/>
                <w:bCs/>
                <w:sz w:val="26"/>
                <w:szCs w:val="26"/>
                <w:rtl/>
              </w:rPr>
              <w:t>סגן נשיאה</w:t>
            </w:r>
          </w:p>
        </w:tc>
      </w:tr>
    </w:tbl>
    <w:p w14:paraId="31B1FBF1" w14:textId="77777777" w:rsidR="005F1ECA" w:rsidRDefault="005F1ECA">
      <w:pPr>
        <w:tabs>
          <w:tab w:val="left" w:pos="1625"/>
        </w:tabs>
        <w:jc w:val="center"/>
        <w:rPr>
          <w:rtl/>
        </w:rPr>
      </w:pPr>
    </w:p>
    <w:p w14:paraId="141B2A97" w14:textId="77777777" w:rsidR="007E1D52" w:rsidRPr="007E1D52" w:rsidRDefault="007E1D52" w:rsidP="007E1D52">
      <w:pPr>
        <w:keepNext/>
        <w:rPr>
          <w:rFonts w:ascii="David" w:hAnsi="David"/>
          <w:color w:val="000000"/>
          <w:sz w:val="22"/>
          <w:szCs w:val="22"/>
          <w:rtl/>
        </w:rPr>
      </w:pPr>
    </w:p>
    <w:p w14:paraId="713D94C1" w14:textId="77777777" w:rsidR="007E1D52" w:rsidRPr="007E1D52" w:rsidRDefault="007E1D52" w:rsidP="007E1D52">
      <w:pPr>
        <w:keepNext/>
        <w:rPr>
          <w:rFonts w:ascii="David" w:hAnsi="David"/>
          <w:color w:val="000000"/>
          <w:sz w:val="22"/>
          <w:szCs w:val="22"/>
          <w:rtl/>
        </w:rPr>
      </w:pPr>
      <w:r w:rsidRPr="007E1D52">
        <w:rPr>
          <w:rFonts w:ascii="David" w:hAnsi="David" w:hint="eastAsia"/>
          <w:color w:val="000000"/>
          <w:sz w:val="22"/>
          <w:szCs w:val="22"/>
          <w:rtl/>
        </w:rPr>
        <w:t>בני</w:t>
      </w:r>
      <w:r w:rsidRPr="007E1D52">
        <w:rPr>
          <w:rFonts w:ascii="David" w:hAnsi="David"/>
          <w:color w:val="000000"/>
          <w:sz w:val="22"/>
          <w:szCs w:val="22"/>
          <w:rtl/>
        </w:rPr>
        <w:t xml:space="preserve"> </w:t>
      </w:r>
      <w:r w:rsidRPr="007E1D52">
        <w:rPr>
          <w:rFonts w:ascii="David" w:hAnsi="David" w:hint="eastAsia"/>
          <w:color w:val="000000"/>
          <w:sz w:val="22"/>
          <w:szCs w:val="22"/>
          <w:rtl/>
        </w:rPr>
        <w:t>שגיא</w:t>
      </w:r>
      <w:r w:rsidRPr="007E1D52">
        <w:rPr>
          <w:rFonts w:ascii="David" w:hAnsi="David"/>
          <w:color w:val="000000"/>
          <w:sz w:val="22"/>
          <w:szCs w:val="22"/>
          <w:rtl/>
        </w:rPr>
        <w:t xml:space="preserve"> 54678313</w:t>
      </w:r>
    </w:p>
    <w:p w14:paraId="6280AF44" w14:textId="77777777" w:rsidR="007E1D52" w:rsidRDefault="007E1D52" w:rsidP="007E1D52">
      <w:r w:rsidRPr="007E1D52">
        <w:rPr>
          <w:rFonts w:hint="eastAsia"/>
          <w:color w:val="000000"/>
          <w:rtl/>
        </w:rPr>
        <w:t>נוסח</w:t>
      </w:r>
      <w:r w:rsidRPr="007E1D52">
        <w:rPr>
          <w:color w:val="000000"/>
          <w:rtl/>
        </w:rPr>
        <w:t xml:space="preserve"> </w:t>
      </w:r>
      <w:r w:rsidRPr="007E1D52">
        <w:rPr>
          <w:rFonts w:hint="eastAsia"/>
          <w:color w:val="000000"/>
          <w:rtl/>
        </w:rPr>
        <w:t>מסמך</w:t>
      </w:r>
      <w:r w:rsidRPr="007E1D52">
        <w:rPr>
          <w:color w:val="000000"/>
          <w:rtl/>
        </w:rPr>
        <w:t xml:space="preserve"> </w:t>
      </w:r>
      <w:r w:rsidRPr="007E1D52">
        <w:rPr>
          <w:rFonts w:hint="eastAsia"/>
          <w:color w:val="000000"/>
          <w:rtl/>
        </w:rPr>
        <w:t>זה</w:t>
      </w:r>
      <w:r w:rsidRPr="007E1D52">
        <w:rPr>
          <w:color w:val="000000"/>
          <w:rtl/>
        </w:rPr>
        <w:t xml:space="preserve"> </w:t>
      </w:r>
      <w:r w:rsidRPr="007E1D52">
        <w:rPr>
          <w:rFonts w:hint="eastAsia"/>
          <w:color w:val="000000"/>
          <w:rtl/>
        </w:rPr>
        <w:t>כפוף</w:t>
      </w:r>
      <w:r w:rsidRPr="007E1D52">
        <w:rPr>
          <w:color w:val="000000"/>
          <w:rtl/>
        </w:rPr>
        <w:t xml:space="preserve"> </w:t>
      </w:r>
      <w:r w:rsidRPr="007E1D52">
        <w:rPr>
          <w:rFonts w:hint="eastAsia"/>
          <w:color w:val="000000"/>
          <w:rtl/>
        </w:rPr>
        <w:t>לשינויי</w:t>
      </w:r>
      <w:r w:rsidRPr="007E1D52">
        <w:rPr>
          <w:color w:val="000000"/>
          <w:rtl/>
        </w:rPr>
        <w:t xml:space="preserve"> </w:t>
      </w:r>
      <w:r w:rsidRPr="007E1D52">
        <w:rPr>
          <w:rFonts w:hint="eastAsia"/>
          <w:color w:val="000000"/>
          <w:rtl/>
        </w:rPr>
        <w:t>ניסוח</w:t>
      </w:r>
      <w:r w:rsidRPr="007E1D52">
        <w:rPr>
          <w:color w:val="000000"/>
          <w:rtl/>
        </w:rPr>
        <w:t xml:space="preserve"> </w:t>
      </w:r>
      <w:r w:rsidRPr="007E1D52">
        <w:rPr>
          <w:rFonts w:hint="eastAsia"/>
          <w:color w:val="000000"/>
          <w:rtl/>
        </w:rPr>
        <w:t>ועריכה</w:t>
      </w:r>
    </w:p>
    <w:p w14:paraId="7DD0A6FB" w14:textId="77777777" w:rsidR="007E1D52" w:rsidRDefault="007E1D52" w:rsidP="007E1D52">
      <w:pPr>
        <w:rPr>
          <w:rtl/>
        </w:rPr>
      </w:pPr>
    </w:p>
    <w:p w14:paraId="48A2DEDF" w14:textId="77777777" w:rsidR="007E1D52" w:rsidRDefault="007E1D52" w:rsidP="007E1D52">
      <w:pPr>
        <w:jc w:val="center"/>
        <w:rPr>
          <w:color w:val="0000FF"/>
          <w:u w:val="single"/>
        </w:rPr>
      </w:pPr>
      <w:hyperlink r:id="rId19"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2B4CFC3C" w14:textId="77777777" w:rsidR="005F1ECA" w:rsidRPr="007E1D52" w:rsidRDefault="005F1ECA" w:rsidP="007E1D52">
      <w:pPr>
        <w:jc w:val="center"/>
        <w:rPr>
          <w:color w:val="0000FF"/>
          <w:u w:val="single"/>
        </w:rPr>
      </w:pPr>
    </w:p>
    <w:sectPr w:rsidR="005F1ECA" w:rsidRPr="007E1D52" w:rsidSect="007E1D52">
      <w:headerReference w:type="even" r:id="rId20"/>
      <w:headerReference w:type="default" r:id="rId21"/>
      <w:footerReference w:type="even" r:id="rId22"/>
      <w:footerReference w:type="default" r:id="rId23"/>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73B5F" w14:textId="77777777" w:rsidR="00803C7F" w:rsidRPr="001806D5" w:rsidRDefault="00803C7F">
      <w:pPr>
        <w:rPr>
          <w:rFonts w:cs="Arial"/>
          <w:szCs w:val="20"/>
        </w:rPr>
      </w:pPr>
      <w:r>
        <w:separator/>
      </w:r>
    </w:p>
  </w:endnote>
  <w:endnote w:type="continuationSeparator" w:id="0">
    <w:p w14:paraId="2F8CA8A0" w14:textId="77777777" w:rsidR="00803C7F" w:rsidRPr="001806D5" w:rsidRDefault="00803C7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49470" w14:textId="77777777" w:rsidR="00803C7F" w:rsidRDefault="00803C7F" w:rsidP="007E1D5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2D5F2C3C" w14:textId="77777777" w:rsidR="00803C7F" w:rsidRPr="007E1D52" w:rsidRDefault="00803C7F" w:rsidP="007E1D52">
    <w:pPr>
      <w:pStyle w:val="a4"/>
      <w:pBdr>
        <w:top w:val="single" w:sz="4" w:space="1" w:color="auto"/>
        <w:between w:val="single" w:sz="4" w:space="0" w:color="auto"/>
      </w:pBdr>
      <w:spacing w:after="60"/>
      <w:jc w:val="center"/>
      <w:rPr>
        <w:rFonts w:ascii="FrankRuehl" w:hAnsi="FrankRuehl" w:cs="FrankRuehl"/>
        <w:color w:val="000000"/>
      </w:rPr>
    </w:pPr>
    <w:r w:rsidRPr="007E1D5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8FFEF" w14:textId="77777777" w:rsidR="00803C7F" w:rsidRDefault="00803C7F" w:rsidP="007E1D5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E29DC">
      <w:rPr>
        <w:rFonts w:ascii="FrankRuehl" w:hAnsi="FrankRuehl" w:cs="FrankRuehl"/>
        <w:rtl/>
      </w:rPr>
      <w:t>6</w:t>
    </w:r>
    <w:r>
      <w:rPr>
        <w:rFonts w:ascii="FrankRuehl" w:hAnsi="FrankRuehl" w:cs="FrankRuehl"/>
        <w:rtl/>
      </w:rPr>
      <w:fldChar w:fldCharType="end"/>
    </w:r>
  </w:p>
  <w:p w14:paraId="13EF6EC9" w14:textId="77777777" w:rsidR="00803C7F" w:rsidRPr="007E1D52" w:rsidRDefault="00803C7F" w:rsidP="007E1D52">
    <w:pPr>
      <w:pStyle w:val="a4"/>
      <w:pBdr>
        <w:top w:val="single" w:sz="4" w:space="1" w:color="auto"/>
        <w:between w:val="single" w:sz="4" w:space="0" w:color="auto"/>
      </w:pBdr>
      <w:spacing w:after="60"/>
      <w:jc w:val="center"/>
      <w:rPr>
        <w:rFonts w:ascii="FrankRuehl" w:hAnsi="FrankRuehl" w:cs="FrankRuehl"/>
        <w:color w:val="000000"/>
      </w:rPr>
    </w:pPr>
    <w:r w:rsidRPr="007E1D52">
      <w:rPr>
        <w:rFonts w:ascii="FrankRuehl" w:hAnsi="FrankRuehl" w:cs="FrankRuehl"/>
        <w:color w:val="000000"/>
      </w:rPr>
      <w:pict w14:anchorId="5B6709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1DAAD" w14:textId="77777777" w:rsidR="00803C7F" w:rsidRPr="001806D5" w:rsidRDefault="00803C7F">
      <w:pPr>
        <w:rPr>
          <w:rFonts w:cs="Arial"/>
          <w:szCs w:val="20"/>
        </w:rPr>
      </w:pPr>
      <w:r>
        <w:separator/>
      </w:r>
    </w:p>
  </w:footnote>
  <w:footnote w:type="continuationSeparator" w:id="0">
    <w:p w14:paraId="26A0EE49" w14:textId="77777777" w:rsidR="00803C7F" w:rsidRPr="001806D5" w:rsidRDefault="00803C7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5412D" w14:textId="77777777" w:rsidR="00803C7F" w:rsidRPr="007E1D52" w:rsidRDefault="00803C7F" w:rsidP="007E1D5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27605-04-11</w:t>
    </w:r>
    <w:r>
      <w:rPr>
        <w:rFonts w:ascii="David" w:hAnsi="David"/>
        <w:color w:val="000000"/>
        <w:sz w:val="22"/>
        <w:szCs w:val="22"/>
        <w:rtl/>
      </w:rPr>
      <w:tab/>
      <w:t xml:space="preserve"> מדינת ישראל משטרת ישראל נ' יניב סבג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71053" w14:textId="77777777" w:rsidR="00803C7F" w:rsidRPr="007E1D52" w:rsidRDefault="00803C7F" w:rsidP="007E1D5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27605-04-11</w:t>
    </w:r>
    <w:r>
      <w:rPr>
        <w:rFonts w:ascii="David" w:hAnsi="David"/>
        <w:color w:val="000000"/>
        <w:sz w:val="22"/>
        <w:szCs w:val="22"/>
        <w:rtl/>
      </w:rPr>
      <w:tab/>
      <w:t xml:space="preserve"> מדינת ישראל משטרת ישראל נ' יניב סבג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F1ECA"/>
    <w:rsid w:val="001501CC"/>
    <w:rsid w:val="0037293B"/>
    <w:rsid w:val="0039397B"/>
    <w:rsid w:val="004E29DC"/>
    <w:rsid w:val="005F1ECA"/>
    <w:rsid w:val="007E1D52"/>
    <w:rsid w:val="00803C7F"/>
    <w:rsid w:val="008F1E9C"/>
    <w:rsid w:val="00B64448"/>
    <w:rsid w:val="00E27DF0"/>
    <w:rsid w:val="00E365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30B380A"/>
  <w15:chartTrackingRefBased/>
  <w15:docId w15:val="{12F79EA7-5404-401B-AB06-7153A543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F1ECA"/>
    <w:pPr>
      <w:bidi/>
    </w:pPr>
    <w:rPr>
      <w:rFonts w:ascii="Arial (W1)" w:hAnsi="Arial (W1)"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F1ECA"/>
    <w:pPr>
      <w:tabs>
        <w:tab w:val="center" w:pos="4153"/>
        <w:tab w:val="right" w:pos="8306"/>
      </w:tabs>
    </w:pPr>
  </w:style>
  <w:style w:type="paragraph" w:styleId="a4">
    <w:name w:val="footer"/>
    <w:basedOn w:val="a"/>
    <w:rsid w:val="005F1ECA"/>
    <w:pPr>
      <w:tabs>
        <w:tab w:val="center" w:pos="4153"/>
        <w:tab w:val="right" w:pos="8306"/>
      </w:tabs>
    </w:pPr>
  </w:style>
  <w:style w:type="character" w:styleId="a5">
    <w:name w:val="page number"/>
    <w:basedOn w:val="a0"/>
    <w:rsid w:val="007E1D52"/>
  </w:style>
  <w:style w:type="character" w:styleId="Hyperlink">
    <w:name w:val="Hyperlink"/>
    <w:basedOn w:val="a0"/>
    <w:rsid w:val="007E1D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case/4914678"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4216/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5079155"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4773189"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419951" TargetMode="External"/><Relationship Id="rId23" Type="http://schemas.openxmlformats.org/officeDocument/2006/relationships/footer" Target="footer2.xml"/><Relationship Id="rId10" Type="http://schemas.openxmlformats.org/officeDocument/2006/relationships/hyperlink" Target="http://www.nevo.co.il/law/4216/6"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case/4855721"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2174</Words>
  <Characters>10872</Characters>
  <Application>Microsoft Office Word</Application>
  <DocSecurity>0</DocSecurity>
  <Lines>90</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13020</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3866750</vt:i4>
      </vt:variant>
      <vt:variant>
        <vt:i4>36</vt:i4>
      </vt:variant>
      <vt:variant>
        <vt:i4>0</vt:i4>
      </vt:variant>
      <vt:variant>
        <vt:i4>5</vt:i4>
      </vt:variant>
      <vt:variant>
        <vt:lpwstr>http://www.nevo.co.il/case/4914678</vt:lpwstr>
      </vt:variant>
      <vt:variant>
        <vt:lpwstr/>
      </vt:variant>
      <vt:variant>
        <vt:i4>3539064</vt:i4>
      </vt:variant>
      <vt:variant>
        <vt:i4>33</vt:i4>
      </vt:variant>
      <vt:variant>
        <vt:i4>0</vt:i4>
      </vt:variant>
      <vt:variant>
        <vt:i4>5</vt:i4>
      </vt:variant>
      <vt:variant>
        <vt:lpwstr>http://www.nevo.co.il/case/5079155</vt:lpwstr>
      </vt:variant>
      <vt:variant>
        <vt:lpwstr/>
      </vt:variant>
      <vt:variant>
        <vt:i4>3866744</vt:i4>
      </vt:variant>
      <vt:variant>
        <vt:i4>30</vt:i4>
      </vt:variant>
      <vt:variant>
        <vt:i4>0</vt:i4>
      </vt:variant>
      <vt:variant>
        <vt:i4>5</vt:i4>
      </vt:variant>
      <vt:variant>
        <vt:lpwstr>http://www.nevo.co.il/case/4773189</vt:lpwstr>
      </vt:variant>
      <vt:variant>
        <vt:lpwstr/>
      </vt:variant>
      <vt:variant>
        <vt:i4>524364</vt:i4>
      </vt:variant>
      <vt:variant>
        <vt:i4>27</vt:i4>
      </vt:variant>
      <vt:variant>
        <vt:i4>0</vt:i4>
      </vt:variant>
      <vt:variant>
        <vt:i4>5</vt:i4>
      </vt:variant>
      <vt:variant>
        <vt:lpwstr>http://www.nevo.co.il/case/419951</vt:lpwstr>
      </vt:variant>
      <vt:variant>
        <vt:lpwstr/>
      </vt:variant>
      <vt:variant>
        <vt:i4>3604603</vt:i4>
      </vt:variant>
      <vt:variant>
        <vt:i4>24</vt:i4>
      </vt:variant>
      <vt:variant>
        <vt:i4>0</vt:i4>
      </vt:variant>
      <vt:variant>
        <vt:i4>5</vt:i4>
      </vt:variant>
      <vt:variant>
        <vt:lpwstr>http://www.nevo.co.il/case/4855721</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2025-04-22T21:38:00Z</dcterms:created>
  <dcterms:modified xsi:type="dcterms:W3CDTF">2025-04-22T21:38:00Z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27605</vt:lpwstr>
  </property>
  <property fmtid="{D5CDD505-2E9C-101B-9397-08002B2CF9AE}" pid="6" name="NEWPARTB">
    <vt:lpwstr>04</vt:lpwstr>
  </property>
  <property fmtid="{D5CDD505-2E9C-101B-9397-08002B2CF9AE}" pid="7" name="NEWPARTC">
    <vt:lpwstr>11</vt:lpwstr>
  </property>
  <property fmtid="{D5CDD505-2E9C-101B-9397-08002B2CF9AE}" pid="8" name="APPELLANT">
    <vt:lpwstr>מדינת ישראל משטרת ישראל</vt:lpwstr>
  </property>
  <property fmtid="{D5CDD505-2E9C-101B-9397-08002B2CF9AE}" pid="9" name="APPELLEE">
    <vt:lpwstr>יניב סבג</vt:lpwstr>
  </property>
  <property fmtid="{D5CDD505-2E9C-101B-9397-08002B2CF9AE}" pid="10" name="LAWYER">
    <vt:lpwstr>צחי רז;מיכל זנדר</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20140213</vt:lpwstr>
  </property>
  <property fmtid="{D5CDD505-2E9C-101B-9397-08002B2CF9AE}" pid="14" name="TYPE_N_DATE">
    <vt:lpwstr>38020140213</vt:lpwstr>
  </property>
  <property fmtid="{D5CDD505-2E9C-101B-9397-08002B2CF9AE}" pid="15" name="WORDNUMPAGES">
    <vt:lpwstr>6</vt:lpwstr>
  </property>
  <property fmtid="{D5CDD505-2E9C-101B-9397-08002B2CF9AE}" pid="16" name="TYPE_ABS_DATE">
    <vt:lpwstr>380020140213</vt:lpwstr>
  </property>
  <property fmtid="{D5CDD505-2E9C-101B-9397-08002B2CF9AE}" pid="17" name="ISABSTRACT">
    <vt:lpwstr>Y</vt:lpwstr>
  </property>
  <property fmtid="{D5CDD505-2E9C-101B-9397-08002B2CF9AE}" pid="18" name="LAWLISTTMP1">
    <vt:lpwstr>4216/006;007.a.;007.c</vt:lpwstr>
  </property>
  <property fmtid="{D5CDD505-2E9C-101B-9397-08002B2CF9AE}" pid="19" name="CASESLISTTMP1">
    <vt:lpwstr>4855721;419951;4773189;5079155;4914678</vt:lpwstr>
  </property>
</Properties>
</file>