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C11EF" w:rsidRPr="007761D6" w14:paraId="61D8C20A" w14:textId="77777777" w:rsidTr="00FB0780">
        <w:trPr>
          <w:trHeight w:hRule="exact" w:val="418"/>
          <w:jc w:val="center"/>
        </w:trPr>
        <w:tc>
          <w:tcPr>
            <w:tcW w:w="8720" w:type="dxa"/>
            <w:gridSpan w:val="3"/>
          </w:tcPr>
          <w:p w14:paraId="286911B3" w14:textId="77777777" w:rsidR="006C11EF" w:rsidRPr="007761D6" w:rsidRDefault="006C11EF" w:rsidP="00FB0780">
            <w:pPr>
              <w:pStyle w:val="a3"/>
              <w:tabs>
                <w:tab w:val="clear" w:pos="8306"/>
              </w:tabs>
              <w:jc w:val="center"/>
              <w:rPr>
                <w:rFonts w:ascii="Tahoma" w:hAnsi="Tahoma" w:cs="Tahoma"/>
                <w:b/>
                <w:bCs/>
                <w:color w:val="000080"/>
                <w:sz w:val="20"/>
                <w:szCs w:val="20"/>
                <w:rtl/>
              </w:rPr>
            </w:pPr>
            <w:bookmarkStart w:id="0" w:name="LastJudge"/>
            <w:r w:rsidRPr="007761D6">
              <w:rPr>
                <w:rFonts w:ascii="Tahoma" w:hAnsi="Tahoma" w:cs="Tahoma"/>
                <w:b/>
                <w:bCs/>
                <w:color w:val="000080"/>
                <w:sz w:val="20"/>
                <w:szCs w:val="20"/>
                <w:rtl/>
              </w:rPr>
              <w:t>בית משפט השלום בראשון לציון</w:t>
            </w:r>
          </w:p>
        </w:tc>
      </w:tr>
      <w:tr w:rsidR="006C11EF" w:rsidRPr="007761D6" w14:paraId="1F93FDD0" w14:textId="77777777" w:rsidTr="00FB0780">
        <w:trPr>
          <w:trHeight w:val="337"/>
          <w:jc w:val="center"/>
        </w:trPr>
        <w:tc>
          <w:tcPr>
            <w:tcW w:w="3973" w:type="dxa"/>
          </w:tcPr>
          <w:p w14:paraId="5398D472" w14:textId="77777777" w:rsidR="006C11EF" w:rsidRPr="007761D6" w:rsidRDefault="006C11EF" w:rsidP="00FB0780">
            <w:pPr>
              <w:rPr>
                <w:b/>
                <w:bCs/>
                <w:sz w:val="26"/>
                <w:szCs w:val="26"/>
                <w:rtl/>
              </w:rPr>
            </w:pPr>
            <w:r w:rsidRPr="007761D6">
              <w:rPr>
                <w:b/>
                <w:bCs/>
                <w:sz w:val="26"/>
                <w:szCs w:val="26"/>
                <w:rtl/>
              </w:rPr>
              <w:t>ת</w:t>
            </w:r>
            <w:r w:rsidRPr="007761D6">
              <w:rPr>
                <w:rFonts w:hint="cs"/>
                <w:b/>
                <w:bCs/>
                <w:sz w:val="26"/>
                <w:szCs w:val="26"/>
                <w:rtl/>
              </w:rPr>
              <w:t>.</w:t>
            </w:r>
            <w:r w:rsidRPr="007761D6">
              <w:rPr>
                <w:b/>
                <w:bCs/>
                <w:sz w:val="26"/>
                <w:szCs w:val="26"/>
                <w:rtl/>
              </w:rPr>
              <w:t>פ</w:t>
            </w:r>
            <w:r w:rsidRPr="007761D6">
              <w:rPr>
                <w:rFonts w:hint="cs"/>
                <w:b/>
                <w:bCs/>
                <w:sz w:val="26"/>
                <w:szCs w:val="26"/>
                <w:rtl/>
              </w:rPr>
              <w:t xml:space="preserve"> </w:t>
            </w:r>
            <w:r w:rsidRPr="007761D6">
              <w:rPr>
                <w:b/>
                <w:bCs/>
                <w:sz w:val="26"/>
                <w:szCs w:val="26"/>
                <w:rtl/>
              </w:rPr>
              <w:t>29901-05-11</w:t>
            </w:r>
            <w:r w:rsidRPr="007761D6">
              <w:rPr>
                <w:rFonts w:hint="cs"/>
                <w:b/>
                <w:bCs/>
                <w:sz w:val="26"/>
                <w:szCs w:val="26"/>
                <w:rtl/>
              </w:rPr>
              <w:t xml:space="preserve"> </w:t>
            </w:r>
            <w:r w:rsidRPr="007761D6">
              <w:rPr>
                <w:b/>
                <w:bCs/>
                <w:sz w:val="26"/>
                <w:szCs w:val="26"/>
                <w:rtl/>
              </w:rPr>
              <w:t>מדינת ישראל נ' יהושע</w:t>
            </w:r>
            <w:r w:rsidRPr="007761D6">
              <w:rPr>
                <w:b/>
                <w:bCs/>
                <w:sz w:val="26"/>
                <w:szCs w:val="26"/>
                <w:rtl/>
              </w:rPr>
              <w:br/>
            </w:r>
            <w:r w:rsidRPr="007761D6">
              <w:rPr>
                <w:rFonts w:hint="cs"/>
                <w:b/>
                <w:bCs/>
                <w:sz w:val="26"/>
                <w:szCs w:val="26"/>
                <w:rtl/>
              </w:rPr>
              <w:t xml:space="preserve">ת.פ </w:t>
            </w:r>
            <w:r w:rsidRPr="007761D6">
              <w:rPr>
                <w:b/>
                <w:bCs/>
                <w:sz w:val="26"/>
                <w:szCs w:val="26"/>
                <w:rtl/>
              </w:rPr>
              <w:t>30896-05-11</w:t>
            </w:r>
          </w:p>
          <w:p w14:paraId="291AF8F3" w14:textId="77777777" w:rsidR="006C11EF" w:rsidRPr="007761D6" w:rsidRDefault="006C11EF" w:rsidP="00FB0780">
            <w:pPr>
              <w:rPr>
                <w:b/>
                <w:bCs/>
                <w:sz w:val="26"/>
                <w:szCs w:val="26"/>
                <w:rtl/>
              </w:rPr>
            </w:pPr>
            <w:r w:rsidRPr="007761D6">
              <w:rPr>
                <w:rFonts w:hint="cs"/>
                <w:b/>
                <w:bCs/>
                <w:sz w:val="26"/>
                <w:szCs w:val="26"/>
                <w:rtl/>
              </w:rPr>
              <w:t>ת.פ 25603-11-13</w:t>
            </w:r>
          </w:p>
          <w:p w14:paraId="0ACD4C76" w14:textId="77777777" w:rsidR="006C11EF" w:rsidRPr="007761D6" w:rsidRDefault="006C11EF" w:rsidP="00FB0780">
            <w:pPr>
              <w:rPr>
                <w:b/>
                <w:bCs/>
                <w:sz w:val="26"/>
                <w:szCs w:val="26"/>
                <w:rtl/>
              </w:rPr>
            </w:pPr>
          </w:p>
        </w:tc>
        <w:tc>
          <w:tcPr>
            <w:tcW w:w="1068" w:type="dxa"/>
          </w:tcPr>
          <w:p w14:paraId="00FAF79B" w14:textId="77777777" w:rsidR="006C11EF" w:rsidRPr="007761D6" w:rsidRDefault="006C11EF" w:rsidP="00FB0780">
            <w:pPr>
              <w:pStyle w:val="a3"/>
              <w:jc w:val="right"/>
              <w:rPr>
                <w:b/>
                <w:bCs/>
                <w:sz w:val="26"/>
                <w:szCs w:val="26"/>
                <w:rtl/>
              </w:rPr>
            </w:pPr>
          </w:p>
        </w:tc>
        <w:tc>
          <w:tcPr>
            <w:tcW w:w="3679" w:type="dxa"/>
          </w:tcPr>
          <w:p w14:paraId="36F99348" w14:textId="77777777" w:rsidR="006C11EF" w:rsidRPr="007761D6" w:rsidRDefault="006C11EF" w:rsidP="00FB0780">
            <w:pPr>
              <w:pStyle w:val="a3"/>
              <w:tabs>
                <w:tab w:val="clear" w:pos="4153"/>
              </w:tabs>
              <w:jc w:val="right"/>
              <w:rPr>
                <w:b/>
                <w:bCs/>
                <w:sz w:val="26"/>
                <w:szCs w:val="26"/>
                <w:rtl/>
              </w:rPr>
            </w:pPr>
            <w:r w:rsidRPr="007761D6">
              <w:rPr>
                <w:b/>
                <w:bCs/>
                <w:sz w:val="26"/>
                <w:szCs w:val="26"/>
                <w:rtl/>
              </w:rPr>
              <w:t>23 ינואר 2018</w:t>
            </w:r>
          </w:p>
        </w:tc>
      </w:tr>
    </w:tbl>
    <w:p w14:paraId="0B7CCC8A" w14:textId="77777777" w:rsidR="006C11EF" w:rsidRPr="007761D6" w:rsidRDefault="006C11EF" w:rsidP="006C11EF">
      <w:pPr>
        <w:pStyle w:val="a3"/>
        <w:jc w:val="center"/>
        <w:rPr>
          <w:rFonts w:ascii="Tahoma" w:hAnsi="Tahoma" w:cs="Tahoma"/>
          <w:b/>
          <w:bCs/>
          <w:color w:val="000080"/>
          <w:sz w:val="20"/>
          <w:szCs w:val="20"/>
          <w:rtl/>
        </w:rPr>
      </w:pPr>
    </w:p>
    <w:p w14:paraId="4DBF718B" w14:textId="77777777" w:rsidR="006C11EF" w:rsidRPr="007761D6" w:rsidRDefault="006C11EF" w:rsidP="006C11EF">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FB0780" w:rsidRPr="007761D6" w14:paraId="39A21F01" w14:textId="77777777" w:rsidTr="006C11EF">
        <w:trPr>
          <w:gridAfter w:val="1"/>
          <w:wAfter w:w="55" w:type="dxa"/>
        </w:trPr>
        <w:tc>
          <w:tcPr>
            <w:tcW w:w="8719" w:type="dxa"/>
            <w:gridSpan w:val="2"/>
            <w:shd w:val="clear" w:color="auto" w:fill="auto"/>
          </w:tcPr>
          <w:p w14:paraId="4473D02A" w14:textId="77777777" w:rsidR="006C11EF" w:rsidRPr="007761D6" w:rsidRDefault="006C11EF" w:rsidP="00FB0780">
            <w:pPr>
              <w:rPr>
                <w:rFonts w:ascii="Arial" w:hAnsi="Arial"/>
                <w:sz w:val="26"/>
                <w:szCs w:val="26"/>
                <w:highlight w:val="yellow"/>
              </w:rPr>
            </w:pPr>
            <w:r w:rsidRPr="007761D6">
              <w:rPr>
                <w:rFonts w:hint="cs"/>
                <w:b/>
                <w:bCs/>
                <w:sz w:val="26"/>
                <w:szCs w:val="26"/>
                <w:rtl/>
              </w:rPr>
              <w:t xml:space="preserve">בפני </w:t>
            </w:r>
            <w:r w:rsidRPr="007761D6">
              <w:rPr>
                <w:rFonts w:ascii="Arial" w:hAnsi="Arial" w:hint="cs"/>
                <w:b/>
                <w:bCs/>
                <w:sz w:val="26"/>
                <w:szCs w:val="26"/>
                <w:rtl/>
              </w:rPr>
              <w:t>כב' השופטת הבכירה, שירלי דקל נוה</w:t>
            </w:r>
          </w:p>
          <w:p w14:paraId="2A05BFF7" w14:textId="77777777" w:rsidR="006C11EF" w:rsidRPr="007761D6" w:rsidRDefault="006C11EF" w:rsidP="006C11EF">
            <w:pPr>
              <w:spacing w:line="360" w:lineRule="auto"/>
              <w:jc w:val="both"/>
              <w:rPr>
                <w:rFonts w:ascii="Arial" w:hAnsi="Arial"/>
                <w:rtl/>
              </w:rPr>
            </w:pPr>
          </w:p>
        </w:tc>
      </w:tr>
      <w:tr w:rsidR="00FB0780" w:rsidRPr="007761D6" w14:paraId="0394339E" w14:textId="77777777" w:rsidTr="006C11EF">
        <w:tc>
          <w:tcPr>
            <w:tcW w:w="2880" w:type="dxa"/>
            <w:shd w:val="clear" w:color="auto" w:fill="auto"/>
          </w:tcPr>
          <w:p w14:paraId="1B8C2CA7" w14:textId="77777777" w:rsidR="006C11EF" w:rsidRPr="007761D6" w:rsidRDefault="006C11EF" w:rsidP="006C11EF">
            <w:pPr>
              <w:ind w:left="26"/>
              <w:rPr>
                <w:b/>
                <w:bCs/>
                <w:sz w:val="26"/>
                <w:szCs w:val="26"/>
                <w:rtl/>
              </w:rPr>
            </w:pPr>
            <w:bookmarkStart w:id="1" w:name="FirstAppellant"/>
            <w:r w:rsidRPr="007761D6">
              <w:rPr>
                <w:rFonts w:hint="cs"/>
                <w:b/>
                <w:bCs/>
                <w:sz w:val="26"/>
                <w:szCs w:val="26"/>
                <w:rtl/>
              </w:rPr>
              <w:t>ה</w:t>
            </w:r>
            <w:r w:rsidRPr="007761D6">
              <w:rPr>
                <w:b/>
                <w:bCs/>
                <w:sz w:val="26"/>
                <w:szCs w:val="26"/>
                <w:rtl/>
              </w:rPr>
              <w:t>מאשימה</w:t>
            </w:r>
          </w:p>
        </w:tc>
        <w:tc>
          <w:tcPr>
            <w:tcW w:w="5922" w:type="dxa"/>
            <w:gridSpan w:val="2"/>
            <w:shd w:val="clear" w:color="auto" w:fill="auto"/>
          </w:tcPr>
          <w:p w14:paraId="6B99BA7D" w14:textId="77777777" w:rsidR="006C11EF" w:rsidRPr="007761D6" w:rsidRDefault="006C11EF" w:rsidP="00FB0780">
            <w:pPr>
              <w:rPr>
                <w:b/>
                <w:bCs/>
                <w:sz w:val="26"/>
                <w:szCs w:val="26"/>
                <w:rtl/>
              </w:rPr>
            </w:pPr>
            <w:r w:rsidRPr="007761D6">
              <w:rPr>
                <w:rFonts w:hint="cs"/>
                <w:b/>
                <w:bCs/>
                <w:sz w:val="26"/>
                <w:szCs w:val="26"/>
                <w:rtl/>
              </w:rPr>
              <w:t xml:space="preserve"> </w:t>
            </w:r>
            <w:r w:rsidRPr="007761D6">
              <w:rPr>
                <w:b/>
                <w:bCs/>
                <w:sz w:val="26"/>
                <w:szCs w:val="26"/>
                <w:rtl/>
              </w:rPr>
              <w:t>מדינת ישראל</w:t>
            </w:r>
          </w:p>
        </w:tc>
      </w:tr>
      <w:bookmarkEnd w:id="1"/>
      <w:tr w:rsidR="00FB0780" w:rsidRPr="007761D6" w14:paraId="75BDE9D4" w14:textId="77777777" w:rsidTr="006C11EF">
        <w:tc>
          <w:tcPr>
            <w:tcW w:w="8802" w:type="dxa"/>
            <w:gridSpan w:val="3"/>
            <w:shd w:val="clear" w:color="auto" w:fill="auto"/>
          </w:tcPr>
          <w:p w14:paraId="678CDE95" w14:textId="77777777" w:rsidR="006C11EF" w:rsidRPr="007761D6" w:rsidRDefault="006C11EF" w:rsidP="006C11EF">
            <w:pPr>
              <w:jc w:val="both"/>
              <w:rPr>
                <w:rFonts w:ascii="Arial" w:hAnsi="Arial"/>
                <w:b/>
                <w:bCs/>
                <w:sz w:val="26"/>
                <w:szCs w:val="26"/>
                <w:rtl/>
              </w:rPr>
            </w:pPr>
          </w:p>
          <w:p w14:paraId="2243DE16" w14:textId="77777777" w:rsidR="006C11EF" w:rsidRPr="007761D6" w:rsidRDefault="006C11EF" w:rsidP="006C11EF">
            <w:pPr>
              <w:jc w:val="center"/>
              <w:rPr>
                <w:rFonts w:ascii="Arial" w:hAnsi="Arial"/>
                <w:b/>
                <w:bCs/>
                <w:sz w:val="26"/>
                <w:szCs w:val="26"/>
                <w:rtl/>
              </w:rPr>
            </w:pPr>
            <w:r w:rsidRPr="007761D6">
              <w:rPr>
                <w:rFonts w:ascii="Arial" w:hAnsi="Arial"/>
                <w:b/>
                <w:bCs/>
                <w:sz w:val="26"/>
                <w:szCs w:val="26"/>
                <w:rtl/>
              </w:rPr>
              <w:t>נגד</w:t>
            </w:r>
          </w:p>
          <w:p w14:paraId="20ABB14F" w14:textId="77777777" w:rsidR="006C11EF" w:rsidRPr="007761D6" w:rsidRDefault="006C11EF" w:rsidP="006C11EF">
            <w:pPr>
              <w:jc w:val="center"/>
              <w:rPr>
                <w:rFonts w:ascii="Arial" w:hAnsi="Arial"/>
                <w:b/>
                <w:bCs/>
                <w:sz w:val="26"/>
                <w:szCs w:val="26"/>
              </w:rPr>
            </w:pPr>
          </w:p>
        </w:tc>
      </w:tr>
      <w:tr w:rsidR="00FB0780" w:rsidRPr="007761D6" w14:paraId="1E5179D7" w14:textId="77777777" w:rsidTr="006C11EF">
        <w:tc>
          <w:tcPr>
            <w:tcW w:w="2880" w:type="dxa"/>
            <w:shd w:val="clear" w:color="auto" w:fill="auto"/>
          </w:tcPr>
          <w:p w14:paraId="11C06AD2" w14:textId="77777777" w:rsidR="006C11EF" w:rsidRPr="007761D6" w:rsidRDefault="006C11EF" w:rsidP="006C11EF">
            <w:pPr>
              <w:ind w:left="26"/>
              <w:rPr>
                <w:b/>
                <w:bCs/>
                <w:sz w:val="26"/>
                <w:szCs w:val="26"/>
                <w:rtl/>
              </w:rPr>
            </w:pPr>
            <w:r w:rsidRPr="007761D6">
              <w:rPr>
                <w:rFonts w:hint="cs"/>
                <w:b/>
                <w:bCs/>
                <w:sz w:val="26"/>
                <w:szCs w:val="26"/>
                <w:rtl/>
              </w:rPr>
              <w:t>ה</w:t>
            </w:r>
            <w:r w:rsidRPr="007761D6">
              <w:rPr>
                <w:b/>
                <w:bCs/>
                <w:sz w:val="26"/>
                <w:szCs w:val="26"/>
                <w:rtl/>
              </w:rPr>
              <w:t>נאשם</w:t>
            </w:r>
          </w:p>
        </w:tc>
        <w:tc>
          <w:tcPr>
            <w:tcW w:w="5922" w:type="dxa"/>
            <w:gridSpan w:val="2"/>
            <w:shd w:val="clear" w:color="auto" w:fill="auto"/>
          </w:tcPr>
          <w:p w14:paraId="1DCEB70F" w14:textId="77777777" w:rsidR="006C11EF" w:rsidRPr="007761D6" w:rsidRDefault="006C11EF" w:rsidP="00FB0780">
            <w:pPr>
              <w:rPr>
                <w:b/>
                <w:bCs/>
                <w:sz w:val="26"/>
                <w:szCs w:val="26"/>
                <w:rtl/>
              </w:rPr>
            </w:pPr>
            <w:r w:rsidRPr="007761D6">
              <w:rPr>
                <w:b/>
                <w:bCs/>
                <w:sz w:val="26"/>
                <w:szCs w:val="26"/>
                <w:rtl/>
              </w:rPr>
              <w:t>עמנואל יהושע</w:t>
            </w:r>
          </w:p>
        </w:tc>
      </w:tr>
    </w:tbl>
    <w:p w14:paraId="36BBFA35" w14:textId="77777777" w:rsidR="006C11EF" w:rsidRPr="007761D6" w:rsidRDefault="006C11EF" w:rsidP="006C11EF">
      <w:pPr>
        <w:spacing w:line="360" w:lineRule="auto"/>
        <w:jc w:val="both"/>
        <w:rPr>
          <w:rtl/>
        </w:rPr>
      </w:pPr>
    </w:p>
    <w:p w14:paraId="647A9992" w14:textId="77777777" w:rsidR="006C11EF" w:rsidRPr="007761D6" w:rsidRDefault="006C11EF" w:rsidP="006C11EF">
      <w:pPr>
        <w:spacing w:line="360" w:lineRule="auto"/>
        <w:jc w:val="both"/>
        <w:rPr>
          <w:sz w:val="6"/>
          <w:szCs w:val="6"/>
          <w:rtl/>
        </w:rPr>
      </w:pPr>
      <w:r w:rsidRPr="007761D6">
        <w:rPr>
          <w:sz w:val="6"/>
          <w:szCs w:val="6"/>
          <w:rtl/>
        </w:rPr>
        <w:t>&lt;#2#&gt;</w:t>
      </w:r>
    </w:p>
    <w:p w14:paraId="4E625978" w14:textId="77777777" w:rsidR="006C11EF" w:rsidRPr="007761D6" w:rsidRDefault="006C11EF" w:rsidP="006C11EF">
      <w:pPr>
        <w:pStyle w:val="12"/>
        <w:rPr>
          <w:u w:val="none"/>
          <w:rtl/>
        </w:rPr>
      </w:pPr>
      <w:r w:rsidRPr="007761D6">
        <w:rPr>
          <w:rFonts w:hint="cs"/>
          <w:u w:val="none"/>
          <w:rtl/>
        </w:rPr>
        <w:t>נוכחים:</w:t>
      </w:r>
    </w:p>
    <w:p w14:paraId="2E0F2BDC" w14:textId="77777777" w:rsidR="006C11EF" w:rsidRPr="007761D6" w:rsidRDefault="006C11EF" w:rsidP="006C11EF">
      <w:pPr>
        <w:spacing w:line="360" w:lineRule="auto"/>
        <w:jc w:val="both"/>
      </w:pPr>
      <w:bookmarkStart w:id="2" w:name="FirstLawyer"/>
      <w:r w:rsidRPr="007761D6">
        <w:rPr>
          <w:rFonts w:hint="cs"/>
          <w:rtl/>
        </w:rPr>
        <w:t>ב"כ</w:t>
      </w:r>
      <w:bookmarkEnd w:id="2"/>
      <w:r w:rsidRPr="007761D6">
        <w:rPr>
          <w:rFonts w:hint="cs"/>
          <w:rtl/>
        </w:rPr>
        <w:t xml:space="preserve"> המאשימה: עו"ד יעל גבעוני</w:t>
      </w:r>
    </w:p>
    <w:p w14:paraId="1712538B" w14:textId="77777777" w:rsidR="006C11EF" w:rsidRPr="007761D6" w:rsidRDefault="006C11EF" w:rsidP="006C11EF">
      <w:pPr>
        <w:pStyle w:val="12"/>
        <w:rPr>
          <w:b w:val="0"/>
          <w:bCs w:val="0"/>
          <w:u w:val="none"/>
          <w:rtl/>
        </w:rPr>
      </w:pPr>
      <w:r w:rsidRPr="007761D6">
        <w:rPr>
          <w:rFonts w:hint="cs"/>
          <w:b w:val="0"/>
          <w:bCs w:val="0"/>
          <w:u w:val="none"/>
          <w:rtl/>
        </w:rPr>
        <w:t>הנאשם וב"כ:     עו"ד גיל פידל</w:t>
      </w:r>
    </w:p>
    <w:p w14:paraId="351BACF3" w14:textId="77777777" w:rsidR="006C11EF" w:rsidRPr="007761D6" w:rsidRDefault="006C11EF" w:rsidP="006C11EF">
      <w:pPr>
        <w:pStyle w:val="12"/>
        <w:rPr>
          <w:b w:val="0"/>
          <w:bCs w:val="0"/>
          <w:u w:val="none"/>
          <w:rtl/>
        </w:rPr>
      </w:pPr>
    </w:p>
    <w:p w14:paraId="01C6BBA0" w14:textId="77777777" w:rsidR="006C11EF" w:rsidRPr="007761D6" w:rsidRDefault="006C11EF" w:rsidP="006C11EF">
      <w:pPr>
        <w:spacing w:line="360" w:lineRule="auto"/>
        <w:jc w:val="center"/>
        <w:rPr>
          <w:rFonts w:ascii="Arial" w:hAnsi="Arial"/>
          <w:b/>
          <w:bCs/>
          <w:sz w:val="28"/>
          <w:szCs w:val="28"/>
          <w:rtl/>
        </w:rPr>
      </w:pPr>
      <w:r w:rsidRPr="007761D6">
        <w:rPr>
          <w:rFonts w:ascii="Arial" w:hAnsi="Arial"/>
          <w:b/>
          <w:color w:val="FF0000"/>
          <w:sz w:val="28"/>
          <w:rtl/>
        </w:rPr>
        <w:t>במסמך זה הושמטו פרוטוקולים</w:t>
      </w:r>
    </w:p>
    <w:p w14:paraId="40189855" w14:textId="77777777" w:rsidR="007761D6" w:rsidRDefault="007761D6" w:rsidP="006C11EF">
      <w:pPr>
        <w:spacing w:line="360" w:lineRule="auto"/>
        <w:jc w:val="center"/>
        <w:rPr>
          <w:rFonts w:ascii="Arial" w:hAnsi="Arial"/>
          <w:sz w:val="28"/>
          <w:szCs w:val="28"/>
          <w:rtl/>
        </w:rPr>
      </w:pPr>
      <w:bookmarkStart w:id="3" w:name="LawTable"/>
      <w:bookmarkEnd w:id="3"/>
    </w:p>
    <w:p w14:paraId="0A98B8FF" w14:textId="77777777" w:rsidR="007761D6" w:rsidRPr="007761D6" w:rsidRDefault="007761D6" w:rsidP="007761D6">
      <w:pPr>
        <w:spacing w:after="120" w:line="240" w:lineRule="exact"/>
        <w:ind w:left="283" w:hanging="283"/>
        <w:jc w:val="both"/>
        <w:rPr>
          <w:rFonts w:ascii="FrankRuehl" w:hAnsi="FrankRuehl" w:cs="FrankRuehl"/>
          <w:rtl/>
        </w:rPr>
      </w:pPr>
    </w:p>
    <w:p w14:paraId="1FFDB706" w14:textId="77777777" w:rsidR="007761D6" w:rsidRPr="007761D6" w:rsidRDefault="007761D6" w:rsidP="007761D6">
      <w:pPr>
        <w:spacing w:after="120" w:line="240" w:lineRule="exact"/>
        <w:ind w:left="283" w:hanging="283"/>
        <w:jc w:val="both"/>
        <w:rPr>
          <w:rFonts w:ascii="FrankRuehl" w:hAnsi="FrankRuehl" w:cs="FrankRuehl"/>
          <w:rtl/>
        </w:rPr>
      </w:pPr>
      <w:r w:rsidRPr="007761D6">
        <w:rPr>
          <w:rFonts w:ascii="FrankRuehl" w:hAnsi="FrankRuehl" w:cs="FrankRuehl"/>
          <w:rtl/>
        </w:rPr>
        <w:t xml:space="preserve">חקיקה שאוזכרה: </w:t>
      </w:r>
    </w:p>
    <w:p w14:paraId="63633758" w14:textId="77777777" w:rsidR="007761D6" w:rsidRPr="007761D6" w:rsidRDefault="007761D6" w:rsidP="007761D6">
      <w:pPr>
        <w:spacing w:after="120" w:line="240" w:lineRule="exact"/>
        <w:ind w:left="283" w:hanging="283"/>
        <w:jc w:val="both"/>
        <w:rPr>
          <w:rFonts w:ascii="FrankRuehl" w:hAnsi="FrankRuehl" w:cs="FrankRuehl"/>
          <w:rtl/>
        </w:rPr>
      </w:pPr>
      <w:hyperlink r:id="rId6" w:history="1">
        <w:r w:rsidRPr="007761D6">
          <w:rPr>
            <w:rFonts w:ascii="FrankRuehl" w:hAnsi="FrankRuehl" w:cs="FrankRuehl"/>
            <w:color w:val="0000FF"/>
            <w:u w:val="single"/>
            <w:rtl/>
          </w:rPr>
          <w:t>פקודת הסמים המסוכנים [נוסח חדש], תשל"ג-1973</w:t>
        </w:r>
      </w:hyperlink>
    </w:p>
    <w:p w14:paraId="704F26D3" w14:textId="77777777" w:rsidR="007761D6" w:rsidRPr="007761D6" w:rsidRDefault="007761D6" w:rsidP="007761D6">
      <w:pPr>
        <w:spacing w:after="120" w:line="240" w:lineRule="exact"/>
        <w:ind w:left="283" w:hanging="283"/>
        <w:jc w:val="both"/>
        <w:rPr>
          <w:rFonts w:ascii="FrankRuehl" w:hAnsi="FrankRuehl" w:cs="FrankRuehl"/>
          <w:rtl/>
        </w:rPr>
      </w:pPr>
    </w:p>
    <w:p w14:paraId="27915029" w14:textId="77777777" w:rsidR="007761D6" w:rsidRPr="007761D6" w:rsidRDefault="007761D6" w:rsidP="007761D6">
      <w:pPr>
        <w:spacing w:line="360" w:lineRule="auto"/>
        <w:jc w:val="center"/>
        <w:rPr>
          <w:rFonts w:ascii="Arial" w:hAnsi="Arial"/>
          <w:b/>
          <w:bCs/>
          <w:sz w:val="28"/>
          <w:szCs w:val="28"/>
          <w:u w:val="single"/>
          <w:rtl/>
        </w:rPr>
      </w:pPr>
      <w:bookmarkStart w:id="4" w:name="LawTable_End"/>
      <w:bookmarkStart w:id="5" w:name="PsakDin"/>
      <w:bookmarkEnd w:id="0"/>
      <w:bookmarkEnd w:id="4"/>
      <w:r w:rsidRPr="007761D6">
        <w:rPr>
          <w:rFonts w:ascii="Arial" w:hAnsi="Arial"/>
          <w:b/>
          <w:bCs/>
          <w:sz w:val="28"/>
          <w:szCs w:val="28"/>
          <w:u w:val="single"/>
          <w:rtl/>
        </w:rPr>
        <w:t>גזר דין</w:t>
      </w:r>
    </w:p>
    <w:bookmarkEnd w:id="5"/>
    <w:p w14:paraId="0CBCF0C4" w14:textId="77777777" w:rsidR="006C11EF" w:rsidRDefault="006C11EF" w:rsidP="006C11EF">
      <w:pPr>
        <w:spacing w:line="360" w:lineRule="auto"/>
        <w:jc w:val="both"/>
        <w:rPr>
          <w:rFonts w:ascii="Arial" w:hAnsi="Arial"/>
          <w:rtl/>
        </w:rPr>
      </w:pPr>
    </w:p>
    <w:p w14:paraId="476D47B3" w14:textId="77777777" w:rsidR="006C11EF" w:rsidRDefault="006C11EF" w:rsidP="006C11EF">
      <w:pPr>
        <w:spacing w:line="360" w:lineRule="auto"/>
        <w:jc w:val="both"/>
        <w:rPr>
          <w:rFonts w:ascii="Arial" w:hAnsi="Arial"/>
          <w:rtl/>
        </w:rPr>
      </w:pPr>
      <w:r>
        <w:rPr>
          <w:rFonts w:ascii="Arial" w:hAnsi="Arial" w:hint="cs"/>
          <w:rtl/>
        </w:rPr>
        <w:t>הנאשם הורשע, על פי הודאתו, ובמסגרת הסדר בין הצדדים בכתב האישום בתיק העיקרי ובשני תיקים נוספים שצורפו, והכל כפי שיפורט להלן:</w:t>
      </w:r>
    </w:p>
    <w:p w14:paraId="46647638" w14:textId="77777777" w:rsidR="006C11EF" w:rsidRDefault="006C11EF" w:rsidP="006C11EF">
      <w:pPr>
        <w:spacing w:line="360" w:lineRule="auto"/>
        <w:jc w:val="both"/>
        <w:rPr>
          <w:rFonts w:ascii="Arial" w:hAnsi="Arial"/>
        </w:rPr>
      </w:pPr>
    </w:p>
    <w:p w14:paraId="1718142B" w14:textId="77777777" w:rsidR="006C11EF" w:rsidRDefault="006C11EF" w:rsidP="006C11EF">
      <w:pPr>
        <w:spacing w:line="360" w:lineRule="auto"/>
        <w:rPr>
          <w:rtl/>
        </w:rPr>
      </w:pPr>
      <w:r>
        <w:rPr>
          <w:rFonts w:hint="cs"/>
          <w:rtl/>
        </w:rPr>
        <w:t xml:space="preserve">על פי כתב האישום המתוקן בתיק העיקרי, ביום 25/10/2010 איים הנאשם על שכנו. לפיכך הורשע הנאשם בעבירת איומים. </w:t>
      </w:r>
    </w:p>
    <w:p w14:paraId="11CA7696" w14:textId="77777777" w:rsidR="006C11EF" w:rsidRDefault="006C11EF" w:rsidP="006C11EF">
      <w:pPr>
        <w:spacing w:line="360" w:lineRule="auto"/>
        <w:rPr>
          <w:rtl/>
        </w:rPr>
      </w:pPr>
    </w:p>
    <w:p w14:paraId="1F341E7A" w14:textId="77777777" w:rsidR="006C11EF" w:rsidRDefault="006C11EF" w:rsidP="006C11EF">
      <w:pPr>
        <w:spacing w:line="360" w:lineRule="auto"/>
        <w:jc w:val="both"/>
        <w:rPr>
          <w:rtl/>
        </w:rPr>
      </w:pPr>
      <w:r>
        <w:rPr>
          <w:rFonts w:hint="cs"/>
          <w:rtl/>
        </w:rPr>
        <w:t>על פי האישום הראשון בכתב האישום ב-</w:t>
      </w:r>
      <w:hyperlink r:id="rId7" w:history="1">
        <w:r w:rsidR="007761D6" w:rsidRPr="007761D6">
          <w:rPr>
            <w:color w:val="0000FF"/>
            <w:u w:val="single"/>
            <w:rtl/>
          </w:rPr>
          <w:t>ת.פ 30896-05-11</w:t>
        </w:r>
      </w:hyperlink>
      <w:r>
        <w:rPr>
          <w:rFonts w:hint="cs"/>
          <w:rtl/>
        </w:rPr>
        <w:t xml:space="preserve">, ביום 30/04/2010 התקשר הנאשם מספר רב של פעמים לגרושתו וגידף אותה. מיד בהמשך, הגיע הנאשם לבית גרושתו, כשהוא תחת השפעת אלכוהול, והיא ביקשה ממנו לעזוב את המקום. בתגובה, הנאשם דחף את גרושתו בשביל הכניסה לבית והתיישב בחצר הבית, והמשיך לגדף את אותה. לפיכך הורשע הנאשם בעבירות של תקיפת בת זוג והסגת גבול. </w:t>
      </w:r>
    </w:p>
    <w:p w14:paraId="2D81FAD3" w14:textId="77777777" w:rsidR="006C11EF" w:rsidRDefault="006C11EF" w:rsidP="006C11EF">
      <w:pPr>
        <w:spacing w:line="360" w:lineRule="auto"/>
        <w:jc w:val="both"/>
        <w:rPr>
          <w:rtl/>
        </w:rPr>
      </w:pPr>
      <w:r>
        <w:rPr>
          <w:rFonts w:hint="cs"/>
          <w:rtl/>
        </w:rPr>
        <w:t>על פי עובדות האישום שני, ביום 6/5/2010 התקשר הנאשם אל גרושתו ואיים עליה כי ימחק אותה מעל פני האדמה, יעשה אותה אפס ויילחם איתה בבית המשפט על הילדים.</w:t>
      </w:r>
    </w:p>
    <w:p w14:paraId="6E803595" w14:textId="77777777" w:rsidR="006C11EF" w:rsidRDefault="006C11EF" w:rsidP="006C11EF">
      <w:pPr>
        <w:spacing w:line="360" w:lineRule="auto"/>
        <w:jc w:val="both"/>
        <w:rPr>
          <w:rtl/>
        </w:rPr>
      </w:pPr>
    </w:p>
    <w:p w14:paraId="47949987" w14:textId="77777777" w:rsidR="006C11EF" w:rsidRDefault="006C11EF" w:rsidP="006C11EF">
      <w:pPr>
        <w:spacing w:line="360" w:lineRule="auto"/>
        <w:jc w:val="both"/>
        <w:rPr>
          <w:rtl/>
        </w:rPr>
      </w:pPr>
      <w:r>
        <w:rPr>
          <w:rFonts w:hint="cs"/>
          <w:rtl/>
        </w:rPr>
        <w:t>על פי כתב האישום ב-</w:t>
      </w:r>
      <w:hyperlink r:id="rId8" w:history="1">
        <w:r w:rsidR="007761D6" w:rsidRPr="007761D6">
          <w:rPr>
            <w:color w:val="0000FF"/>
            <w:u w:val="single"/>
            <w:rtl/>
          </w:rPr>
          <w:t>ת.פ 25605-11-13</w:t>
        </w:r>
      </w:hyperlink>
      <w:r>
        <w:rPr>
          <w:rFonts w:hint="cs"/>
          <w:rtl/>
        </w:rPr>
        <w:t xml:space="preserve">, ביום 01/05/2013 הגיעו שוטרים לביתו של חברו של הנאשם, ראובן יפת, אשר העלה בפניהם חשד כי הנאשם זרק לחדרו בקבוק בירה וגרם נזק לתריסי החדר. </w:t>
      </w:r>
    </w:p>
    <w:p w14:paraId="2AD2A863" w14:textId="77777777" w:rsidR="006C11EF" w:rsidRDefault="006C11EF" w:rsidP="006C11EF">
      <w:pPr>
        <w:spacing w:line="360" w:lineRule="auto"/>
        <w:jc w:val="both"/>
        <w:rPr>
          <w:rtl/>
        </w:rPr>
      </w:pPr>
      <w:r>
        <w:rPr>
          <w:rFonts w:hint="cs"/>
          <w:rtl/>
        </w:rPr>
        <w:t xml:space="preserve">בהמשך לאמור, לאחר ששוטרים נכנסו לניידת במטרה לחזור לתחנה, הם הבחינו בנאשם מגיע ברכב למקום, ובנסיבות אלו יצא אחד השוטרים מהניידת והתקדם לעברו של הנאשם. השוטר הבחין כי הנאשם מסתיר את ידו מאחורי גבו, ומבין אצבעותיו מבצבצת קובייה שחורה שהכילה סם מסוכן מסוג חשיש במשקל 0.54 גרם נטו. לפיכך הורשע הנאשם בעבירות של הפרעה לשוטר במילוי תפקידו והחזקה/שימוש בסמים לצריכה עצמית. </w:t>
      </w:r>
    </w:p>
    <w:p w14:paraId="6E92975B" w14:textId="77777777" w:rsidR="006C11EF" w:rsidRDefault="006C11EF" w:rsidP="006C11EF">
      <w:pPr>
        <w:spacing w:line="360" w:lineRule="auto"/>
        <w:jc w:val="both"/>
        <w:rPr>
          <w:rtl/>
        </w:rPr>
      </w:pPr>
    </w:p>
    <w:p w14:paraId="08C58382" w14:textId="77777777" w:rsidR="006C11EF" w:rsidRDefault="006C11EF" w:rsidP="006C11EF">
      <w:pPr>
        <w:spacing w:line="360" w:lineRule="auto"/>
        <w:jc w:val="both"/>
        <w:rPr>
          <w:rtl/>
        </w:rPr>
      </w:pPr>
      <w:r>
        <w:rPr>
          <w:rFonts w:hint="cs"/>
          <w:rtl/>
        </w:rPr>
        <w:t>הדיונים המשפטיים בתיקים של הנאשם נמשכו זמן רב מאוד. עוד בדיון שהתקיים ביום 29/10/2013 הודה הנאשם בעבירות המיוחסות לו בתיק העיקרי וב-</w:t>
      </w:r>
      <w:hyperlink r:id="rId9" w:history="1">
        <w:r w:rsidR="007761D6" w:rsidRPr="007761D6">
          <w:rPr>
            <w:color w:val="0000FF"/>
            <w:u w:val="single"/>
            <w:rtl/>
          </w:rPr>
          <w:t>ת.פ 30896-05-11</w:t>
        </w:r>
      </w:hyperlink>
      <w:r>
        <w:rPr>
          <w:rFonts w:hint="cs"/>
          <w:rtl/>
        </w:rPr>
        <w:t xml:space="preserve">. הוסכם בין הצדדים כי הנאשם יישלח בטרם טיעונים לעונש לקבלת תסקיר מטעם שירות המבחן, כשבאותו שלב לא הייתה הסכמה עונשית בין הצדדים. </w:t>
      </w:r>
    </w:p>
    <w:p w14:paraId="1C52D909" w14:textId="77777777" w:rsidR="006C11EF" w:rsidRDefault="006C11EF" w:rsidP="006C11EF">
      <w:pPr>
        <w:spacing w:line="360" w:lineRule="auto"/>
        <w:jc w:val="both"/>
        <w:rPr>
          <w:rtl/>
        </w:rPr>
      </w:pPr>
    </w:p>
    <w:p w14:paraId="315CFAB3" w14:textId="77777777" w:rsidR="006C11EF" w:rsidRDefault="006C11EF" w:rsidP="006C11EF">
      <w:pPr>
        <w:spacing w:line="360" w:lineRule="auto"/>
        <w:jc w:val="both"/>
        <w:rPr>
          <w:rtl/>
        </w:rPr>
      </w:pPr>
      <w:r>
        <w:rPr>
          <w:rFonts w:hint="cs"/>
          <w:rtl/>
        </w:rPr>
        <w:t xml:space="preserve">על פי התסקיר מיום 10/2/2014 הנאשם גרוש ואב לשני ילדים בגילאים 9 ו-11, מתגורר לדבריו בבית נטוש, סמוך לבית אמו. </w:t>
      </w:r>
    </w:p>
    <w:p w14:paraId="570A62FE" w14:textId="77777777" w:rsidR="006C11EF" w:rsidRDefault="006C11EF" w:rsidP="006C11EF">
      <w:pPr>
        <w:spacing w:line="360" w:lineRule="auto"/>
        <w:jc w:val="both"/>
        <w:rPr>
          <w:rtl/>
        </w:rPr>
      </w:pPr>
      <w:r>
        <w:rPr>
          <w:rFonts w:hint="cs"/>
          <w:rtl/>
        </w:rPr>
        <w:t xml:space="preserve">הנאשם מסר כי מזה כעשר שנים אינו עובד, ומתקיים מקצבת הבטחת הכנסה. </w:t>
      </w:r>
    </w:p>
    <w:p w14:paraId="44848C6E" w14:textId="77777777" w:rsidR="006C11EF" w:rsidRDefault="006C11EF" w:rsidP="006C11EF">
      <w:pPr>
        <w:spacing w:line="360" w:lineRule="auto"/>
        <w:jc w:val="both"/>
        <w:rPr>
          <w:rtl/>
        </w:rPr>
      </w:pPr>
      <w:r>
        <w:rPr>
          <w:rFonts w:hint="cs"/>
          <w:rtl/>
        </w:rPr>
        <w:t xml:space="preserve">הנאשם שלל כי הפעיל אלימות כלפי גרושתו, הכחיש את האלימות בתיק שצורף וכן בתיק בגינו נשפט למאסר בשנת 2007 בעבירות אלימות כלפי גרושתו. הנאשם מסר כי אינו נמצא בקשר עם ילדיו, וקיים נגדו צו הרחקה מהמתלוננת ומילדיו. על פי אבחון פסיכיאטרי משנת 2007, הנאשם סובל מהפרעת אישיות בצירוף קווים אנטיסוציאליים, וכי גילה תלות לאורך השנים באלכוהול והשתמש בסמים. הנאשם מסר כי הוא טופל בעבר בעמותת "אפשר" ואינו צורך אלכוהול כיום. בבדיקת שתן שמסר הנאשם לאיתור שרידי סם נמצאו שרידי סם מסוג חשיש. הנאשם הכחיש כי צרך את הסם. </w:t>
      </w:r>
    </w:p>
    <w:p w14:paraId="2C0C2FDA" w14:textId="77777777" w:rsidR="006C11EF" w:rsidRDefault="006C11EF" w:rsidP="006C11EF">
      <w:pPr>
        <w:spacing w:line="360" w:lineRule="auto"/>
        <w:jc w:val="both"/>
        <w:rPr>
          <w:rtl/>
        </w:rPr>
      </w:pPr>
      <w:r>
        <w:rPr>
          <w:rFonts w:hint="cs"/>
          <w:rtl/>
        </w:rPr>
        <w:t xml:space="preserve">שירות המבחן נפגש במתלוננת, שתיארה את התנהלות הנאשם כלפיה בזמן נישואיהם, וגם לאחר שהתגרשו וציינה כי הסדרי הראיה בין הנאשם לבין הילדים הופסקו עקב העובדה שהגיע שתוי למרכז קשר. נוכח עמדת הנאשם, נטייתו להרחיק את עצמו מהאשמה ומהאחריות למעשיו, והתרשמות שירות המבחן מאובססיביות ותלות במתלוננת, ובהעדר מודעות מצד הנאשם לחומרת מצבו, לבעיותיו ולדפוסי ההתנהגות האלימים, שירות המבחן התרשם כי קיים סיכון גבוה להישנות התנהגות אלימה בעתיד, ולכן המליץ להטיל על הנאשם ענישה בעלת גבולות ברורים שתמחיש לו את הבעייתיות שבהתנהגותו. </w:t>
      </w:r>
    </w:p>
    <w:p w14:paraId="6A949A81" w14:textId="77777777" w:rsidR="006C11EF" w:rsidRDefault="006C11EF" w:rsidP="006C11EF">
      <w:pPr>
        <w:spacing w:line="360" w:lineRule="auto"/>
        <w:jc w:val="both"/>
        <w:rPr>
          <w:rtl/>
        </w:rPr>
      </w:pPr>
    </w:p>
    <w:p w14:paraId="61F83EAC" w14:textId="77777777" w:rsidR="006C11EF" w:rsidRDefault="006C11EF" w:rsidP="006C11EF">
      <w:pPr>
        <w:spacing w:line="360" w:lineRule="auto"/>
        <w:jc w:val="both"/>
        <w:rPr>
          <w:rtl/>
        </w:rPr>
      </w:pPr>
      <w:r>
        <w:rPr>
          <w:rFonts w:hint="cs"/>
          <w:rtl/>
        </w:rPr>
        <w:t xml:space="preserve">בדיון שהתקיים ביום 25/2/2014 נענה בית המשפט לבקשת ב"כ הנאשם ושלח את הנאשם לקבלת חוות דעת מטעם הפסיכיאטר המחוזי. בהמשך, הנאשם לא התייצב לבדיקה ובית המשפט נענה לבקשת ב"כ הנאשם ונתן לנאשם הזדמנות נוספת להתייצב בפני הפסיכיאטר המחוזי, אך הוא לא </w:t>
      </w:r>
      <w:r>
        <w:rPr>
          <w:rFonts w:hint="cs"/>
          <w:rtl/>
        </w:rPr>
        <w:lastRenderedPageBreak/>
        <w:t>ניצל הזדמנות זו, ועל כן נדחו הדיונים מפעם לפעם. בתאריכים 8/7/2014, 20/1/2015, 21/4/2015, 7/7/2015, 16/11/2015.</w:t>
      </w:r>
    </w:p>
    <w:p w14:paraId="0B893756" w14:textId="77777777" w:rsidR="006C11EF" w:rsidRDefault="006C11EF" w:rsidP="006C11EF">
      <w:pPr>
        <w:spacing w:line="360" w:lineRule="auto"/>
        <w:jc w:val="both"/>
        <w:rPr>
          <w:rtl/>
        </w:rPr>
      </w:pPr>
      <w:r>
        <w:rPr>
          <w:rFonts w:hint="cs"/>
          <w:rtl/>
        </w:rPr>
        <w:t xml:space="preserve">ביום 24/11/2015 התקבלה חוות דעת פסיכיאטרית בעניינו של הנאשם, המפרטת את הרקע הכללי ותולדות חייו של הנאשם. </w:t>
      </w:r>
    </w:p>
    <w:p w14:paraId="2A1C9278" w14:textId="77777777" w:rsidR="006C11EF" w:rsidRDefault="006C11EF" w:rsidP="006C11EF">
      <w:pPr>
        <w:spacing w:line="360" w:lineRule="auto"/>
        <w:jc w:val="both"/>
        <w:rPr>
          <w:rtl/>
        </w:rPr>
      </w:pPr>
      <w:r>
        <w:rPr>
          <w:rFonts w:hint="cs"/>
          <w:rtl/>
        </w:rPr>
        <w:t>על פי חוות הדעת, ידוע על שימוש לרעה באלכוהול וסמים מזה שנים רבות. הנאשם אובחן כסובל מהפרעת הסתגלות, הפרעת אישיות ושימוש לרעה בסמים ובחומרים פסיכו-אקטיביים.</w:t>
      </w:r>
    </w:p>
    <w:p w14:paraId="252BD039" w14:textId="77777777" w:rsidR="006C11EF" w:rsidRDefault="006C11EF" w:rsidP="006C11EF">
      <w:pPr>
        <w:spacing w:line="360" w:lineRule="auto"/>
        <w:jc w:val="both"/>
        <w:rPr>
          <w:rtl/>
        </w:rPr>
      </w:pPr>
      <w:r>
        <w:rPr>
          <w:rFonts w:hint="cs"/>
          <w:rtl/>
        </w:rPr>
        <w:t>הנאשם נמצא אחראי למעשיו בעת האירועים נשוא כתבי האישום וכשיר לעמוד לדין.</w:t>
      </w:r>
    </w:p>
    <w:p w14:paraId="1CDFF140" w14:textId="77777777" w:rsidR="006C11EF" w:rsidRDefault="006C11EF" w:rsidP="006C11EF">
      <w:pPr>
        <w:spacing w:line="360" w:lineRule="auto"/>
        <w:jc w:val="both"/>
        <w:rPr>
          <w:rtl/>
        </w:rPr>
      </w:pPr>
    </w:p>
    <w:p w14:paraId="5636F638" w14:textId="77777777" w:rsidR="006C11EF" w:rsidRDefault="006C11EF" w:rsidP="006C11EF">
      <w:pPr>
        <w:spacing w:line="360" w:lineRule="auto"/>
        <w:jc w:val="both"/>
        <w:rPr>
          <w:rtl/>
        </w:rPr>
      </w:pPr>
      <w:r>
        <w:rPr>
          <w:rFonts w:hint="cs"/>
          <w:rtl/>
        </w:rPr>
        <w:t xml:space="preserve">בדיון שהתקיים ביום 21/12/2015 נשלח הנאשם שוב לקבלת תסקיר מטעם שירות המבחן. בדיון שהתקיים ביום 29/3/2016 הנאשם לא התייצב וב"כ מסר כי אין לו קשר עם הנאשם. </w:t>
      </w:r>
    </w:p>
    <w:p w14:paraId="1590B79C" w14:textId="77777777" w:rsidR="006C11EF" w:rsidRDefault="006C11EF" w:rsidP="006C11EF">
      <w:pPr>
        <w:spacing w:line="360" w:lineRule="auto"/>
        <w:jc w:val="both"/>
        <w:rPr>
          <w:rtl/>
        </w:rPr>
      </w:pPr>
    </w:p>
    <w:p w14:paraId="6BE09969" w14:textId="77777777" w:rsidR="006C11EF" w:rsidRDefault="006C11EF" w:rsidP="006C11EF">
      <w:pPr>
        <w:spacing w:line="360" w:lineRule="auto"/>
        <w:jc w:val="both"/>
        <w:rPr>
          <w:rtl/>
        </w:rPr>
      </w:pPr>
      <w:r>
        <w:rPr>
          <w:rFonts w:hint="cs"/>
          <w:rtl/>
        </w:rPr>
        <w:t>בתסקיר המשלים מיום 6/7/2016 ציין שירות המבחן כי בדומה למפגשיו הקודמים עם הנאשם, גם בעת הנוכחית, התקשה לערוך עמו שיחה מעמיקה אודות מצבו, כאשר הנאשם התייחס לדפוסיו ולקשייו באופן השלכתי תוך צמצום, טשטוש והפחתה מחומרת מצבו הנפשי, ההתמכרותי והמשפטי.</w:t>
      </w:r>
    </w:p>
    <w:p w14:paraId="226A44C3" w14:textId="77777777" w:rsidR="006C11EF" w:rsidRDefault="006C11EF" w:rsidP="006C11EF">
      <w:pPr>
        <w:spacing w:line="360" w:lineRule="auto"/>
        <w:jc w:val="both"/>
        <w:rPr>
          <w:rtl/>
        </w:rPr>
      </w:pPr>
      <w:r>
        <w:rPr>
          <w:rFonts w:hint="cs"/>
          <w:rtl/>
        </w:rPr>
        <w:t xml:space="preserve">גם ביחסו של הנאשם לתיקים המצורפים, התרשם שירות המבחן כי הנאשם אינו לוקח אחריות ונוטה להשליך את הנסיבות על סביבתו. הנאשם מטשטש ממצבו ההתמכרותי, שולל שימוש בסמים בתקופת האבחון, וזאת בפער לשתי בדיקות שתן נוספות עדכניות שמסר לשירות המבחן בהן נמצאו שרידי סם מסוג קנביס. בשיחת טלפון עם שירות המבחן, הנאשם הביע מוכנות ראשונית להשתלב במסגרת טיפולית ומסר שבכוונתו להפסיק לצרוך סמים. שירות המבחן ציין את ספקנותו באשר ליכולתו של הנאשם להתחייב ולהשתלב במסגרת טיפולית תואמת לצרכיו, אך לאור מצבו המורכב המליץ על דחיה בת חודשיים, ובית המשפט נענה להמלצה זו. </w:t>
      </w:r>
    </w:p>
    <w:p w14:paraId="61DCAACE" w14:textId="77777777" w:rsidR="006C11EF" w:rsidRDefault="006C11EF" w:rsidP="006C11EF">
      <w:pPr>
        <w:spacing w:line="360" w:lineRule="auto"/>
        <w:jc w:val="both"/>
        <w:rPr>
          <w:rtl/>
        </w:rPr>
      </w:pPr>
    </w:p>
    <w:p w14:paraId="699182FD" w14:textId="77777777" w:rsidR="006C11EF" w:rsidRDefault="006C11EF" w:rsidP="006C11EF">
      <w:pPr>
        <w:spacing w:line="360" w:lineRule="auto"/>
        <w:jc w:val="both"/>
        <w:rPr>
          <w:rtl/>
        </w:rPr>
      </w:pPr>
      <w:r>
        <w:rPr>
          <w:rFonts w:hint="cs"/>
          <w:rtl/>
        </w:rPr>
        <w:t xml:space="preserve">על פי התסקיר המשלים מיום 10/11/2016, במהלך תקופת הדחיה הופנה הנאשם לאבחון ביחידה העירונית לנפגעי סמים. בראשית התקופה ההתרשמות הייתה מהתייצבות מסוימת במצבו של הנאשם, כשמסר בדיקות שתן נקיות והתמיד בעבודתו, אך עם זאת המשיך לצרוך אלכוהול. </w:t>
      </w:r>
    </w:p>
    <w:p w14:paraId="0E5B222B" w14:textId="77777777" w:rsidR="006C11EF" w:rsidRDefault="006C11EF" w:rsidP="006C11EF">
      <w:pPr>
        <w:spacing w:line="360" w:lineRule="auto"/>
        <w:jc w:val="both"/>
        <w:rPr>
          <w:rtl/>
        </w:rPr>
      </w:pPr>
      <w:r>
        <w:rPr>
          <w:rFonts w:hint="cs"/>
          <w:rtl/>
        </w:rPr>
        <w:t xml:space="preserve">לאחר שתי פגישות ביחידה לנפגעי סמים, הופסק הטיפול ביוזמת היחידה, לאחר שהנאשם הגיע כשהוא שרוי בגילופין, התנהל באופן תוקפני ונהג באלימות מילולית כלפי צוות היחידה. לאחר קבלת דיווח זה, שירות המבחן שוחח עם הנאשם והוא השליך את האחריות על גורמי הטיפול ביחידה לנפגעי סמים ונקט גישה קורבנית. שירות המבחן חזר בפני הנאשם על המלצתו כי הוא ישתלב במסגרת קהילה לגמילה מהתמכרויות, אך הנאשם התנגד לכך. לאור האמור, שירות המבחן חזר והמליץ על ענישה קונקרטית מציבת גבול. </w:t>
      </w:r>
    </w:p>
    <w:p w14:paraId="593A8191" w14:textId="77777777" w:rsidR="006C11EF" w:rsidRDefault="006C11EF" w:rsidP="006C11EF">
      <w:pPr>
        <w:spacing w:line="360" w:lineRule="auto"/>
        <w:jc w:val="both"/>
        <w:rPr>
          <w:rtl/>
        </w:rPr>
      </w:pPr>
    </w:p>
    <w:p w14:paraId="34898F7D" w14:textId="77777777" w:rsidR="006C11EF" w:rsidRDefault="006C11EF" w:rsidP="006C11EF">
      <w:pPr>
        <w:spacing w:line="360" w:lineRule="auto"/>
        <w:jc w:val="both"/>
        <w:rPr>
          <w:rtl/>
        </w:rPr>
      </w:pPr>
      <w:r>
        <w:rPr>
          <w:rFonts w:hint="cs"/>
          <w:rtl/>
        </w:rPr>
        <w:t xml:space="preserve">בדיון שהתקיים ביום 15/11/2016 ב"כ הנאשם טען כי הנאשם נקי מסמים ואלכוהול, עובד בעבודה מסודרת, נמצא בקשר תקין עם גרושתו וביקש דחיה נוספת לקבלת תסקיר משלים. בית המשפט באופן חריג נענה לבקשה זו ודחה שוב את הדיון לקבלת תסקיר משלים. </w:t>
      </w:r>
    </w:p>
    <w:p w14:paraId="1C5272E6" w14:textId="77777777" w:rsidR="006C11EF" w:rsidRDefault="006C11EF" w:rsidP="006C11EF">
      <w:pPr>
        <w:spacing w:line="360" w:lineRule="auto"/>
        <w:jc w:val="both"/>
        <w:rPr>
          <w:rtl/>
        </w:rPr>
      </w:pPr>
    </w:p>
    <w:p w14:paraId="220E95C8" w14:textId="77777777" w:rsidR="006C11EF" w:rsidRDefault="006C11EF" w:rsidP="006C11EF">
      <w:pPr>
        <w:spacing w:line="360" w:lineRule="auto"/>
        <w:jc w:val="both"/>
        <w:rPr>
          <w:rtl/>
        </w:rPr>
      </w:pPr>
      <w:r>
        <w:rPr>
          <w:rFonts w:hint="cs"/>
          <w:rtl/>
        </w:rPr>
        <w:t xml:space="preserve">על פי התסקיר מיום 14/3/2017, במהלך תקופת הדחיה יצר שירות המבחן קשר עם הנאשם במטרה לזמנו לשיחה. הנאשם דיבר בתוקפנות, השליך את האחריות על מצבו האישי והמשפטי על שירות המבחן וסירב להגיע לשיחה. בהעדר שתוף פעולה וניתוק הקשר עם שירות המבחן, לא יכול היה שירות המבחן להמליץ על ענישה שיקומית וחזר על ההמלצה בתסקיריו הקודמים. </w:t>
      </w:r>
    </w:p>
    <w:p w14:paraId="2494E449" w14:textId="77777777" w:rsidR="006C11EF" w:rsidRDefault="006C11EF" w:rsidP="006C11EF">
      <w:pPr>
        <w:spacing w:line="360" w:lineRule="auto"/>
        <w:jc w:val="both"/>
        <w:rPr>
          <w:rtl/>
        </w:rPr>
      </w:pPr>
    </w:p>
    <w:p w14:paraId="7F069B0F" w14:textId="77777777" w:rsidR="006C11EF" w:rsidRDefault="006C11EF" w:rsidP="006C11EF">
      <w:pPr>
        <w:spacing w:line="360" w:lineRule="auto"/>
        <w:jc w:val="both"/>
        <w:rPr>
          <w:rtl/>
        </w:rPr>
      </w:pPr>
      <w:r>
        <w:rPr>
          <w:rFonts w:hint="cs"/>
          <w:rtl/>
        </w:rPr>
        <w:t xml:space="preserve">בדיון שהתקיים ביום 20/3/2017 הנאשם לא התייצב והוצא נגדו צו הבאה. </w:t>
      </w:r>
    </w:p>
    <w:p w14:paraId="3B7786C9" w14:textId="77777777" w:rsidR="006C11EF" w:rsidRDefault="006C11EF" w:rsidP="006C11EF">
      <w:pPr>
        <w:spacing w:line="360" w:lineRule="auto"/>
        <w:jc w:val="both"/>
        <w:rPr>
          <w:rtl/>
        </w:rPr>
      </w:pPr>
    </w:p>
    <w:p w14:paraId="737A9C11" w14:textId="77777777" w:rsidR="006C11EF" w:rsidRDefault="006C11EF" w:rsidP="006C11EF">
      <w:pPr>
        <w:spacing w:line="360" w:lineRule="auto"/>
        <w:jc w:val="both"/>
        <w:rPr>
          <w:rtl/>
        </w:rPr>
      </w:pPr>
      <w:r>
        <w:rPr>
          <w:rFonts w:hint="cs"/>
          <w:rtl/>
        </w:rPr>
        <w:t xml:space="preserve">בדיון הנדחה ביום 22/6/2017 לא התייצב ב"כ הנאשם. באותו דיון טען הנאשם כי הוא נמצא בקשר עם גורמי הטיפול בעמותת "אפשר" והובהר לו כי הוא רשאי להציג בפני בית המשפט מכתב מעמותת "אפשר" המעיד על הטיפול אותו הוא מקבל, והדיון נדחה בהעדר ב"כ הנאשם. </w:t>
      </w:r>
    </w:p>
    <w:p w14:paraId="41C22A38" w14:textId="77777777" w:rsidR="006C11EF" w:rsidRDefault="006C11EF" w:rsidP="006C11EF">
      <w:pPr>
        <w:spacing w:line="360" w:lineRule="auto"/>
        <w:jc w:val="both"/>
        <w:rPr>
          <w:rtl/>
        </w:rPr>
      </w:pPr>
    </w:p>
    <w:p w14:paraId="50DA6B80" w14:textId="77777777" w:rsidR="006C11EF" w:rsidRDefault="006C11EF" w:rsidP="006C11EF">
      <w:pPr>
        <w:spacing w:line="360" w:lineRule="auto"/>
        <w:jc w:val="both"/>
        <w:rPr>
          <w:rtl/>
        </w:rPr>
      </w:pPr>
      <w:r>
        <w:rPr>
          <w:rFonts w:hint="cs"/>
          <w:rtl/>
        </w:rPr>
        <w:t xml:space="preserve">בדיון שהתקיים ביום 20/07/2017 ביקש ב"כ הנאשם לתת לנאשם הזדמנות נוספת ואחרונה, לאחר שהציג בפני ב"כ המאשימה מכתב מעמותת "אפשר", לפיו הנאשם פנה לקבלת טיפול לעמותת "אפשר". לנוכח הסכמת ב"כ המאשימה ואף שבית המשפט סבר שהשלב הטיפולי הוא "מעט מידי ומאוחר מידי", נענה לבקשה ודחה את הדיון לקבלת תסקיר משלים. </w:t>
      </w:r>
    </w:p>
    <w:p w14:paraId="665B0070" w14:textId="77777777" w:rsidR="006C11EF" w:rsidRDefault="006C11EF" w:rsidP="006C11EF">
      <w:pPr>
        <w:spacing w:line="360" w:lineRule="auto"/>
        <w:jc w:val="both"/>
        <w:rPr>
          <w:rtl/>
        </w:rPr>
      </w:pPr>
    </w:p>
    <w:p w14:paraId="4C2CBAF4" w14:textId="77777777" w:rsidR="006C11EF" w:rsidRDefault="006C11EF" w:rsidP="006C11EF">
      <w:pPr>
        <w:spacing w:line="360" w:lineRule="auto"/>
        <w:jc w:val="both"/>
        <w:rPr>
          <w:rtl/>
        </w:rPr>
      </w:pPr>
      <w:r>
        <w:rPr>
          <w:rFonts w:hint="cs"/>
          <w:rtl/>
        </w:rPr>
        <w:t>על פי התסקיר המשלים מיום 13/12/2017, הנאשם מסר לשירות המבחן שהליך האבחון בעמותת "אפשר" נקטע מסיבות שאינן ברורות לו, הפחית מחומרת מצבו האישי וטשטש את קשייו.</w:t>
      </w:r>
    </w:p>
    <w:p w14:paraId="6B0CFC8D" w14:textId="77777777" w:rsidR="006C11EF" w:rsidRDefault="006C11EF" w:rsidP="006C11EF">
      <w:pPr>
        <w:spacing w:line="360" w:lineRule="auto"/>
        <w:jc w:val="both"/>
        <w:rPr>
          <w:rtl/>
        </w:rPr>
      </w:pPr>
      <w:r>
        <w:rPr>
          <w:rFonts w:hint="cs"/>
          <w:rtl/>
        </w:rPr>
        <w:t>הנאשם חזר והביע התנגדות להשתלב במסגרת סגורה כקהילה טיפולית והכחיש מצבו ההתמכרותי.</w:t>
      </w:r>
    </w:p>
    <w:p w14:paraId="6C41AC39" w14:textId="77777777" w:rsidR="006C11EF" w:rsidRDefault="006C11EF" w:rsidP="006C11EF">
      <w:pPr>
        <w:spacing w:line="360" w:lineRule="auto"/>
        <w:jc w:val="both"/>
        <w:rPr>
          <w:rtl/>
        </w:rPr>
      </w:pPr>
      <w:r>
        <w:rPr>
          <w:rFonts w:hint="cs"/>
          <w:rtl/>
        </w:rPr>
        <w:t xml:space="preserve">רק סמוך לכתיבת התסקיר המשלים, הנאשם יצר קשר והביע נכונות לקבל את המלצת שירות המבחן להשתלב בקהילה טיפולית, שירות המבחן התרשם כי הנאשם אינו מכיר בקשייו ודפוסיו האלימים וההתמכרותיים ונכונותו לטיפול נובעת מחרדה מתוצאות ההליך המשפטי, ולפיכך לא היה בידו להמליץ על ענישה שיקומית, אלא על ענישה קונקרטית שייתכן ותסייע לנאשם לערוך שינוי בחייו. </w:t>
      </w:r>
    </w:p>
    <w:p w14:paraId="2E79026A" w14:textId="77777777" w:rsidR="006C11EF" w:rsidRDefault="006C11EF" w:rsidP="006C11EF">
      <w:pPr>
        <w:spacing w:line="360" w:lineRule="auto"/>
        <w:jc w:val="both"/>
        <w:rPr>
          <w:rtl/>
        </w:rPr>
      </w:pPr>
      <w:r>
        <w:rPr>
          <w:rFonts w:hint="cs"/>
          <w:rtl/>
        </w:rPr>
        <w:t xml:space="preserve">בדיון שהתקיים ביום 19/12/2017 לא התייצבו הנאשם ובא כוחו, והוצא נגד הנאשם צו הבאה. </w:t>
      </w:r>
    </w:p>
    <w:p w14:paraId="735E7226" w14:textId="77777777" w:rsidR="006C11EF" w:rsidRDefault="006C11EF" w:rsidP="006C11EF">
      <w:pPr>
        <w:spacing w:line="360" w:lineRule="auto"/>
        <w:jc w:val="both"/>
        <w:rPr>
          <w:rtl/>
        </w:rPr>
      </w:pPr>
    </w:p>
    <w:p w14:paraId="094E0D40" w14:textId="77777777" w:rsidR="006C11EF" w:rsidRDefault="006C11EF" w:rsidP="006C11EF">
      <w:pPr>
        <w:spacing w:line="360" w:lineRule="auto"/>
        <w:jc w:val="both"/>
        <w:rPr>
          <w:rtl/>
        </w:rPr>
      </w:pPr>
      <w:r>
        <w:rPr>
          <w:rFonts w:hint="cs"/>
          <w:rtl/>
        </w:rPr>
        <w:t>בדיון שהתקיים היום הודיעו הצדדים על הסדר, לפיו הם עתרו במשותף להשית על הנאשם 10 חודשי מאסר בפועל, תוך שהמאסרים על תנאי התלויים ועומדים נגד הנאשם יופעלו בחופף לעונש זה, מאסר על תנאי ופיצוי למתלוננים, בתיק העיקרי ובתיק שצורף.</w:t>
      </w:r>
    </w:p>
    <w:p w14:paraId="125F0407" w14:textId="77777777" w:rsidR="006C11EF" w:rsidRDefault="006C11EF" w:rsidP="006C11EF">
      <w:pPr>
        <w:spacing w:line="360" w:lineRule="auto"/>
        <w:jc w:val="both"/>
        <w:rPr>
          <w:rtl/>
        </w:rPr>
      </w:pPr>
    </w:p>
    <w:p w14:paraId="622A47B9" w14:textId="77777777" w:rsidR="006C11EF" w:rsidRDefault="006C11EF" w:rsidP="006C11EF">
      <w:pPr>
        <w:spacing w:line="360" w:lineRule="auto"/>
        <w:jc w:val="both"/>
        <w:rPr>
          <w:rtl/>
        </w:rPr>
      </w:pPr>
      <w:r>
        <w:rPr>
          <w:rFonts w:hint="cs"/>
          <w:rtl/>
        </w:rPr>
        <w:t xml:space="preserve">ב"כ המאשימה הפנתה לגיליון הרישום הפלילי של הנאשם, המונה 3 הרשעות קודמות, בעבירות אלימות, כליאת שווא, איומים, היזק לרכוש במזיד, רכישת/החזקת נשק שלא כדין ועבירות סמים. במסגרת הרשעתו האחרונה של הנאשם, הוטל עליו מאסר בפועל בן 9 חודשים וכן הוטלו עליו שני מאסרים על תנאי למשך 3 חודשים ו-10 חודשים. </w:t>
      </w:r>
    </w:p>
    <w:p w14:paraId="0B0E737B" w14:textId="77777777" w:rsidR="006C11EF" w:rsidRDefault="006C11EF" w:rsidP="006C11EF">
      <w:pPr>
        <w:spacing w:line="360" w:lineRule="auto"/>
        <w:jc w:val="both"/>
        <w:rPr>
          <w:rtl/>
        </w:rPr>
      </w:pPr>
    </w:p>
    <w:p w14:paraId="4470DF0B" w14:textId="77777777" w:rsidR="006C11EF" w:rsidRDefault="006C11EF" w:rsidP="006C11EF">
      <w:pPr>
        <w:spacing w:line="360" w:lineRule="auto"/>
        <w:jc w:val="both"/>
        <w:rPr>
          <w:rtl/>
        </w:rPr>
      </w:pPr>
      <w:r>
        <w:rPr>
          <w:rFonts w:hint="cs"/>
          <w:rtl/>
        </w:rPr>
        <w:t xml:space="preserve">ב"כ המאשימה ציינה כי כתבי האישום תוקנו לקולא והנאשם הודה במיוחס לו. ב"כ המאשימה הפנתה לתסקירים הרבים שהוגשו בעניינו של הנאשם, ולהמלצת שירות המבחן להטלת ענישה קונקרטית. </w:t>
      </w:r>
    </w:p>
    <w:p w14:paraId="39298D07" w14:textId="77777777" w:rsidR="006C11EF" w:rsidRDefault="006C11EF" w:rsidP="006C11EF">
      <w:pPr>
        <w:spacing w:line="360" w:lineRule="auto"/>
        <w:jc w:val="both"/>
        <w:rPr>
          <w:rtl/>
        </w:rPr>
      </w:pPr>
    </w:p>
    <w:p w14:paraId="0A140BD4" w14:textId="77777777" w:rsidR="006C11EF" w:rsidRDefault="006C11EF" w:rsidP="006C11EF">
      <w:pPr>
        <w:spacing w:line="360" w:lineRule="auto"/>
        <w:jc w:val="both"/>
        <w:rPr>
          <w:rtl/>
        </w:rPr>
      </w:pPr>
      <w:r>
        <w:rPr>
          <w:rFonts w:hint="cs"/>
          <w:rtl/>
        </w:rPr>
        <w:t xml:space="preserve">ב"כ הנאשם ציין כי העבירות בתיקים עליהם נותן היום הנאשם את הדין הן ישנות, כיום הנאשם נקי מסמים והצליח להיגמל מהסמים ומהאלכוהול באופן עצמאי וביקש להתחשב במצבו הנפשי של הנאשם ולכבד את הסדר הטיעון. </w:t>
      </w:r>
    </w:p>
    <w:p w14:paraId="3E168607" w14:textId="77777777" w:rsidR="006C11EF" w:rsidRDefault="006C11EF" w:rsidP="006C11EF">
      <w:pPr>
        <w:spacing w:line="360" w:lineRule="auto"/>
        <w:jc w:val="both"/>
        <w:rPr>
          <w:rtl/>
        </w:rPr>
      </w:pPr>
    </w:p>
    <w:p w14:paraId="0120955C" w14:textId="77777777" w:rsidR="006C11EF" w:rsidRDefault="006C11EF" w:rsidP="006C11EF">
      <w:pPr>
        <w:spacing w:line="360" w:lineRule="auto"/>
        <w:jc w:val="both"/>
        <w:rPr>
          <w:rtl/>
        </w:rPr>
      </w:pPr>
      <w:r>
        <w:rPr>
          <w:rFonts w:hint="cs"/>
          <w:rtl/>
        </w:rPr>
        <w:t>הנאשם ביקש מבית המשפט הזדמנות נוספת לפנות לטיפול.</w:t>
      </w:r>
    </w:p>
    <w:p w14:paraId="5A0EA397" w14:textId="77777777" w:rsidR="006C11EF" w:rsidRDefault="006C11EF" w:rsidP="006C11EF">
      <w:pPr>
        <w:spacing w:line="360" w:lineRule="auto"/>
        <w:jc w:val="both"/>
        <w:rPr>
          <w:rtl/>
        </w:rPr>
      </w:pPr>
    </w:p>
    <w:p w14:paraId="7EA6C865" w14:textId="77777777" w:rsidR="006C11EF" w:rsidRPr="009A64AF" w:rsidRDefault="006C11EF" w:rsidP="006C11EF">
      <w:pPr>
        <w:spacing w:line="360" w:lineRule="auto"/>
        <w:jc w:val="both"/>
        <w:rPr>
          <w:rtl/>
        </w:rPr>
      </w:pPr>
      <w:r w:rsidRPr="009A64AF">
        <w:rPr>
          <w:rFonts w:hint="cs"/>
          <w:rtl/>
        </w:rPr>
        <w:t>לאחר ששקלתי את כל הנסיבות הצריכות לעניין</w:t>
      </w:r>
      <w:r>
        <w:rPr>
          <w:rFonts w:hint="cs"/>
          <w:rtl/>
        </w:rPr>
        <w:t xml:space="preserve"> </w:t>
      </w:r>
      <w:r w:rsidRPr="009A64AF">
        <w:rPr>
          <w:rFonts w:hint="cs"/>
          <w:rtl/>
        </w:rPr>
        <w:t>ואת טיעוני הצדדים</w:t>
      </w:r>
      <w:r>
        <w:rPr>
          <w:rFonts w:hint="cs"/>
          <w:rtl/>
        </w:rPr>
        <w:t>,</w:t>
      </w:r>
      <w:r w:rsidRPr="009A64AF">
        <w:rPr>
          <w:rFonts w:hint="cs"/>
          <w:rtl/>
        </w:rPr>
        <w:t xml:space="preserve"> ובהם גילו של הנאשם, נסיבות חייו, </w:t>
      </w:r>
      <w:r>
        <w:rPr>
          <w:rFonts w:hint="cs"/>
          <w:rtl/>
        </w:rPr>
        <w:t>מצבו הנפשי, ע</w:t>
      </w:r>
      <w:r w:rsidRPr="009A64AF">
        <w:rPr>
          <w:rFonts w:hint="cs"/>
          <w:rtl/>
        </w:rPr>
        <w:t>בר</w:t>
      </w:r>
      <w:r>
        <w:rPr>
          <w:rFonts w:hint="cs"/>
          <w:rtl/>
        </w:rPr>
        <w:t>ו</w:t>
      </w:r>
      <w:r w:rsidRPr="009A64AF">
        <w:rPr>
          <w:rFonts w:hint="cs"/>
          <w:rtl/>
        </w:rPr>
        <w:t xml:space="preserve"> </w:t>
      </w:r>
      <w:r>
        <w:rPr>
          <w:rFonts w:hint="cs"/>
          <w:rtl/>
        </w:rPr>
        <w:t>ה</w:t>
      </w:r>
      <w:r w:rsidRPr="009A64AF">
        <w:rPr>
          <w:rFonts w:hint="cs"/>
          <w:rtl/>
        </w:rPr>
        <w:t xml:space="preserve">פלילי, </w:t>
      </w:r>
      <w:r>
        <w:rPr>
          <w:rFonts w:hint="cs"/>
          <w:rtl/>
        </w:rPr>
        <w:t>התיקונים בכתבי האישום</w:t>
      </w:r>
      <w:r w:rsidRPr="009A64AF">
        <w:rPr>
          <w:rFonts w:hint="cs"/>
          <w:rtl/>
        </w:rPr>
        <w:t>, חלוף הזמן מאז ביצוע העביר</w:t>
      </w:r>
      <w:r>
        <w:rPr>
          <w:rFonts w:hint="cs"/>
          <w:rtl/>
        </w:rPr>
        <w:t>ות</w:t>
      </w:r>
      <w:r w:rsidRPr="009A64AF">
        <w:rPr>
          <w:rFonts w:hint="cs"/>
          <w:rtl/>
        </w:rPr>
        <w:t>, הודאתו של הנאשם, האמור בת</w:t>
      </w:r>
      <w:r>
        <w:rPr>
          <w:rFonts w:hint="cs"/>
          <w:rtl/>
        </w:rPr>
        <w:t xml:space="preserve">סקירי שרות המבחן והכללים בדבר כיבוד הסדרי טיעון, אני </w:t>
      </w:r>
      <w:r w:rsidRPr="009A64AF">
        <w:rPr>
          <w:rFonts w:hint="cs"/>
          <w:rtl/>
        </w:rPr>
        <w:t>מוצאת לנכון לכבד את הסדר הטיעון וגוזרת על הנאשם את העונשים הבאים:</w:t>
      </w:r>
    </w:p>
    <w:p w14:paraId="5F62CF9D" w14:textId="77777777" w:rsidR="006C11EF" w:rsidRDefault="006C11EF" w:rsidP="006C11EF">
      <w:pPr>
        <w:spacing w:line="360" w:lineRule="auto"/>
        <w:jc w:val="both"/>
        <w:rPr>
          <w:sz w:val="20"/>
          <w:rtl/>
        </w:rPr>
      </w:pPr>
    </w:p>
    <w:p w14:paraId="6CC39CDD" w14:textId="77777777" w:rsidR="006C11EF" w:rsidRDefault="006C11EF" w:rsidP="006C11EF">
      <w:pPr>
        <w:spacing w:line="360" w:lineRule="auto"/>
        <w:ind w:left="720" w:hanging="720"/>
        <w:jc w:val="both"/>
        <w:rPr>
          <w:rtl/>
        </w:rPr>
      </w:pPr>
      <w:r w:rsidRPr="009A64AF">
        <w:rPr>
          <w:rFonts w:hint="cs"/>
          <w:rtl/>
        </w:rPr>
        <w:t>א)</w:t>
      </w:r>
      <w:r w:rsidRPr="009A64AF">
        <w:rPr>
          <w:rFonts w:hint="cs"/>
          <w:rtl/>
        </w:rPr>
        <w:tab/>
      </w:r>
      <w:r>
        <w:rPr>
          <w:rFonts w:hint="cs"/>
          <w:rtl/>
        </w:rPr>
        <w:t xml:space="preserve">10 חודשי מאסר בפועל. </w:t>
      </w:r>
    </w:p>
    <w:p w14:paraId="2765BA88" w14:textId="77777777" w:rsidR="006C11EF" w:rsidRDefault="006C11EF" w:rsidP="006C11EF">
      <w:pPr>
        <w:spacing w:line="360" w:lineRule="auto"/>
        <w:ind w:left="720"/>
        <w:jc w:val="both"/>
        <w:rPr>
          <w:rtl/>
        </w:rPr>
      </w:pPr>
      <w:r>
        <w:rPr>
          <w:rFonts w:hint="cs"/>
          <w:rtl/>
        </w:rPr>
        <w:t xml:space="preserve">אני מורה על הפעלת המאסרים על תנאי בני 3 חודשים ו-10 חודשים, שהוטלו על הנאשם במסגרת גזר הדין מיום 25/6/2007 ב-פ' 2412/07 של בית משפט השלום בראשון לציון, וזאת בחופף זה לזה ובחופף למאסר בפועל. </w:t>
      </w:r>
    </w:p>
    <w:p w14:paraId="04B1AAC8" w14:textId="77777777" w:rsidR="006C11EF" w:rsidRDefault="006C11EF" w:rsidP="006C11EF">
      <w:pPr>
        <w:spacing w:line="360" w:lineRule="auto"/>
        <w:ind w:left="720"/>
        <w:jc w:val="both"/>
        <w:rPr>
          <w:rtl/>
        </w:rPr>
      </w:pPr>
      <w:r>
        <w:rPr>
          <w:rFonts w:hint="cs"/>
          <w:rtl/>
        </w:rPr>
        <w:t xml:space="preserve">סה"כ ירצה הנאשם 10 חודשי מאסר בפועל. </w:t>
      </w:r>
    </w:p>
    <w:p w14:paraId="2EF1770D" w14:textId="77777777" w:rsidR="006C11EF" w:rsidRDefault="006C11EF" w:rsidP="006C11EF">
      <w:pPr>
        <w:spacing w:line="360" w:lineRule="auto"/>
        <w:ind w:left="720" w:hanging="720"/>
        <w:jc w:val="both"/>
        <w:rPr>
          <w:rtl/>
        </w:rPr>
      </w:pPr>
    </w:p>
    <w:p w14:paraId="0070F0A3" w14:textId="77777777" w:rsidR="006C11EF" w:rsidRPr="009A64AF" w:rsidRDefault="006C11EF" w:rsidP="006C11EF">
      <w:pPr>
        <w:spacing w:line="360" w:lineRule="auto"/>
        <w:ind w:left="720" w:hanging="720"/>
        <w:jc w:val="both"/>
      </w:pPr>
      <w:r>
        <w:rPr>
          <w:rFonts w:hint="cs"/>
          <w:rtl/>
        </w:rPr>
        <w:t>ב)</w:t>
      </w:r>
      <w:r>
        <w:rPr>
          <w:rtl/>
        </w:rPr>
        <w:tab/>
      </w:r>
      <w:r w:rsidRPr="009A64AF">
        <w:rPr>
          <w:rFonts w:hint="cs"/>
          <w:rtl/>
        </w:rPr>
        <w:t>מאסר על תנאי למשך</w:t>
      </w:r>
      <w:r>
        <w:rPr>
          <w:rFonts w:hint="cs"/>
          <w:rtl/>
        </w:rPr>
        <w:t xml:space="preserve"> 6 </w:t>
      </w:r>
      <w:r w:rsidRPr="009A64AF">
        <w:rPr>
          <w:rFonts w:hint="cs"/>
          <w:rtl/>
        </w:rPr>
        <w:t>חודשים, והנאשם לא י</w:t>
      </w:r>
      <w:r>
        <w:rPr>
          <w:rFonts w:hint="cs"/>
          <w:rtl/>
        </w:rPr>
        <w:t>י</w:t>
      </w:r>
      <w:r w:rsidRPr="009A64AF">
        <w:rPr>
          <w:rFonts w:hint="cs"/>
          <w:rtl/>
        </w:rPr>
        <w:t>שא בעונש זה אלא אם כן יעבו</w:t>
      </w:r>
      <w:r>
        <w:rPr>
          <w:rFonts w:hint="cs"/>
          <w:rtl/>
        </w:rPr>
        <w:t xml:space="preserve">ר בתוך שלוש שנים מהיום עבירת אלימות עבירות מסוג פשע. </w:t>
      </w:r>
    </w:p>
    <w:p w14:paraId="07CC5890" w14:textId="77777777" w:rsidR="006C11EF" w:rsidRDefault="006C11EF" w:rsidP="006C11EF">
      <w:pPr>
        <w:spacing w:line="360" w:lineRule="auto"/>
        <w:ind w:left="720" w:hanging="720"/>
        <w:jc w:val="both"/>
        <w:rPr>
          <w:rtl/>
        </w:rPr>
      </w:pPr>
      <w:r>
        <w:rPr>
          <w:rtl/>
        </w:rPr>
        <w:tab/>
      </w:r>
      <w:r w:rsidRPr="009A64AF">
        <w:rPr>
          <w:rFonts w:hint="cs"/>
          <w:rtl/>
        </w:rPr>
        <w:t>מאסר על תנאי למשך</w:t>
      </w:r>
      <w:r>
        <w:rPr>
          <w:rFonts w:hint="cs"/>
          <w:rtl/>
        </w:rPr>
        <w:t xml:space="preserve"> 3 </w:t>
      </w:r>
      <w:r w:rsidRPr="009A64AF">
        <w:rPr>
          <w:rFonts w:hint="cs"/>
          <w:rtl/>
        </w:rPr>
        <w:t>חודשים, והנאשם לא י</w:t>
      </w:r>
      <w:r>
        <w:rPr>
          <w:rFonts w:hint="cs"/>
          <w:rtl/>
        </w:rPr>
        <w:t>י</w:t>
      </w:r>
      <w:r w:rsidRPr="009A64AF">
        <w:rPr>
          <w:rFonts w:hint="cs"/>
          <w:rtl/>
        </w:rPr>
        <w:t>שא בעונש זה אלא אם כן יעבו</w:t>
      </w:r>
      <w:r>
        <w:rPr>
          <w:rFonts w:hint="cs"/>
          <w:rtl/>
        </w:rPr>
        <w:t xml:space="preserve">ר בתוך שלוש שנים מהיום עבירת אלימות מסוג עוון ו/או איומים ו/או כל עבירה על </w:t>
      </w:r>
      <w:hyperlink r:id="rId10" w:history="1">
        <w:r w:rsidR="007761D6" w:rsidRPr="007761D6">
          <w:rPr>
            <w:color w:val="0000FF"/>
            <w:u w:val="single"/>
            <w:rtl/>
          </w:rPr>
          <w:t>פקודת הסמים המסוכנים</w:t>
        </w:r>
      </w:hyperlink>
      <w:r>
        <w:rPr>
          <w:rFonts w:hint="cs"/>
          <w:rtl/>
        </w:rPr>
        <w:t xml:space="preserve"> ו/או הפרעה לשוטר במילוי תפקידו ו/או הסגת גבול. </w:t>
      </w:r>
    </w:p>
    <w:p w14:paraId="456E3A65" w14:textId="77777777" w:rsidR="006C11EF" w:rsidRPr="00692968" w:rsidRDefault="006C11EF" w:rsidP="006C11EF">
      <w:pPr>
        <w:spacing w:line="360" w:lineRule="auto"/>
        <w:ind w:left="720" w:hanging="720"/>
        <w:jc w:val="both"/>
        <w:rPr>
          <w:rtl/>
        </w:rPr>
      </w:pPr>
    </w:p>
    <w:p w14:paraId="30C30EDE" w14:textId="77777777" w:rsidR="006C11EF" w:rsidRDefault="006C11EF" w:rsidP="006C11EF">
      <w:pPr>
        <w:spacing w:line="360" w:lineRule="auto"/>
        <w:ind w:left="720" w:hanging="720"/>
        <w:jc w:val="both"/>
        <w:rPr>
          <w:rtl/>
        </w:rPr>
      </w:pPr>
      <w:r>
        <w:rPr>
          <w:rFonts w:hint="cs"/>
          <w:rtl/>
        </w:rPr>
        <w:t>ג</w:t>
      </w:r>
      <w:r w:rsidRPr="009A64AF">
        <w:rPr>
          <w:rFonts w:hint="cs"/>
          <w:rtl/>
        </w:rPr>
        <w:t>)</w:t>
      </w:r>
      <w:r w:rsidRPr="009A64AF">
        <w:rPr>
          <w:rFonts w:hint="cs"/>
          <w:rtl/>
        </w:rPr>
        <w:tab/>
        <w:t>פיצוי בסך</w:t>
      </w:r>
      <w:r>
        <w:rPr>
          <w:rFonts w:hint="cs"/>
          <w:rtl/>
        </w:rPr>
        <w:t xml:space="preserve"> כולל של </w:t>
      </w:r>
      <w:r w:rsidRPr="009A64AF">
        <w:rPr>
          <w:rFonts w:hint="cs"/>
          <w:rtl/>
        </w:rPr>
        <w:t xml:space="preserve"> </w:t>
      </w:r>
      <w:r>
        <w:rPr>
          <w:rFonts w:hint="cs"/>
          <w:rtl/>
        </w:rPr>
        <w:t xml:space="preserve">1,000 ₪ שישולם  כפי שיפורט להלן </w:t>
      </w:r>
      <w:r>
        <w:rPr>
          <w:rtl/>
        </w:rPr>
        <w:t>–</w:t>
      </w:r>
      <w:r>
        <w:rPr>
          <w:rFonts w:hint="cs"/>
          <w:rtl/>
        </w:rPr>
        <w:t xml:space="preserve"> ב-ת.פ 2901-05-11 לעדי תביעה 2,3 (כל אחד 250 ש"ח), וב-</w:t>
      </w:r>
      <w:hyperlink r:id="rId11" w:history="1">
        <w:r w:rsidR="007761D6" w:rsidRPr="007761D6">
          <w:rPr>
            <w:color w:val="0000FF"/>
            <w:u w:val="single"/>
            <w:rtl/>
          </w:rPr>
          <w:t>ת.פ 30896-05-11</w:t>
        </w:r>
      </w:hyperlink>
      <w:r>
        <w:rPr>
          <w:rFonts w:hint="cs"/>
          <w:rtl/>
        </w:rPr>
        <w:t xml:space="preserve"> סך של 500 ש"ח לעדת תביעה 1. </w:t>
      </w:r>
    </w:p>
    <w:p w14:paraId="461E3875" w14:textId="77777777" w:rsidR="006C11EF" w:rsidRPr="009A64AF" w:rsidRDefault="006C11EF" w:rsidP="006C11EF">
      <w:pPr>
        <w:spacing w:line="360" w:lineRule="auto"/>
        <w:ind w:left="720"/>
        <w:jc w:val="both"/>
        <w:rPr>
          <w:rtl/>
        </w:rPr>
      </w:pPr>
      <w:r>
        <w:rPr>
          <w:rFonts w:hint="cs"/>
          <w:rtl/>
        </w:rPr>
        <w:t xml:space="preserve">הנאשם יפקיד את הפיצוי בסך של  1,000 ש"ח בקופת בית המשפט עד ליום 1/2/18, והוא יועבר על ידי המזכירות כמפורט לעיל. </w:t>
      </w:r>
    </w:p>
    <w:p w14:paraId="1068CA3B" w14:textId="77777777" w:rsidR="006C11EF" w:rsidRPr="009A64AF" w:rsidRDefault="006C11EF" w:rsidP="006C11EF">
      <w:pPr>
        <w:pStyle w:val="a9"/>
        <w:spacing w:line="360" w:lineRule="auto"/>
        <w:ind w:left="0"/>
        <w:jc w:val="both"/>
      </w:pPr>
    </w:p>
    <w:p w14:paraId="1F22F83A" w14:textId="77777777" w:rsidR="006C11EF" w:rsidRDefault="006C11EF" w:rsidP="006C11EF">
      <w:pPr>
        <w:spacing w:line="360" w:lineRule="auto"/>
        <w:jc w:val="both"/>
        <w:rPr>
          <w:b/>
          <w:bCs/>
          <w:rtl/>
        </w:rPr>
      </w:pPr>
      <w:r>
        <w:rPr>
          <w:rFonts w:hint="cs"/>
          <w:b/>
          <w:bCs/>
          <w:rtl/>
        </w:rPr>
        <w:t>הנאשם יפנה למזכירות בית-המשפט לקבלת שוברים לתשלום הפיצוי.</w:t>
      </w:r>
    </w:p>
    <w:p w14:paraId="1B9984CA" w14:textId="77777777" w:rsidR="006C11EF" w:rsidRDefault="006C11EF" w:rsidP="006C11EF">
      <w:pPr>
        <w:spacing w:line="360" w:lineRule="auto"/>
        <w:jc w:val="both"/>
        <w:rPr>
          <w:b/>
          <w:bCs/>
          <w:rtl/>
        </w:rPr>
      </w:pPr>
    </w:p>
    <w:p w14:paraId="6B880A4E" w14:textId="77777777" w:rsidR="006C11EF" w:rsidRDefault="006C11EF" w:rsidP="006C11EF">
      <w:pPr>
        <w:spacing w:line="360" w:lineRule="auto"/>
        <w:jc w:val="both"/>
        <w:rPr>
          <w:b/>
          <w:bCs/>
          <w:rtl/>
        </w:rPr>
      </w:pPr>
      <w:r>
        <w:rPr>
          <w:rFonts w:hint="cs"/>
          <w:b/>
          <w:bCs/>
          <w:rtl/>
        </w:rPr>
        <w:t>אני מורה על השמדת הסמים.</w:t>
      </w:r>
    </w:p>
    <w:p w14:paraId="5D0032C4" w14:textId="77777777" w:rsidR="006C11EF" w:rsidRPr="00B55FA9" w:rsidRDefault="006C11EF" w:rsidP="006C11EF">
      <w:pPr>
        <w:spacing w:line="360" w:lineRule="auto"/>
        <w:jc w:val="both"/>
        <w:rPr>
          <w:b/>
          <w:bCs/>
          <w:rtl/>
        </w:rPr>
      </w:pPr>
    </w:p>
    <w:p w14:paraId="6BA880B6" w14:textId="77777777" w:rsidR="006C11EF" w:rsidRDefault="006C11EF" w:rsidP="006C11EF">
      <w:pPr>
        <w:spacing w:line="360" w:lineRule="auto"/>
        <w:jc w:val="both"/>
        <w:rPr>
          <w:b/>
          <w:bCs/>
          <w:u w:val="single"/>
        </w:rPr>
      </w:pPr>
      <w:r>
        <w:rPr>
          <w:rFonts w:hint="cs"/>
          <w:b/>
          <w:bCs/>
          <w:u w:val="single"/>
          <w:rtl/>
        </w:rPr>
        <w:t>זכות ערעור לבית המשפט מחוזי מרכז – לוד תוך 45 ימים מהיום.</w:t>
      </w:r>
    </w:p>
    <w:p w14:paraId="3A5EBB75" w14:textId="77777777" w:rsidR="006C11EF" w:rsidRDefault="006C11EF" w:rsidP="006C11EF">
      <w:pPr>
        <w:spacing w:line="360" w:lineRule="auto"/>
        <w:jc w:val="both"/>
        <w:rPr>
          <w:sz w:val="6"/>
          <w:szCs w:val="6"/>
          <w:rtl/>
        </w:rPr>
      </w:pPr>
      <w:r>
        <w:rPr>
          <w:rtl/>
        </w:rPr>
        <w:t xml:space="preserve"> </w:t>
      </w:r>
      <w:r>
        <w:rPr>
          <w:sz w:val="6"/>
          <w:szCs w:val="6"/>
          <w:rtl/>
        </w:rPr>
        <w:t>&lt;#4#&gt;</w:t>
      </w:r>
    </w:p>
    <w:p w14:paraId="5F4A3C5D" w14:textId="77777777" w:rsidR="006C11EF" w:rsidRDefault="006C11EF" w:rsidP="006C11EF">
      <w:pPr>
        <w:rPr>
          <w:rtl/>
        </w:rPr>
      </w:pPr>
    </w:p>
    <w:p w14:paraId="3DFA92DA" w14:textId="77777777" w:rsidR="006C11EF" w:rsidRDefault="006C11EF" w:rsidP="006C11EF">
      <w:pPr>
        <w:spacing w:line="360" w:lineRule="auto"/>
        <w:rPr>
          <w:rtl/>
        </w:rPr>
      </w:pPr>
      <w:r>
        <w:rPr>
          <w:rFonts w:hint="cs"/>
          <w:b/>
          <w:bCs/>
          <w:rtl/>
        </w:rPr>
        <w:t xml:space="preserve">ניתן והודע היום </w:t>
      </w:r>
      <w:r>
        <w:rPr>
          <w:b/>
          <w:bCs/>
          <w:rtl/>
        </w:rPr>
        <w:t>ז' שבט תשע"ח</w:t>
      </w:r>
      <w:r>
        <w:rPr>
          <w:rFonts w:hint="cs"/>
          <w:b/>
          <w:bCs/>
          <w:rtl/>
        </w:rPr>
        <w:t xml:space="preserve">, </w:t>
      </w:r>
      <w:r>
        <w:rPr>
          <w:b/>
          <w:bCs/>
        </w:rPr>
        <w:t>23/01/2018</w:t>
      </w:r>
      <w:r>
        <w:rPr>
          <w:rFonts w:hint="cs"/>
          <w:b/>
          <w:bCs/>
          <w:rtl/>
        </w:rPr>
        <w:t xml:space="preserve"> במעמד הנוכחים.</w:t>
      </w:r>
    </w:p>
    <w:p w14:paraId="50E09195" w14:textId="77777777" w:rsidR="006C11EF" w:rsidRDefault="006C11EF" w:rsidP="006C11EF">
      <w:pPr>
        <w:rPr>
          <w:rtl/>
        </w:rPr>
      </w:pPr>
    </w:p>
    <w:p w14:paraId="523DD98B" w14:textId="77777777" w:rsidR="006C11EF" w:rsidRDefault="006C11EF" w:rsidP="006C11EF">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B0780" w14:paraId="20324E98" w14:textId="77777777" w:rsidTr="006C11EF">
        <w:trPr>
          <w:trHeight w:val="316"/>
          <w:jc w:val="right"/>
        </w:trPr>
        <w:tc>
          <w:tcPr>
            <w:tcW w:w="3936" w:type="dxa"/>
            <w:shd w:val="clear" w:color="auto" w:fill="auto"/>
            <w:vAlign w:val="bottom"/>
          </w:tcPr>
          <w:p w14:paraId="29CF9039" w14:textId="77777777" w:rsidR="006C11EF" w:rsidRDefault="006C11EF" w:rsidP="006C11EF">
            <w:pPr>
              <w:jc w:val="center"/>
            </w:pPr>
            <w:r>
              <w:rPr>
                <w:rtl/>
              </w:rPr>
              <w:t xml:space="preserve">     </w:t>
            </w:r>
          </w:p>
          <w:p w14:paraId="1ADCB5AC" w14:textId="77777777" w:rsidR="006C11EF" w:rsidRDefault="006C11EF" w:rsidP="006C11EF">
            <w:pPr>
              <w:jc w:val="center"/>
              <w:rPr>
                <w:rtl/>
              </w:rPr>
            </w:pPr>
          </w:p>
        </w:tc>
      </w:tr>
      <w:tr w:rsidR="00FB0780" w14:paraId="5A66D560" w14:textId="77777777" w:rsidTr="006C11EF">
        <w:trPr>
          <w:trHeight w:val="361"/>
          <w:jc w:val="right"/>
        </w:trPr>
        <w:tc>
          <w:tcPr>
            <w:tcW w:w="3936" w:type="dxa"/>
            <w:shd w:val="clear" w:color="auto" w:fill="auto"/>
          </w:tcPr>
          <w:p w14:paraId="44FDDF28" w14:textId="77777777" w:rsidR="006C11EF" w:rsidRPr="006C11EF" w:rsidRDefault="006C11EF" w:rsidP="006C11EF">
            <w:pPr>
              <w:jc w:val="center"/>
              <w:rPr>
                <w:b/>
                <w:bCs/>
                <w:rtl/>
              </w:rPr>
            </w:pPr>
            <w:r w:rsidRPr="006C11EF">
              <w:rPr>
                <w:b/>
                <w:bCs/>
                <w:rtl/>
              </w:rPr>
              <w:t>שירלי</w:t>
            </w:r>
            <w:r w:rsidRPr="006C11EF">
              <w:rPr>
                <w:rFonts w:hint="cs"/>
                <w:b/>
                <w:bCs/>
                <w:rtl/>
              </w:rPr>
              <w:t xml:space="preserve"> </w:t>
            </w:r>
            <w:r w:rsidRPr="006C11EF">
              <w:rPr>
                <w:b/>
                <w:bCs/>
                <w:rtl/>
              </w:rPr>
              <w:t>דקל נוה</w:t>
            </w:r>
            <w:r w:rsidRPr="006C11EF">
              <w:rPr>
                <w:rFonts w:hint="cs"/>
                <w:b/>
                <w:bCs/>
                <w:rtl/>
              </w:rPr>
              <w:t xml:space="preserve">, </w:t>
            </w:r>
            <w:r w:rsidRPr="006C11EF">
              <w:rPr>
                <w:b/>
                <w:bCs/>
                <w:rtl/>
              </w:rPr>
              <w:t>שופטת בכירה</w:t>
            </w:r>
          </w:p>
        </w:tc>
      </w:tr>
    </w:tbl>
    <w:p w14:paraId="3614A788" w14:textId="77777777" w:rsidR="006C11EF" w:rsidRDefault="006C11EF" w:rsidP="006C11EF">
      <w:pPr>
        <w:rPr>
          <w:rtl/>
        </w:rPr>
      </w:pPr>
    </w:p>
    <w:p w14:paraId="516BD636" w14:textId="77777777" w:rsidR="006C11EF" w:rsidRPr="00642E18" w:rsidRDefault="006C11EF" w:rsidP="006C11EF">
      <w:pPr>
        <w:spacing w:line="360" w:lineRule="auto"/>
        <w:rPr>
          <w:b/>
          <w:bCs/>
          <w:u w:val="double"/>
          <w:rtl/>
        </w:rPr>
      </w:pPr>
      <w:r w:rsidRPr="00642E18">
        <w:rPr>
          <w:rFonts w:hint="cs"/>
          <w:b/>
          <w:bCs/>
          <w:u w:val="double"/>
          <w:rtl/>
        </w:rPr>
        <w:t>ב"כ הנאשם:</w:t>
      </w:r>
    </w:p>
    <w:p w14:paraId="3105AC3C" w14:textId="77777777" w:rsidR="006C11EF" w:rsidRDefault="006C11EF" w:rsidP="006C11EF">
      <w:pPr>
        <w:spacing w:line="360" w:lineRule="auto"/>
        <w:rPr>
          <w:rtl/>
        </w:rPr>
      </w:pPr>
      <w:r>
        <w:rPr>
          <w:rFonts w:hint="cs"/>
          <w:rtl/>
        </w:rPr>
        <w:t xml:space="preserve">אבקש להשיב את הכספים שהופקדו במסגרת צווי ההבאה וכן בהסכמה לדחות את תחילת הריצוי  ל </w:t>
      </w:r>
      <w:r>
        <w:rPr>
          <w:rtl/>
        </w:rPr>
        <w:t>–</w:t>
      </w:r>
      <w:r>
        <w:rPr>
          <w:rFonts w:hint="cs"/>
          <w:rtl/>
        </w:rPr>
        <w:t xml:space="preserve"> 1.3.2018. הנאשם מצהיר כי אין לו דרכון.</w:t>
      </w:r>
    </w:p>
    <w:p w14:paraId="41AD52BD" w14:textId="77777777" w:rsidR="006C11EF" w:rsidRDefault="006C11EF" w:rsidP="006C11EF">
      <w:pPr>
        <w:spacing w:line="360" w:lineRule="auto"/>
        <w:rPr>
          <w:rtl/>
        </w:rPr>
      </w:pPr>
    </w:p>
    <w:p w14:paraId="314BE771" w14:textId="77777777" w:rsidR="006C11EF" w:rsidRPr="00AF4269" w:rsidRDefault="006C11EF" w:rsidP="006C11EF">
      <w:pPr>
        <w:spacing w:line="360" w:lineRule="auto"/>
        <w:rPr>
          <w:b/>
          <w:bCs/>
          <w:u w:val="single"/>
          <w:rtl/>
        </w:rPr>
      </w:pPr>
      <w:r w:rsidRPr="00AF4269">
        <w:rPr>
          <w:rFonts w:hint="cs"/>
          <w:b/>
          <w:bCs/>
          <w:u w:val="single"/>
          <w:rtl/>
        </w:rPr>
        <w:t>ב"כ המאשימה:</w:t>
      </w:r>
    </w:p>
    <w:p w14:paraId="47FA982B" w14:textId="77777777" w:rsidR="006C11EF" w:rsidRDefault="006C11EF" w:rsidP="006C11EF">
      <w:pPr>
        <w:spacing w:line="360" w:lineRule="auto"/>
        <w:rPr>
          <w:rtl/>
        </w:rPr>
      </w:pPr>
      <w:r>
        <w:rPr>
          <w:rFonts w:hint="cs"/>
          <w:rtl/>
        </w:rPr>
        <w:t>אסכים בתנאים של צו עיכוב יציאה מן הארץ.</w:t>
      </w:r>
    </w:p>
    <w:p w14:paraId="73AC7359" w14:textId="77777777" w:rsidR="006C11EF" w:rsidRDefault="006C11EF" w:rsidP="006C11EF">
      <w:pPr>
        <w:spacing w:line="360" w:lineRule="auto"/>
        <w:rPr>
          <w:rtl/>
        </w:rPr>
      </w:pPr>
    </w:p>
    <w:p w14:paraId="39D21358" w14:textId="77777777" w:rsidR="006C11EF" w:rsidRDefault="006C11EF" w:rsidP="006C11EF">
      <w:pPr>
        <w:spacing w:line="360" w:lineRule="auto"/>
        <w:rPr>
          <w:sz w:val="6"/>
          <w:szCs w:val="6"/>
          <w:rtl/>
        </w:rPr>
      </w:pPr>
      <w:r>
        <w:rPr>
          <w:sz w:val="6"/>
          <w:szCs w:val="6"/>
          <w:rtl/>
        </w:rPr>
        <w:t>&lt;#5#&gt;</w:t>
      </w:r>
    </w:p>
    <w:p w14:paraId="4B3CF41B" w14:textId="77777777" w:rsidR="006C11EF" w:rsidRDefault="006C11EF" w:rsidP="006C11EF">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C6D812D" w14:textId="77777777" w:rsidR="006C11EF" w:rsidRDefault="006C11EF" w:rsidP="006C11EF">
      <w:pPr>
        <w:spacing w:line="360" w:lineRule="auto"/>
        <w:jc w:val="both"/>
        <w:rPr>
          <w:rtl/>
        </w:rPr>
      </w:pPr>
    </w:p>
    <w:p w14:paraId="1001A598" w14:textId="77777777" w:rsidR="006C11EF" w:rsidRDefault="006C11EF" w:rsidP="006C11EF">
      <w:pPr>
        <w:spacing w:line="360" w:lineRule="auto"/>
        <w:jc w:val="center"/>
        <w:rPr>
          <w:rtl/>
        </w:rPr>
      </w:pPr>
    </w:p>
    <w:p w14:paraId="2A3A70A4" w14:textId="77777777" w:rsidR="006C11EF" w:rsidRDefault="006C11EF" w:rsidP="006C11EF">
      <w:pPr>
        <w:spacing w:line="360" w:lineRule="auto"/>
        <w:jc w:val="both"/>
        <w:rPr>
          <w:rtl/>
        </w:rPr>
      </w:pPr>
      <w:r>
        <w:rPr>
          <w:rFonts w:hint="cs"/>
          <w:rtl/>
        </w:rPr>
        <w:t xml:space="preserve">לבקשת הנאשם, </w:t>
      </w:r>
      <w:r w:rsidRPr="005C2A1F">
        <w:rPr>
          <w:rFonts w:hint="eastAsia"/>
          <w:rtl/>
        </w:rPr>
        <w:t>אני</w:t>
      </w:r>
      <w:r w:rsidRPr="005C2A1F">
        <w:rPr>
          <w:rtl/>
        </w:rPr>
        <w:t xml:space="preserve"> </w:t>
      </w:r>
      <w:r w:rsidRPr="005C2A1F">
        <w:rPr>
          <w:rFonts w:hint="eastAsia"/>
          <w:rtl/>
        </w:rPr>
        <w:t>מעכבת</w:t>
      </w:r>
      <w:r w:rsidRPr="005C2A1F">
        <w:rPr>
          <w:rtl/>
        </w:rPr>
        <w:t xml:space="preserve"> </w:t>
      </w:r>
      <w:r w:rsidRPr="005C2A1F">
        <w:rPr>
          <w:rFonts w:hint="eastAsia"/>
          <w:rtl/>
        </w:rPr>
        <w:t>את</w:t>
      </w:r>
      <w:r w:rsidRPr="005C2A1F">
        <w:rPr>
          <w:rtl/>
        </w:rPr>
        <w:t xml:space="preserve"> </w:t>
      </w:r>
      <w:r w:rsidRPr="005C2A1F">
        <w:rPr>
          <w:rFonts w:hint="eastAsia"/>
          <w:rtl/>
        </w:rPr>
        <w:t>ריצוי</w:t>
      </w:r>
      <w:r w:rsidRPr="005C2A1F">
        <w:rPr>
          <w:rtl/>
        </w:rPr>
        <w:t xml:space="preserve"> </w:t>
      </w:r>
      <w:r w:rsidRPr="005C2A1F">
        <w:rPr>
          <w:rFonts w:hint="eastAsia"/>
          <w:rtl/>
        </w:rPr>
        <w:t>המאסר</w:t>
      </w:r>
      <w:r w:rsidRPr="005C2A1F">
        <w:rPr>
          <w:rtl/>
        </w:rPr>
        <w:t xml:space="preserve"> </w:t>
      </w:r>
      <w:r w:rsidRPr="005C2A1F">
        <w:rPr>
          <w:rFonts w:hint="eastAsia"/>
          <w:rtl/>
        </w:rPr>
        <w:t>בפועל</w:t>
      </w:r>
      <w:r w:rsidRPr="005C2A1F">
        <w:rPr>
          <w:rtl/>
        </w:rPr>
        <w:t xml:space="preserve"> </w:t>
      </w:r>
      <w:r w:rsidRPr="005C2A1F">
        <w:rPr>
          <w:rFonts w:hint="eastAsia"/>
          <w:rtl/>
        </w:rPr>
        <w:t>עד</w:t>
      </w:r>
      <w:r w:rsidRPr="005C2A1F">
        <w:rPr>
          <w:rtl/>
        </w:rPr>
        <w:t xml:space="preserve"> </w:t>
      </w:r>
      <w:r w:rsidRPr="005C2A1F">
        <w:rPr>
          <w:rFonts w:hint="eastAsia"/>
          <w:rtl/>
        </w:rPr>
        <w:t>יום</w:t>
      </w:r>
      <w:r w:rsidRPr="005C2A1F">
        <w:rPr>
          <w:rtl/>
        </w:rPr>
        <w:t xml:space="preserve"> </w:t>
      </w:r>
      <w:r>
        <w:rPr>
          <w:rFonts w:hint="cs"/>
          <w:rtl/>
        </w:rPr>
        <w:t xml:space="preserve">01.03.2018. </w:t>
      </w:r>
    </w:p>
    <w:p w14:paraId="1F0014CD" w14:textId="77777777" w:rsidR="006C11EF" w:rsidRDefault="006C11EF" w:rsidP="006C11EF">
      <w:pPr>
        <w:spacing w:line="360" w:lineRule="auto"/>
        <w:jc w:val="both"/>
        <w:rPr>
          <w:rtl/>
        </w:rPr>
      </w:pPr>
    </w:p>
    <w:p w14:paraId="612AD26A" w14:textId="77777777" w:rsidR="006C11EF" w:rsidRPr="005C2A1F" w:rsidRDefault="006C11EF" w:rsidP="006C11EF">
      <w:pPr>
        <w:spacing w:line="360" w:lineRule="auto"/>
        <w:jc w:val="both"/>
        <w:rPr>
          <w:rtl/>
        </w:rPr>
      </w:pPr>
      <w:r>
        <w:rPr>
          <w:rFonts w:hint="cs"/>
          <w:rtl/>
        </w:rPr>
        <w:t>במועד הנ"ל על הנאשם לה</w:t>
      </w:r>
      <w:r w:rsidRPr="005C2A1F">
        <w:rPr>
          <w:rFonts w:hint="eastAsia"/>
          <w:rtl/>
        </w:rPr>
        <w:t>תייצב</w:t>
      </w:r>
      <w:r w:rsidRPr="005C2A1F">
        <w:rPr>
          <w:rtl/>
        </w:rPr>
        <w:t xml:space="preserve"> </w:t>
      </w:r>
      <w:r w:rsidRPr="005C2A1F">
        <w:rPr>
          <w:rFonts w:hint="eastAsia"/>
          <w:rtl/>
        </w:rPr>
        <w:t>בבית</w:t>
      </w:r>
      <w:r w:rsidRPr="005C2A1F">
        <w:rPr>
          <w:rtl/>
        </w:rPr>
        <w:t xml:space="preserve"> </w:t>
      </w:r>
      <w:r w:rsidRPr="005C2A1F">
        <w:rPr>
          <w:rFonts w:hint="eastAsia"/>
          <w:rtl/>
        </w:rPr>
        <w:t>מעצר</w:t>
      </w:r>
      <w:r w:rsidRPr="005C2A1F">
        <w:rPr>
          <w:rtl/>
        </w:rPr>
        <w:t xml:space="preserve"> </w:t>
      </w:r>
      <w:r w:rsidRPr="005C2A1F">
        <w:rPr>
          <w:rFonts w:hint="eastAsia"/>
          <w:rtl/>
        </w:rPr>
        <w:t>הדרים</w:t>
      </w:r>
      <w:r w:rsidRPr="005C2A1F">
        <w:rPr>
          <w:rtl/>
        </w:rPr>
        <w:t xml:space="preserve"> </w:t>
      </w:r>
      <w:r w:rsidRPr="005C2A1F">
        <w:rPr>
          <w:rFonts w:hint="eastAsia"/>
          <w:rtl/>
        </w:rPr>
        <w:t>עד</w:t>
      </w:r>
      <w:r w:rsidRPr="005C2A1F">
        <w:rPr>
          <w:rtl/>
        </w:rPr>
        <w:t xml:space="preserve"> </w:t>
      </w:r>
      <w:r w:rsidRPr="005C2A1F">
        <w:rPr>
          <w:rFonts w:hint="eastAsia"/>
          <w:rtl/>
        </w:rPr>
        <w:t>השעה</w:t>
      </w:r>
      <w:r w:rsidRPr="005C2A1F">
        <w:rPr>
          <w:rtl/>
        </w:rPr>
        <w:t xml:space="preserve"> 10:00 </w:t>
      </w:r>
      <w:r w:rsidRPr="005C2A1F">
        <w:rPr>
          <w:rFonts w:hint="eastAsia"/>
          <w:rtl/>
        </w:rPr>
        <w:t>או</w:t>
      </w:r>
      <w:r w:rsidRPr="005C2A1F">
        <w:rPr>
          <w:rtl/>
        </w:rPr>
        <w:t xml:space="preserve"> </w:t>
      </w:r>
      <w:r w:rsidRPr="005C2A1F">
        <w:rPr>
          <w:rFonts w:hint="eastAsia"/>
          <w:rtl/>
        </w:rPr>
        <w:t>על</w:t>
      </w:r>
      <w:r w:rsidRPr="005C2A1F">
        <w:rPr>
          <w:rtl/>
        </w:rPr>
        <w:t xml:space="preserve"> </w:t>
      </w:r>
      <w:r w:rsidRPr="005C2A1F">
        <w:rPr>
          <w:rFonts w:hint="eastAsia"/>
          <w:rtl/>
        </w:rPr>
        <w:t>פי</w:t>
      </w:r>
      <w:r w:rsidRPr="005C2A1F">
        <w:rPr>
          <w:rtl/>
        </w:rPr>
        <w:t xml:space="preserve"> </w:t>
      </w:r>
      <w:r w:rsidRPr="005C2A1F">
        <w:rPr>
          <w:rFonts w:hint="eastAsia"/>
          <w:rtl/>
        </w:rPr>
        <w:t>החלטת</w:t>
      </w:r>
      <w:r w:rsidRPr="005C2A1F">
        <w:rPr>
          <w:rtl/>
        </w:rPr>
        <w:t xml:space="preserve"> </w:t>
      </w:r>
      <w:r w:rsidRPr="005C2A1F">
        <w:rPr>
          <w:rFonts w:hint="eastAsia"/>
          <w:rtl/>
        </w:rPr>
        <w:t>שב</w:t>
      </w:r>
      <w:r w:rsidRPr="005C2A1F">
        <w:rPr>
          <w:rtl/>
        </w:rPr>
        <w:t>"</w:t>
      </w:r>
      <w:r w:rsidRPr="005C2A1F">
        <w:rPr>
          <w:rFonts w:hint="eastAsia"/>
          <w:rtl/>
        </w:rPr>
        <w:t>ס</w:t>
      </w:r>
      <w:r w:rsidRPr="005C2A1F">
        <w:rPr>
          <w:rtl/>
        </w:rPr>
        <w:t xml:space="preserve">, </w:t>
      </w:r>
      <w:r w:rsidRPr="005C2A1F">
        <w:rPr>
          <w:rFonts w:hint="eastAsia"/>
          <w:rtl/>
        </w:rPr>
        <w:t>כשברשותו</w:t>
      </w:r>
      <w:r w:rsidRPr="005C2A1F">
        <w:rPr>
          <w:rtl/>
        </w:rPr>
        <w:t xml:space="preserve"> </w:t>
      </w:r>
      <w:r w:rsidRPr="005C2A1F">
        <w:rPr>
          <w:rFonts w:hint="eastAsia"/>
          <w:rtl/>
        </w:rPr>
        <w:t>תעודת</w:t>
      </w:r>
      <w:r w:rsidRPr="005C2A1F">
        <w:rPr>
          <w:rtl/>
        </w:rPr>
        <w:t xml:space="preserve"> </w:t>
      </w:r>
      <w:r w:rsidRPr="005C2A1F">
        <w:rPr>
          <w:rFonts w:hint="eastAsia"/>
          <w:rtl/>
        </w:rPr>
        <w:t>זהות</w:t>
      </w:r>
      <w:r w:rsidRPr="005C2A1F">
        <w:rPr>
          <w:rtl/>
        </w:rPr>
        <w:t xml:space="preserve"> </w:t>
      </w:r>
      <w:r w:rsidRPr="005C2A1F">
        <w:rPr>
          <w:rFonts w:hint="eastAsia"/>
          <w:rtl/>
        </w:rPr>
        <w:t>או</w:t>
      </w:r>
      <w:r w:rsidRPr="005C2A1F">
        <w:rPr>
          <w:rtl/>
        </w:rPr>
        <w:t xml:space="preserve"> </w:t>
      </w:r>
      <w:r w:rsidRPr="005C2A1F">
        <w:rPr>
          <w:rFonts w:hint="eastAsia"/>
          <w:rtl/>
        </w:rPr>
        <w:t>דרכון</w:t>
      </w:r>
      <w:r w:rsidRPr="005C2A1F">
        <w:rPr>
          <w:rtl/>
        </w:rPr>
        <w:t xml:space="preserve">. </w:t>
      </w:r>
    </w:p>
    <w:p w14:paraId="42D71376" w14:textId="77777777" w:rsidR="006C11EF" w:rsidRDefault="006C11EF" w:rsidP="006C11EF">
      <w:pPr>
        <w:spacing w:line="360" w:lineRule="auto"/>
        <w:jc w:val="both"/>
        <w:rPr>
          <w:rtl/>
        </w:rPr>
      </w:pPr>
      <w:r w:rsidRPr="005C2A1F">
        <w:rPr>
          <w:rFonts w:hint="eastAsia"/>
          <w:rtl/>
        </w:rPr>
        <w:t>על</w:t>
      </w:r>
      <w:r w:rsidRPr="005C2A1F">
        <w:rPr>
          <w:rtl/>
        </w:rPr>
        <w:t xml:space="preserve"> </w:t>
      </w:r>
      <w:r w:rsidRPr="005C2A1F">
        <w:rPr>
          <w:rFonts w:hint="eastAsia"/>
          <w:rtl/>
        </w:rPr>
        <w:t>הנאשם</w:t>
      </w:r>
      <w:r w:rsidRPr="005C2A1F">
        <w:rPr>
          <w:rtl/>
        </w:rPr>
        <w:t xml:space="preserve"> </w:t>
      </w:r>
      <w:r w:rsidRPr="005C2A1F">
        <w:rPr>
          <w:rFonts w:hint="eastAsia"/>
          <w:rtl/>
        </w:rPr>
        <w:t>לתאם</w:t>
      </w:r>
      <w:r w:rsidRPr="005C2A1F">
        <w:rPr>
          <w:rtl/>
        </w:rPr>
        <w:t xml:space="preserve"> </w:t>
      </w:r>
      <w:r w:rsidRPr="005C2A1F">
        <w:rPr>
          <w:rFonts w:hint="eastAsia"/>
          <w:rtl/>
        </w:rPr>
        <w:t>את</w:t>
      </w:r>
      <w:r w:rsidRPr="005C2A1F">
        <w:rPr>
          <w:rtl/>
        </w:rPr>
        <w:t xml:space="preserve"> </w:t>
      </w:r>
      <w:r w:rsidRPr="005C2A1F">
        <w:rPr>
          <w:rFonts w:hint="eastAsia"/>
          <w:rtl/>
        </w:rPr>
        <w:t>הכניסה</w:t>
      </w:r>
      <w:r w:rsidRPr="005C2A1F">
        <w:rPr>
          <w:rtl/>
        </w:rPr>
        <w:t xml:space="preserve"> </w:t>
      </w:r>
      <w:r w:rsidRPr="005C2A1F">
        <w:rPr>
          <w:rFonts w:hint="eastAsia"/>
          <w:rtl/>
        </w:rPr>
        <w:t>למאסר</w:t>
      </w:r>
      <w:r w:rsidRPr="005C2A1F">
        <w:rPr>
          <w:rtl/>
        </w:rPr>
        <w:t xml:space="preserve">, </w:t>
      </w:r>
      <w:r w:rsidRPr="005C2A1F">
        <w:rPr>
          <w:rFonts w:hint="eastAsia"/>
          <w:rtl/>
        </w:rPr>
        <w:t>כולל</w:t>
      </w:r>
      <w:r w:rsidRPr="005C2A1F">
        <w:rPr>
          <w:rtl/>
        </w:rPr>
        <w:t xml:space="preserve"> </w:t>
      </w:r>
      <w:r w:rsidRPr="005C2A1F">
        <w:rPr>
          <w:rFonts w:hint="eastAsia"/>
          <w:rtl/>
        </w:rPr>
        <w:t>האפשרות</w:t>
      </w:r>
      <w:r w:rsidRPr="005C2A1F">
        <w:rPr>
          <w:rtl/>
        </w:rPr>
        <w:t xml:space="preserve"> </w:t>
      </w:r>
      <w:r w:rsidRPr="005C2A1F">
        <w:rPr>
          <w:rFonts w:hint="eastAsia"/>
          <w:rtl/>
        </w:rPr>
        <w:t>למיון</w:t>
      </w:r>
      <w:r w:rsidRPr="005C2A1F">
        <w:rPr>
          <w:rtl/>
        </w:rPr>
        <w:t xml:space="preserve"> </w:t>
      </w:r>
      <w:r w:rsidRPr="005C2A1F">
        <w:rPr>
          <w:rFonts w:hint="eastAsia"/>
          <w:rtl/>
        </w:rPr>
        <w:t>מוקדם</w:t>
      </w:r>
      <w:r w:rsidRPr="005C2A1F">
        <w:rPr>
          <w:rtl/>
        </w:rPr>
        <w:t xml:space="preserve">, </w:t>
      </w:r>
      <w:r w:rsidRPr="005C2A1F">
        <w:rPr>
          <w:rFonts w:hint="eastAsia"/>
          <w:rtl/>
        </w:rPr>
        <w:t>עם</w:t>
      </w:r>
      <w:r w:rsidRPr="005C2A1F">
        <w:rPr>
          <w:rtl/>
        </w:rPr>
        <w:t xml:space="preserve"> </w:t>
      </w:r>
      <w:r w:rsidRPr="005C2A1F">
        <w:rPr>
          <w:rFonts w:hint="eastAsia"/>
          <w:rtl/>
        </w:rPr>
        <w:t>ענף</w:t>
      </w:r>
      <w:r w:rsidRPr="005C2A1F">
        <w:rPr>
          <w:rtl/>
        </w:rPr>
        <w:t xml:space="preserve"> </w:t>
      </w:r>
      <w:r w:rsidRPr="005C2A1F">
        <w:rPr>
          <w:rFonts w:hint="eastAsia"/>
          <w:rtl/>
        </w:rPr>
        <w:t>אבחון</w:t>
      </w:r>
      <w:r w:rsidRPr="005C2A1F">
        <w:rPr>
          <w:rtl/>
        </w:rPr>
        <w:t xml:space="preserve"> </w:t>
      </w:r>
      <w:r w:rsidRPr="005C2A1F">
        <w:rPr>
          <w:rFonts w:hint="eastAsia"/>
          <w:rtl/>
        </w:rPr>
        <w:t>ומיון</w:t>
      </w:r>
      <w:r w:rsidRPr="005C2A1F">
        <w:rPr>
          <w:rtl/>
        </w:rPr>
        <w:t xml:space="preserve"> </w:t>
      </w:r>
      <w:r w:rsidRPr="005C2A1F">
        <w:rPr>
          <w:rFonts w:hint="eastAsia"/>
          <w:rtl/>
        </w:rPr>
        <w:t>של</w:t>
      </w:r>
      <w:r w:rsidRPr="005C2A1F">
        <w:rPr>
          <w:rtl/>
        </w:rPr>
        <w:t xml:space="preserve"> </w:t>
      </w:r>
      <w:r w:rsidRPr="005C2A1F">
        <w:rPr>
          <w:rFonts w:hint="eastAsia"/>
          <w:rtl/>
        </w:rPr>
        <w:t>שב</w:t>
      </w:r>
      <w:r w:rsidRPr="005C2A1F">
        <w:rPr>
          <w:rtl/>
        </w:rPr>
        <w:t>"</w:t>
      </w:r>
      <w:r w:rsidRPr="005C2A1F">
        <w:rPr>
          <w:rFonts w:hint="eastAsia"/>
          <w:rtl/>
        </w:rPr>
        <w:t>ס</w:t>
      </w:r>
      <w:r w:rsidRPr="005C2A1F">
        <w:rPr>
          <w:rtl/>
        </w:rPr>
        <w:t xml:space="preserve">, </w:t>
      </w:r>
      <w:r w:rsidRPr="005C2A1F">
        <w:rPr>
          <w:rFonts w:hint="eastAsia"/>
          <w:rtl/>
        </w:rPr>
        <w:t>טלפונים</w:t>
      </w:r>
      <w:r w:rsidRPr="005C2A1F">
        <w:rPr>
          <w:rtl/>
        </w:rPr>
        <w:t>: 08-9787336, 08-9787377.</w:t>
      </w:r>
    </w:p>
    <w:p w14:paraId="50125F5F" w14:textId="77777777" w:rsidR="006C11EF" w:rsidRDefault="006C11EF" w:rsidP="006C11EF">
      <w:pPr>
        <w:spacing w:line="360" w:lineRule="auto"/>
        <w:rPr>
          <w:rtl/>
        </w:rPr>
      </w:pPr>
    </w:p>
    <w:p w14:paraId="6BE1A09E" w14:textId="77777777" w:rsidR="006C11EF" w:rsidRDefault="006C11EF" w:rsidP="006C11EF">
      <w:pPr>
        <w:spacing w:line="360" w:lineRule="auto"/>
        <w:jc w:val="both"/>
        <w:rPr>
          <w:rtl/>
        </w:rPr>
      </w:pPr>
      <w:r>
        <w:rPr>
          <w:rFonts w:hint="cs"/>
          <w:rtl/>
        </w:rPr>
        <w:t>להבטחת התייצבות הנאשם לריצוי המאסר, ישמשו הכספים שהופקדו במסגרת צווי הבאה, ולאחר שיתקבל אישור על התייצבות הנאשם לריצוי המאסר הם יוחזרו למפקיד וזאת באין מניעה חוקית לרבות עיקולים.</w:t>
      </w:r>
    </w:p>
    <w:p w14:paraId="49DBB6D3" w14:textId="77777777" w:rsidR="006C11EF" w:rsidRDefault="006C11EF" w:rsidP="006C11EF">
      <w:pPr>
        <w:spacing w:line="360" w:lineRule="auto"/>
        <w:jc w:val="both"/>
      </w:pPr>
    </w:p>
    <w:p w14:paraId="0D018603" w14:textId="77777777" w:rsidR="006C11EF" w:rsidRDefault="006C11EF" w:rsidP="006C11EF">
      <w:pPr>
        <w:spacing w:line="360" w:lineRule="auto"/>
        <w:jc w:val="both"/>
        <w:rPr>
          <w:rtl/>
        </w:rPr>
      </w:pPr>
      <w:r>
        <w:rPr>
          <w:rtl/>
        </w:rPr>
        <w:t xml:space="preserve"> </w:t>
      </w:r>
      <w:r>
        <w:rPr>
          <w:rFonts w:hint="cs"/>
          <w:rtl/>
        </w:rPr>
        <w:t>כמו כן, ניתן בזאת צו עיכוב יציאה מן הארץ נגד הנאשם במשך שנה מהיום.</w:t>
      </w:r>
    </w:p>
    <w:p w14:paraId="0E7ECDE6" w14:textId="77777777" w:rsidR="006C11EF" w:rsidRDefault="006C11EF" w:rsidP="006C11EF">
      <w:pPr>
        <w:spacing w:line="360" w:lineRule="auto"/>
        <w:jc w:val="both"/>
        <w:rPr>
          <w:rtl/>
        </w:rPr>
      </w:pPr>
    </w:p>
    <w:p w14:paraId="31ADBBDC" w14:textId="77777777" w:rsidR="006C11EF" w:rsidRDefault="006C11EF" w:rsidP="006C11EF">
      <w:pPr>
        <w:spacing w:line="360" w:lineRule="auto"/>
        <w:jc w:val="both"/>
        <w:rPr>
          <w:rtl/>
        </w:rPr>
      </w:pPr>
      <w:r w:rsidRPr="00AF4269">
        <w:rPr>
          <w:rFonts w:hint="cs"/>
          <w:b/>
          <w:bCs/>
          <w:rtl/>
        </w:rPr>
        <w:t>המזכירות תשלח העתק ההחלטה למשטרת הגבולות</w:t>
      </w:r>
      <w:r>
        <w:rPr>
          <w:rFonts w:hint="cs"/>
          <w:rtl/>
        </w:rPr>
        <w:t>.</w:t>
      </w:r>
    </w:p>
    <w:p w14:paraId="710CAF73" w14:textId="77777777" w:rsidR="006C11EF" w:rsidRPr="00AF4269" w:rsidRDefault="006C11EF" w:rsidP="006C11EF">
      <w:pPr>
        <w:spacing w:line="360" w:lineRule="auto"/>
        <w:jc w:val="both"/>
        <w:rPr>
          <w:rtl/>
        </w:rPr>
      </w:pPr>
    </w:p>
    <w:p w14:paraId="0EB3C864" w14:textId="77777777" w:rsidR="006C11EF" w:rsidRDefault="006C11EF" w:rsidP="006C11EF">
      <w:pPr>
        <w:spacing w:line="360" w:lineRule="auto"/>
        <w:jc w:val="center"/>
        <w:rPr>
          <w:rtl/>
        </w:rPr>
      </w:pPr>
    </w:p>
    <w:p w14:paraId="221B5050" w14:textId="77777777" w:rsidR="006C11EF" w:rsidRDefault="006C11EF" w:rsidP="006C11EF">
      <w:pPr>
        <w:spacing w:line="360" w:lineRule="auto"/>
        <w:jc w:val="both"/>
        <w:rPr>
          <w:rtl/>
        </w:rPr>
      </w:pPr>
      <w:r>
        <w:rPr>
          <w:rtl/>
        </w:rPr>
        <w:t xml:space="preserve"> </w:t>
      </w:r>
    </w:p>
    <w:p w14:paraId="0CE4D872" w14:textId="77777777" w:rsidR="006C11EF" w:rsidRDefault="006C11EF" w:rsidP="006C11EF">
      <w:pPr>
        <w:spacing w:line="360" w:lineRule="auto"/>
        <w:jc w:val="both"/>
        <w:rPr>
          <w:sz w:val="6"/>
          <w:szCs w:val="6"/>
          <w:rtl/>
        </w:rPr>
      </w:pPr>
      <w:r>
        <w:rPr>
          <w:sz w:val="6"/>
          <w:szCs w:val="6"/>
          <w:rtl/>
        </w:rPr>
        <w:t>&lt;#6#&gt;</w:t>
      </w:r>
    </w:p>
    <w:p w14:paraId="4250368D" w14:textId="77777777" w:rsidR="006C11EF" w:rsidRDefault="006C11EF" w:rsidP="006C11EF">
      <w:pPr>
        <w:rPr>
          <w:rtl/>
        </w:rPr>
      </w:pPr>
    </w:p>
    <w:p w14:paraId="1A498E59" w14:textId="77777777" w:rsidR="006C11EF" w:rsidRDefault="007761D6" w:rsidP="006C11EF">
      <w:pPr>
        <w:rPr>
          <w:rtl/>
        </w:rPr>
      </w:pPr>
      <w:r w:rsidRPr="007761D6">
        <w:rPr>
          <w:b/>
          <w:bCs/>
          <w:color w:val="FFFFFF"/>
          <w:sz w:val="2"/>
          <w:szCs w:val="2"/>
          <w:rtl/>
        </w:rPr>
        <w:t>5129371</w:t>
      </w:r>
      <w:r>
        <w:rPr>
          <w:b/>
          <w:bCs/>
          <w:rtl/>
        </w:rPr>
        <w:t xml:space="preserve">ניתנה והודעה היום ז' שבט תשע"ח, 23/01/2018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B0780" w14:paraId="69C0EBEA" w14:textId="77777777" w:rsidTr="006C11EF">
        <w:trPr>
          <w:trHeight w:val="316"/>
          <w:jc w:val="right"/>
        </w:trPr>
        <w:tc>
          <w:tcPr>
            <w:tcW w:w="3936" w:type="dxa"/>
            <w:shd w:val="clear" w:color="auto" w:fill="auto"/>
            <w:vAlign w:val="bottom"/>
          </w:tcPr>
          <w:p w14:paraId="12E6BEFB" w14:textId="77777777" w:rsidR="006C11EF" w:rsidRPr="007761D6" w:rsidRDefault="007761D6" w:rsidP="006C11EF">
            <w:pPr>
              <w:jc w:val="center"/>
              <w:rPr>
                <w:color w:val="FFFFFF"/>
                <w:sz w:val="2"/>
                <w:szCs w:val="2"/>
              </w:rPr>
            </w:pPr>
            <w:r w:rsidRPr="007761D6">
              <w:rPr>
                <w:color w:val="FFFFFF"/>
                <w:sz w:val="2"/>
                <w:szCs w:val="2"/>
                <w:rtl/>
              </w:rPr>
              <w:t>54678313</w:t>
            </w:r>
            <w:r w:rsidR="006C11EF" w:rsidRPr="007761D6">
              <w:rPr>
                <w:color w:val="FFFFFF"/>
                <w:sz w:val="2"/>
                <w:szCs w:val="2"/>
                <w:rtl/>
              </w:rPr>
              <w:t xml:space="preserve">     </w:t>
            </w:r>
          </w:p>
          <w:p w14:paraId="39396412" w14:textId="77777777" w:rsidR="006C11EF" w:rsidRDefault="006C11EF" w:rsidP="006C11EF">
            <w:pPr>
              <w:jc w:val="center"/>
              <w:rPr>
                <w:rtl/>
              </w:rPr>
            </w:pPr>
          </w:p>
        </w:tc>
      </w:tr>
      <w:tr w:rsidR="00FB0780" w14:paraId="67A70932" w14:textId="77777777" w:rsidTr="006C11EF">
        <w:trPr>
          <w:trHeight w:val="361"/>
          <w:jc w:val="right"/>
        </w:trPr>
        <w:tc>
          <w:tcPr>
            <w:tcW w:w="3936" w:type="dxa"/>
            <w:shd w:val="clear" w:color="auto" w:fill="auto"/>
          </w:tcPr>
          <w:p w14:paraId="292766FF" w14:textId="77777777" w:rsidR="006C11EF" w:rsidRPr="006C11EF" w:rsidRDefault="006C11EF" w:rsidP="006C11EF">
            <w:pPr>
              <w:jc w:val="center"/>
              <w:rPr>
                <w:b/>
                <w:bCs/>
                <w:rtl/>
              </w:rPr>
            </w:pPr>
            <w:r w:rsidRPr="006C11EF">
              <w:rPr>
                <w:b/>
                <w:bCs/>
                <w:rtl/>
              </w:rPr>
              <w:t>שירלי</w:t>
            </w:r>
            <w:r w:rsidRPr="006C11EF">
              <w:rPr>
                <w:rFonts w:hint="cs"/>
                <w:b/>
                <w:bCs/>
                <w:rtl/>
              </w:rPr>
              <w:t xml:space="preserve"> </w:t>
            </w:r>
            <w:r w:rsidRPr="006C11EF">
              <w:rPr>
                <w:b/>
                <w:bCs/>
                <w:rtl/>
              </w:rPr>
              <w:t>דקל נוה</w:t>
            </w:r>
            <w:r w:rsidRPr="006C11EF">
              <w:rPr>
                <w:rFonts w:hint="cs"/>
                <w:b/>
                <w:bCs/>
                <w:rtl/>
              </w:rPr>
              <w:t xml:space="preserve">, </w:t>
            </w:r>
            <w:r w:rsidRPr="006C11EF">
              <w:rPr>
                <w:b/>
                <w:bCs/>
                <w:rtl/>
              </w:rPr>
              <w:t>שופטת בכירה</w:t>
            </w:r>
          </w:p>
        </w:tc>
      </w:tr>
    </w:tbl>
    <w:p w14:paraId="0E18A4B9" w14:textId="77777777" w:rsidR="006C11EF" w:rsidRDefault="006C11EF" w:rsidP="006C11EF">
      <w:pPr>
        <w:rPr>
          <w:rtl/>
        </w:rPr>
      </w:pPr>
    </w:p>
    <w:p w14:paraId="627413B6" w14:textId="77777777" w:rsidR="006C11EF" w:rsidRDefault="006C11EF" w:rsidP="006C11EF">
      <w:pPr>
        <w:rPr>
          <w:rtl/>
        </w:rPr>
      </w:pPr>
    </w:p>
    <w:p w14:paraId="1A252A66" w14:textId="77777777" w:rsidR="006C11EF" w:rsidRPr="00AF4269" w:rsidRDefault="006C11EF" w:rsidP="006C11EF">
      <w:pPr>
        <w:spacing w:line="360" w:lineRule="auto"/>
        <w:jc w:val="both"/>
        <w:rPr>
          <w:rtl/>
        </w:rPr>
      </w:pPr>
    </w:p>
    <w:p w14:paraId="1ED85982" w14:textId="77777777" w:rsidR="006C11EF" w:rsidRDefault="006C11EF" w:rsidP="006C11EF">
      <w:r>
        <w:rPr>
          <w:rtl/>
        </w:rPr>
        <w:t>הוקלד</w:t>
      </w:r>
      <w:r>
        <w:t xml:space="preserve"> </w:t>
      </w:r>
      <w:r>
        <w:rPr>
          <w:rtl/>
        </w:rPr>
        <w:t>על</w:t>
      </w:r>
      <w:r>
        <w:t xml:space="preserve"> </w:t>
      </w:r>
      <w:r>
        <w:rPr>
          <w:rtl/>
        </w:rPr>
        <w:t>ידי</w:t>
      </w:r>
      <w:r>
        <w:t xml:space="preserve"> </w:t>
      </w:r>
      <w:r>
        <w:rPr>
          <w:rtl/>
        </w:rPr>
        <w:t>ליאת</w:t>
      </w:r>
      <w:r>
        <w:t xml:space="preserve"> </w:t>
      </w:r>
      <w:r>
        <w:rPr>
          <w:rtl/>
        </w:rPr>
        <w:t>אבזו</w:t>
      </w:r>
    </w:p>
    <w:p w14:paraId="6CEE8A85" w14:textId="77777777" w:rsidR="002D7B2F" w:rsidRPr="007761D6" w:rsidRDefault="002D7B2F" w:rsidP="007761D6">
      <w:pPr>
        <w:keepNext/>
        <w:rPr>
          <w:color w:val="000000"/>
          <w:sz w:val="22"/>
          <w:szCs w:val="22"/>
          <w:rtl/>
        </w:rPr>
      </w:pPr>
    </w:p>
    <w:p w14:paraId="1644F64C" w14:textId="77777777" w:rsidR="007761D6" w:rsidRPr="007761D6" w:rsidRDefault="007761D6" w:rsidP="007761D6">
      <w:pPr>
        <w:keepNext/>
        <w:rPr>
          <w:color w:val="000000"/>
          <w:sz w:val="22"/>
          <w:szCs w:val="22"/>
          <w:rtl/>
        </w:rPr>
      </w:pPr>
      <w:r w:rsidRPr="007761D6">
        <w:rPr>
          <w:color w:val="000000"/>
          <w:sz w:val="22"/>
          <w:szCs w:val="22"/>
          <w:rtl/>
        </w:rPr>
        <w:t>שירלי דקל נוה 54678313</w:t>
      </w:r>
    </w:p>
    <w:p w14:paraId="6EA97D53" w14:textId="77777777" w:rsidR="007761D6" w:rsidRDefault="007761D6" w:rsidP="007761D6">
      <w:r w:rsidRPr="007761D6">
        <w:rPr>
          <w:color w:val="000000"/>
          <w:rtl/>
        </w:rPr>
        <w:t>נוסח מסמך זה כפוף לשינויי ניסוח ועריכה</w:t>
      </w:r>
    </w:p>
    <w:p w14:paraId="7739D06F" w14:textId="77777777" w:rsidR="007761D6" w:rsidRDefault="007761D6" w:rsidP="007761D6">
      <w:pPr>
        <w:rPr>
          <w:rtl/>
        </w:rPr>
      </w:pPr>
    </w:p>
    <w:p w14:paraId="7FFE391E" w14:textId="77777777" w:rsidR="007761D6" w:rsidRDefault="007761D6" w:rsidP="007761D6">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56E22B68" w14:textId="77777777" w:rsidR="007761D6" w:rsidRPr="007761D6" w:rsidRDefault="007761D6" w:rsidP="007761D6">
      <w:pPr>
        <w:jc w:val="center"/>
        <w:rPr>
          <w:color w:val="0000FF"/>
          <w:u w:val="single"/>
        </w:rPr>
      </w:pPr>
    </w:p>
    <w:sectPr w:rsidR="007761D6" w:rsidRPr="007761D6" w:rsidSect="007761D6">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6D9AB" w14:textId="77777777" w:rsidR="00CB44A3" w:rsidRDefault="00CB44A3" w:rsidP="001F15DE">
      <w:r>
        <w:separator/>
      </w:r>
    </w:p>
  </w:endnote>
  <w:endnote w:type="continuationSeparator" w:id="0">
    <w:p w14:paraId="78E5DC84" w14:textId="77777777" w:rsidR="00CB44A3" w:rsidRDefault="00CB44A3" w:rsidP="001F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3E3FF" w14:textId="77777777" w:rsidR="00CB44A3" w:rsidRDefault="00CB44A3" w:rsidP="007761D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26</w:t>
    </w:r>
    <w:r>
      <w:rPr>
        <w:rFonts w:ascii="FrankRuehl" w:hAnsi="FrankRuehl" w:cs="FrankRuehl"/>
        <w:rtl/>
      </w:rPr>
      <w:fldChar w:fldCharType="end"/>
    </w:r>
  </w:p>
  <w:p w14:paraId="38AEA8AB" w14:textId="77777777" w:rsidR="00CB44A3" w:rsidRPr="007761D6" w:rsidRDefault="00CB44A3" w:rsidP="007761D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13B39" w14:textId="77777777" w:rsidR="00CB44A3" w:rsidRDefault="00CB44A3" w:rsidP="007761D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6E5B">
      <w:rPr>
        <w:rFonts w:ascii="FrankRuehl" w:hAnsi="FrankRuehl" w:cs="FrankRuehl"/>
        <w:noProof/>
        <w:rtl/>
      </w:rPr>
      <w:t>1</w:t>
    </w:r>
    <w:r>
      <w:rPr>
        <w:rFonts w:ascii="FrankRuehl" w:hAnsi="FrankRuehl" w:cs="FrankRuehl"/>
        <w:rtl/>
      </w:rPr>
      <w:fldChar w:fldCharType="end"/>
    </w:r>
  </w:p>
  <w:p w14:paraId="6209FACF" w14:textId="77777777" w:rsidR="00CB44A3" w:rsidRPr="007761D6" w:rsidRDefault="00CB44A3" w:rsidP="007761D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8825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78BD7" w14:textId="77777777" w:rsidR="00CB44A3" w:rsidRDefault="00CB44A3" w:rsidP="001F15DE">
      <w:r>
        <w:separator/>
      </w:r>
    </w:p>
  </w:footnote>
  <w:footnote w:type="continuationSeparator" w:id="0">
    <w:p w14:paraId="14A20767" w14:textId="77777777" w:rsidR="00CB44A3" w:rsidRDefault="00CB44A3" w:rsidP="001F1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E6F5E" w14:textId="77777777" w:rsidR="00CB44A3" w:rsidRPr="007761D6" w:rsidRDefault="00CB44A3" w:rsidP="007761D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29901-05-11</w:t>
    </w:r>
    <w:r>
      <w:rPr>
        <w:color w:val="000000"/>
        <w:sz w:val="22"/>
        <w:szCs w:val="22"/>
        <w:rtl/>
      </w:rPr>
      <w:tab/>
      <w:t xml:space="preserve"> מדינת ישראל נ' עמנואל יהושע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51FA" w14:textId="77777777" w:rsidR="00CB44A3" w:rsidRPr="007761D6" w:rsidRDefault="00CB44A3" w:rsidP="007761D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29901-05-11</w:t>
    </w:r>
    <w:r>
      <w:rPr>
        <w:color w:val="000000"/>
        <w:sz w:val="22"/>
        <w:szCs w:val="22"/>
        <w:rtl/>
      </w:rPr>
      <w:tab/>
      <w:t xml:space="preserve"> מדינת ישראל נ' עמנואל יהושע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11EF"/>
    <w:rsid w:val="00161147"/>
    <w:rsid w:val="001F15DE"/>
    <w:rsid w:val="002D7B2F"/>
    <w:rsid w:val="0053554C"/>
    <w:rsid w:val="006C11EF"/>
    <w:rsid w:val="007761D6"/>
    <w:rsid w:val="007C1992"/>
    <w:rsid w:val="007C433F"/>
    <w:rsid w:val="007F55B4"/>
    <w:rsid w:val="00AC6E5B"/>
    <w:rsid w:val="00BA16A0"/>
    <w:rsid w:val="00CB44A3"/>
    <w:rsid w:val="00FB07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4E967F5"/>
  <w15:chartTrackingRefBased/>
  <w15:docId w15:val="{A51950A5-AB68-4E2E-99F7-838221F8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11EF"/>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11EF"/>
    <w:pPr>
      <w:tabs>
        <w:tab w:val="center" w:pos="4153"/>
        <w:tab w:val="right" w:pos="8306"/>
      </w:tabs>
    </w:pPr>
  </w:style>
  <w:style w:type="character" w:customStyle="1" w:styleId="a4">
    <w:name w:val="כותרת עליונה תו"/>
    <w:link w:val="a3"/>
    <w:rsid w:val="006C11EF"/>
    <w:rPr>
      <w:rFonts w:ascii="David" w:eastAsia="David" w:hAnsi="David" w:cs="David"/>
      <w:sz w:val="24"/>
      <w:szCs w:val="24"/>
    </w:rPr>
  </w:style>
  <w:style w:type="paragraph" w:styleId="a5">
    <w:name w:val="footer"/>
    <w:basedOn w:val="a"/>
    <w:link w:val="a6"/>
    <w:rsid w:val="006C11EF"/>
    <w:pPr>
      <w:tabs>
        <w:tab w:val="center" w:pos="4153"/>
        <w:tab w:val="right" w:pos="8306"/>
      </w:tabs>
    </w:pPr>
  </w:style>
  <w:style w:type="character" w:customStyle="1" w:styleId="a6">
    <w:name w:val="כותרת תחתונה תו"/>
    <w:link w:val="a5"/>
    <w:rsid w:val="006C11EF"/>
    <w:rPr>
      <w:rFonts w:ascii="David" w:eastAsia="David" w:hAnsi="David" w:cs="David"/>
      <w:sz w:val="24"/>
      <w:szCs w:val="24"/>
    </w:rPr>
  </w:style>
  <w:style w:type="table" w:styleId="a7">
    <w:name w:val="Table Grid"/>
    <w:basedOn w:val="a1"/>
    <w:rsid w:val="006C11EF"/>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11EF"/>
  </w:style>
  <w:style w:type="paragraph" w:customStyle="1" w:styleId="12">
    <w:name w:val="רגיל + ‏12 נק'"/>
    <w:aliases w:val="מיושר לשני הצדדים,מרווח בין שורות:  שורה וחצי"/>
    <w:basedOn w:val="a"/>
    <w:rsid w:val="006C11EF"/>
    <w:rPr>
      <w:rFonts w:ascii="Times New Roman" w:eastAsia="Times New Roman" w:hAnsi="Times New Roman"/>
      <w:b/>
      <w:bCs/>
      <w:u w:val="single"/>
    </w:rPr>
  </w:style>
  <w:style w:type="paragraph" w:styleId="a9">
    <w:name w:val="Body Text Indent"/>
    <w:basedOn w:val="a"/>
    <w:link w:val="aa"/>
    <w:rsid w:val="006C11EF"/>
    <w:pPr>
      <w:snapToGrid w:val="0"/>
      <w:spacing w:after="120"/>
      <w:ind w:left="283"/>
    </w:pPr>
    <w:rPr>
      <w:rFonts w:ascii="Times New Roman" w:eastAsia="Times New Roman" w:hAnsi="Times New Roman"/>
      <w:sz w:val="20"/>
      <w:lang w:eastAsia="he-IL"/>
    </w:rPr>
  </w:style>
  <w:style w:type="character" w:customStyle="1" w:styleId="aa">
    <w:name w:val="כניסה בגוף טקסט תו"/>
    <w:link w:val="a9"/>
    <w:rsid w:val="006C11EF"/>
    <w:rPr>
      <w:rFonts w:ascii="Times New Roman" w:eastAsia="Times New Roman" w:hAnsi="Times New Roman" w:cs="David"/>
      <w:sz w:val="20"/>
      <w:szCs w:val="24"/>
      <w:lang w:eastAsia="he-IL"/>
    </w:rPr>
  </w:style>
  <w:style w:type="character" w:styleId="ab">
    <w:name w:val="line number"/>
    <w:rsid w:val="007761D6"/>
  </w:style>
  <w:style w:type="character" w:styleId="Hyperlink">
    <w:name w:val="Hyperlink"/>
    <w:rsid w:val="007761D6"/>
    <w:rPr>
      <w:color w:val="0563C1"/>
      <w:u w:val="single"/>
    </w:rPr>
  </w:style>
  <w:style w:type="character" w:styleId="ac">
    <w:name w:val="Unresolved Mention"/>
    <w:rsid w:val="007761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047806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case/2836972"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836972"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2836972"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1839</Words>
  <Characters>9200</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11017</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3801213</vt:i4>
      </vt:variant>
      <vt:variant>
        <vt:i4>15</vt:i4>
      </vt:variant>
      <vt:variant>
        <vt:i4>0</vt:i4>
      </vt:variant>
      <vt:variant>
        <vt:i4>5</vt:i4>
      </vt:variant>
      <vt:variant>
        <vt:lpwstr>http://www.nevo.co.il/case/2836972</vt:lpwstr>
      </vt:variant>
      <vt:variant>
        <vt:lpwstr/>
      </vt:variant>
      <vt:variant>
        <vt:i4>8257637</vt:i4>
      </vt:variant>
      <vt:variant>
        <vt:i4>12</vt:i4>
      </vt:variant>
      <vt:variant>
        <vt:i4>0</vt:i4>
      </vt:variant>
      <vt:variant>
        <vt:i4>5</vt:i4>
      </vt:variant>
      <vt:variant>
        <vt:lpwstr>http://www.nevo.co.il/law/4216</vt:lpwstr>
      </vt:variant>
      <vt:variant>
        <vt:lpwstr/>
      </vt:variant>
      <vt:variant>
        <vt:i4>3801213</vt:i4>
      </vt:variant>
      <vt:variant>
        <vt:i4>9</vt:i4>
      </vt:variant>
      <vt:variant>
        <vt:i4>0</vt:i4>
      </vt:variant>
      <vt:variant>
        <vt:i4>5</vt:i4>
      </vt:variant>
      <vt:variant>
        <vt:lpwstr>http://www.nevo.co.il/case/2836972</vt:lpwstr>
      </vt:variant>
      <vt:variant>
        <vt:lpwstr/>
      </vt:variant>
      <vt:variant>
        <vt:i4>3866739</vt:i4>
      </vt:variant>
      <vt:variant>
        <vt:i4>6</vt:i4>
      </vt:variant>
      <vt:variant>
        <vt:i4>0</vt:i4>
      </vt:variant>
      <vt:variant>
        <vt:i4>5</vt:i4>
      </vt:variant>
      <vt:variant>
        <vt:lpwstr>http://www.nevo.co.il/case/10478061</vt:lpwstr>
      </vt:variant>
      <vt:variant>
        <vt:lpwstr/>
      </vt:variant>
      <vt:variant>
        <vt:i4>3801213</vt:i4>
      </vt:variant>
      <vt:variant>
        <vt:i4>3</vt:i4>
      </vt:variant>
      <vt:variant>
        <vt:i4>0</vt:i4>
      </vt:variant>
      <vt:variant>
        <vt:i4>5</vt:i4>
      </vt:variant>
      <vt:variant>
        <vt:lpwstr>http://www.nevo.co.il/case/2836972</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29901;30896;25603</vt:lpwstr>
  </property>
  <property fmtid="{D5CDD505-2E9C-101B-9397-08002B2CF9AE}" pid="6" name="NEWPARTB">
    <vt:lpwstr>05;05;11</vt:lpwstr>
  </property>
  <property fmtid="{D5CDD505-2E9C-101B-9397-08002B2CF9AE}" pid="7" name="NEWPARTC">
    <vt:lpwstr>11;11;13</vt:lpwstr>
  </property>
  <property fmtid="{D5CDD505-2E9C-101B-9397-08002B2CF9AE}" pid="8" name="APPELLANT">
    <vt:lpwstr>מדינת ישראל</vt:lpwstr>
  </property>
  <property fmtid="{D5CDD505-2E9C-101B-9397-08002B2CF9AE}" pid="9" name="APPELLEE">
    <vt:lpwstr>עמנואל יהושע</vt:lpwstr>
  </property>
  <property fmtid="{D5CDD505-2E9C-101B-9397-08002B2CF9AE}" pid="10" name="LAWYER">
    <vt:lpwstr>יעל גבעוני;גיל פידל</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20180123</vt:lpwstr>
  </property>
  <property fmtid="{D5CDD505-2E9C-101B-9397-08002B2CF9AE}" pid="14" name="TYPE_N_DATE">
    <vt:lpwstr>38020180123</vt:lpwstr>
  </property>
  <property fmtid="{D5CDD505-2E9C-101B-9397-08002B2CF9AE}" pid="15" name="CASESLISTTMP1">
    <vt:lpwstr>2836972:3;10478061</vt:lpwstr>
  </property>
  <property fmtid="{D5CDD505-2E9C-101B-9397-08002B2CF9AE}" pid="16" name="CASENOTES1">
    <vt:lpwstr>ProcID=209&amp;PartA=2901&amp;PartB=05&amp;PartC=11</vt:lpwstr>
  </property>
  <property fmtid="{D5CDD505-2E9C-101B-9397-08002B2CF9AE}" pid="17" name="CASENOTES2">
    <vt:lpwstr>ProcID=209&amp;PartA=2412&amp;PartC=07</vt:lpwstr>
  </property>
  <property fmtid="{D5CDD505-2E9C-101B-9397-08002B2CF9AE}" pid="18" name="LAWLISTTMP1">
    <vt:lpwstr>4216</vt:lpwstr>
  </property>
  <property fmtid="{D5CDD505-2E9C-101B-9397-08002B2CF9AE}" pid="19" name="WORDNUMPAGES">
    <vt:lpwstr>7</vt:lpwstr>
  </property>
  <property fmtid="{D5CDD505-2E9C-101B-9397-08002B2CF9AE}" pid="20" name="TYPE_ABS_DATE">
    <vt:lpwstr>380020180123</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