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3"/>
        <w:gridCol w:w="3668"/>
      </w:tblGrid>
      <w:tr w:rsidR="00C81D19" w:rsidRPr="009E2E6B" w14:paraId="2F5C8A1E" w14:textId="77777777">
        <w:trPr>
          <w:trHeight w:hRule="exact" w:val="418"/>
          <w:jc w:val="center"/>
        </w:trPr>
        <w:tc>
          <w:tcPr>
            <w:tcW w:w="8721" w:type="dxa"/>
            <w:gridSpan w:val="2"/>
          </w:tcPr>
          <w:p w14:paraId="0756FE0A" w14:textId="77777777" w:rsidR="00C81D19" w:rsidRPr="009E2E6B" w:rsidRDefault="009E2E6B">
            <w:pPr>
              <w:pStyle w:val="a3"/>
              <w:jc w:val="center"/>
              <w:rPr>
                <w:rFonts w:ascii="Tahoma" w:hAnsi="Tahoma" w:cs="Tahoma"/>
                <w:color w:val="000080"/>
                <w:rtl/>
              </w:rPr>
            </w:pPr>
            <w:bookmarkStart w:id="0" w:name="FirstLawyer"/>
            <w:bookmarkStart w:id="1" w:name="LastJudge"/>
            <w:r w:rsidRPr="009E2E6B">
              <w:rPr>
                <w:rFonts w:ascii="Tahoma" w:hAnsi="Tahoma" w:cs="Tahoma"/>
                <w:b/>
                <w:bCs/>
                <w:color w:val="000080"/>
                <w:rtl/>
              </w:rPr>
              <w:t>בית משפט השלום בכפר סבא</w:t>
            </w:r>
          </w:p>
        </w:tc>
      </w:tr>
      <w:tr w:rsidR="00C81D19" w:rsidRPr="009E2E6B" w14:paraId="3EA0D78F" w14:textId="77777777">
        <w:trPr>
          <w:trHeight w:val="337"/>
          <w:jc w:val="center"/>
        </w:trPr>
        <w:tc>
          <w:tcPr>
            <w:tcW w:w="5053" w:type="dxa"/>
          </w:tcPr>
          <w:p w14:paraId="0C2B7B7D" w14:textId="77777777" w:rsidR="00C81D19" w:rsidRPr="009E2E6B" w:rsidRDefault="009E2E6B">
            <w:pPr>
              <w:rPr>
                <w:rFonts w:cs="FrankRuehl"/>
                <w:sz w:val="28"/>
                <w:szCs w:val="28"/>
                <w:rtl/>
              </w:rPr>
            </w:pPr>
            <w:r w:rsidRPr="009E2E6B">
              <w:rPr>
                <w:rFonts w:cs="FrankRuehl"/>
                <w:sz w:val="28"/>
                <w:szCs w:val="28"/>
                <w:rtl/>
              </w:rPr>
              <w:t>ת"פ</w:t>
            </w:r>
            <w:r w:rsidRPr="009E2E6B">
              <w:rPr>
                <w:rFonts w:cs="FrankRuehl" w:hint="cs"/>
                <w:sz w:val="28"/>
                <w:szCs w:val="28"/>
                <w:rtl/>
              </w:rPr>
              <w:t xml:space="preserve"> </w:t>
            </w:r>
            <w:r w:rsidRPr="009E2E6B">
              <w:rPr>
                <w:rFonts w:cs="FrankRuehl"/>
                <w:sz w:val="28"/>
                <w:szCs w:val="28"/>
                <w:rtl/>
              </w:rPr>
              <w:t>34358-07-11</w:t>
            </w:r>
            <w:r w:rsidRPr="009E2E6B">
              <w:rPr>
                <w:rFonts w:cs="FrankRuehl" w:hint="cs"/>
                <w:sz w:val="28"/>
                <w:szCs w:val="28"/>
                <w:rtl/>
              </w:rPr>
              <w:t xml:space="preserve"> </w:t>
            </w:r>
            <w:r w:rsidRPr="009E2E6B">
              <w:rPr>
                <w:rFonts w:cs="FrankRuehl"/>
                <w:sz w:val="28"/>
                <w:szCs w:val="28"/>
                <w:rtl/>
              </w:rPr>
              <w:t>מדינת ישראל נ' ג'ראיסי(עציר)</w:t>
            </w:r>
          </w:p>
          <w:p w14:paraId="7B2D3509" w14:textId="77777777" w:rsidR="00C81D19" w:rsidRPr="009E2E6B" w:rsidRDefault="00C81D19">
            <w:pPr>
              <w:pStyle w:val="a3"/>
              <w:rPr>
                <w:rFonts w:cs="FrankRuehl"/>
                <w:sz w:val="28"/>
                <w:szCs w:val="28"/>
                <w:rtl/>
              </w:rPr>
            </w:pPr>
          </w:p>
          <w:p w14:paraId="1058972E" w14:textId="77777777" w:rsidR="00C81D19" w:rsidRPr="009E2E6B" w:rsidRDefault="00C81D19"/>
        </w:tc>
        <w:tc>
          <w:tcPr>
            <w:tcW w:w="3668" w:type="dxa"/>
          </w:tcPr>
          <w:p w14:paraId="31AC6B65" w14:textId="77777777" w:rsidR="00C81D19" w:rsidRPr="009E2E6B" w:rsidRDefault="009E2E6B">
            <w:pPr>
              <w:pStyle w:val="a3"/>
              <w:jc w:val="right"/>
              <w:rPr>
                <w:rFonts w:cs="FrankRuehl"/>
                <w:sz w:val="28"/>
                <w:szCs w:val="28"/>
                <w:rtl/>
              </w:rPr>
            </w:pPr>
            <w:r w:rsidRPr="009E2E6B">
              <w:rPr>
                <w:rFonts w:cs="FrankRuehl" w:hint="cs"/>
                <w:sz w:val="28"/>
                <w:szCs w:val="28"/>
                <w:rtl/>
              </w:rPr>
              <w:t>3 אפריל</w:t>
            </w:r>
            <w:r w:rsidRPr="009E2E6B">
              <w:rPr>
                <w:rFonts w:cs="FrankRuehl"/>
                <w:sz w:val="28"/>
                <w:szCs w:val="28"/>
                <w:rtl/>
              </w:rPr>
              <w:t xml:space="preserve"> 2013</w:t>
            </w:r>
          </w:p>
        </w:tc>
      </w:tr>
    </w:tbl>
    <w:p w14:paraId="3B7A68EF" w14:textId="77777777" w:rsidR="00C81D19" w:rsidRPr="009E2E6B" w:rsidRDefault="009E2E6B">
      <w:pPr>
        <w:pStyle w:val="a3"/>
        <w:rPr>
          <w:rtl/>
        </w:rPr>
      </w:pPr>
      <w:r w:rsidRPr="009E2E6B">
        <w:rPr>
          <w:rFonts w:hint="cs"/>
          <w:rtl/>
        </w:rPr>
        <w:t xml:space="preserve"> </w:t>
      </w:r>
    </w:p>
    <w:p w14:paraId="62186673" w14:textId="77777777" w:rsidR="00C81D19" w:rsidRPr="009E2E6B" w:rsidRDefault="00C81D19">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C81D19" w:rsidRPr="009E2E6B" w14:paraId="0FAEAA2D" w14:textId="77777777">
        <w:trPr>
          <w:gridAfter w:val="1"/>
          <w:wAfter w:w="3771" w:type="dxa"/>
          <w:trHeight w:val="295"/>
          <w:jc w:val="center"/>
        </w:trPr>
        <w:tc>
          <w:tcPr>
            <w:tcW w:w="5049" w:type="dxa"/>
            <w:gridSpan w:val="2"/>
            <w:tcBorders>
              <w:top w:val="nil"/>
              <w:left w:val="nil"/>
              <w:bottom w:val="nil"/>
              <w:right w:val="nil"/>
            </w:tcBorders>
          </w:tcPr>
          <w:p w14:paraId="5D1F2A82" w14:textId="77777777" w:rsidR="00C81D19" w:rsidRPr="009E2E6B" w:rsidRDefault="00C81D19">
            <w:pPr>
              <w:jc w:val="right"/>
              <w:rPr>
                <w:rFonts w:ascii="Arial" w:hAnsi="Arial" w:cs="FrankRuehl"/>
                <w:sz w:val="28"/>
                <w:szCs w:val="28"/>
                <w:rtl/>
              </w:rPr>
            </w:pPr>
          </w:p>
        </w:tc>
      </w:tr>
      <w:tr w:rsidR="00C81D19" w:rsidRPr="009E2E6B" w14:paraId="355BD0C2" w14:textId="77777777">
        <w:trPr>
          <w:trHeight w:val="295"/>
          <w:jc w:val="center"/>
        </w:trPr>
        <w:tc>
          <w:tcPr>
            <w:tcW w:w="923" w:type="dxa"/>
            <w:tcBorders>
              <w:top w:val="nil"/>
              <w:left w:val="nil"/>
              <w:bottom w:val="nil"/>
              <w:right w:val="nil"/>
            </w:tcBorders>
          </w:tcPr>
          <w:p w14:paraId="3AC337DF" w14:textId="77777777" w:rsidR="00C81D19" w:rsidRPr="009E2E6B" w:rsidRDefault="009E2E6B">
            <w:pPr>
              <w:jc w:val="both"/>
              <w:rPr>
                <w:rFonts w:ascii="Arial" w:hAnsi="Arial" w:cs="FrankRuehl"/>
                <w:sz w:val="28"/>
                <w:szCs w:val="28"/>
              </w:rPr>
            </w:pPr>
            <w:r w:rsidRPr="009E2E6B">
              <w:rPr>
                <w:rFonts w:ascii="Arial" w:hAnsi="Arial" w:cs="FrankRuehl" w:hint="cs"/>
                <w:sz w:val="28"/>
                <w:szCs w:val="28"/>
                <w:rtl/>
              </w:rPr>
              <w:t>ב</w:t>
            </w:r>
            <w:r w:rsidRPr="009E2E6B">
              <w:rPr>
                <w:rFonts w:ascii="Arial" w:hAnsi="Arial" w:cs="FrankRuehl"/>
                <w:sz w:val="28"/>
                <w:szCs w:val="28"/>
                <w:rtl/>
              </w:rPr>
              <w:t xml:space="preserve">פני </w:t>
            </w:r>
          </w:p>
        </w:tc>
        <w:tc>
          <w:tcPr>
            <w:tcW w:w="7897" w:type="dxa"/>
            <w:gridSpan w:val="2"/>
            <w:tcBorders>
              <w:top w:val="nil"/>
              <w:left w:val="nil"/>
              <w:bottom w:val="nil"/>
              <w:right w:val="nil"/>
            </w:tcBorders>
          </w:tcPr>
          <w:p w14:paraId="6E433057" w14:textId="77777777" w:rsidR="00C81D19" w:rsidRPr="009E2E6B" w:rsidRDefault="009E2E6B">
            <w:pPr>
              <w:rPr>
                <w:rFonts w:ascii="Arial" w:hAnsi="Arial"/>
                <w:b/>
                <w:bCs/>
                <w:rtl/>
              </w:rPr>
            </w:pPr>
            <w:r w:rsidRPr="009E2E6B">
              <w:rPr>
                <w:rFonts w:ascii="Arial" w:hAnsi="Arial" w:hint="cs"/>
                <w:b/>
                <w:bCs/>
                <w:rtl/>
              </w:rPr>
              <w:t>כב' ה</w:t>
            </w:r>
            <w:r w:rsidRPr="009E2E6B">
              <w:rPr>
                <w:rFonts w:hint="cs"/>
                <w:rtl/>
              </w:rPr>
              <w:t>שופטת</w:t>
            </w:r>
            <w:r w:rsidRPr="009E2E6B">
              <w:rPr>
                <w:rFonts w:ascii="Arial" w:hAnsi="Arial" w:hint="cs"/>
                <w:b/>
                <w:bCs/>
                <w:rtl/>
              </w:rPr>
              <w:t xml:space="preserve">  </w:t>
            </w:r>
            <w:r w:rsidRPr="009E2E6B">
              <w:rPr>
                <w:rFonts w:hint="cs"/>
                <w:rtl/>
              </w:rPr>
              <w:t>דנה מרשק מרום</w:t>
            </w:r>
          </w:p>
          <w:p w14:paraId="22A25AA4" w14:textId="77777777" w:rsidR="00C81D19" w:rsidRPr="009E2E6B" w:rsidRDefault="00C81D19">
            <w:pPr>
              <w:rPr>
                <w:rtl/>
              </w:rPr>
            </w:pPr>
          </w:p>
          <w:p w14:paraId="497C01BF" w14:textId="77777777" w:rsidR="00C81D19" w:rsidRPr="009E2E6B" w:rsidRDefault="00C81D19">
            <w:pPr>
              <w:jc w:val="both"/>
              <w:rPr>
                <w:rFonts w:ascii="Arial" w:hAnsi="Arial" w:cs="FrankRuehl"/>
                <w:sz w:val="28"/>
                <w:szCs w:val="28"/>
              </w:rPr>
            </w:pPr>
          </w:p>
        </w:tc>
      </w:tr>
      <w:tr w:rsidR="00C81D19" w:rsidRPr="009E2E6B" w14:paraId="64F6CCAD" w14:textId="77777777">
        <w:trPr>
          <w:trHeight w:val="355"/>
          <w:jc w:val="center"/>
        </w:trPr>
        <w:tc>
          <w:tcPr>
            <w:tcW w:w="923" w:type="dxa"/>
            <w:tcBorders>
              <w:top w:val="nil"/>
              <w:left w:val="nil"/>
              <w:bottom w:val="nil"/>
              <w:right w:val="nil"/>
            </w:tcBorders>
          </w:tcPr>
          <w:p w14:paraId="1E646A2F" w14:textId="77777777" w:rsidR="00C81D19" w:rsidRPr="009E2E6B" w:rsidRDefault="00C81D19">
            <w:pPr>
              <w:jc w:val="both"/>
              <w:rPr>
                <w:rFonts w:ascii="Arial" w:hAnsi="Arial" w:cs="FrankRuehl"/>
                <w:sz w:val="28"/>
                <w:szCs w:val="28"/>
                <w:rtl/>
              </w:rPr>
            </w:pPr>
            <w:bookmarkStart w:id="2" w:name="FirstAppellant"/>
          </w:p>
          <w:p w14:paraId="0D4A6066" w14:textId="77777777" w:rsidR="00C81D19" w:rsidRPr="009E2E6B" w:rsidRDefault="009E2E6B">
            <w:pPr>
              <w:jc w:val="both"/>
              <w:rPr>
                <w:rFonts w:ascii="Arial" w:hAnsi="Arial" w:cs="FrankRuehl"/>
                <w:sz w:val="28"/>
                <w:szCs w:val="28"/>
              </w:rPr>
            </w:pPr>
            <w:r w:rsidRPr="009E2E6B">
              <w:rPr>
                <w:rFonts w:ascii="Arial" w:hAnsi="Arial" w:cs="FrankRuehl" w:hint="cs"/>
                <w:sz w:val="28"/>
                <w:szCs w:val="28"/>
                <w:rtl/>
              </w:rPr>
              <w:t>בעניין:</w:t>
            </w:r>
          </w:p>
        </w:tc>
        <w:tc>
          <w:tcPr>
            <w:tcW w:w="4126" w:type="dxa"/>
            <w:tcBorders>
              <w:top w:val="nil"/>
              <w:left w:val="nil"/>
              <w:bottom w:val="nil"/>
              <w:right w:val="nil"/>
            </w:tcBorders>
          </w:tcPr>
          <w:p w14:paraId="7960DBEE" w14:textId="77777777" w:rsidR="00C81D19" w:rsidRPr="009E2E6B" w:rsidRDefault="009E2E6B">
            <w:r w:rsidRPr="009E2E6B">
              <w:rPr>
                <w:rFonts w:hint="cs"/>
                <w:rtl/>
              </w:rPr>
              <w:t>מדינת ישראל ע"י ען"ד נתנאל בוג'ו</w:t>
            </w:r>
          </w:p>
        </w:tc>
        <w:tc>
          <w:tcPr>
            <w:tcW w:w="3771" w:type="dxa"/>
            <w:tcBorders>
              <w:top w:val="nil"/>
              <w:left w:val="nil"/>
              <w:bottom w:val="nil"/>
              <w:right w:val="nil"/>
            </w:tcBorders>
          </w:tcPr>
          <w:p w14:paraId="13E2201E" w14:textId="77777777" w:rsidR="00C81D19" w:rsidRPr="009E2E6B" w:rsidRDefault="00C81D19">
            <w:pPr>
              <w:jc w:val="both"/>
              <w:rPr>
                <w:rFonts w:ascii="Arial" w:hAnsi="Arial" w:cs="FrankRuehl"/>
                <w:sz w:val="28"/>
                <w:szCs w:val="28"/>
              </w:rPr>
            </w:pPr>
          </w:p>
        </w:tc>
      </w:tr>
      <w:bookmarkEnd w:id="2"/>
      <w:tr w:rsidR="00C81D19" w:rsidRPr="009E2E6B" w14:paraId="60BD9EF9" w14:textId="77777777">
        <w:trPr>
          <w:trHeight w:val="355"/>
          <w:jc w:val="center"/>
        </w:trPr>
        <w:tc>
          <w:tcPr>
            <w:tcW w:w="923" w:type="dxa"/>
            <w:tcBorders>
              <w:top w:val="nil"/>
              <w:left w:val="nil"/>
              <w:bottom w:val="nil"/>
              <w:right w:val="nil"/>
            </w:tcBorders>
          </w:tcPr>
          <w:p w14:paraId="6B170860" w14:textId="77777777" w:rsidR="00C81D19" w:rsidRPr="009E2E6B" w:rsidRDefault="00C81D19">
            <w:pPr>
              <w:jc w:val="both"/>
              <w:rPr>
                <w:rFonts w:ascii="Arial" w:hAnsi="Arial" w:cs="FrankRuehl"/>
                <w:sz w:val="28"/>
                <w:szCs w:val="28"/>
                <w:rtl/>
              </w:rPr>
            </w:pPr>
          </w:p>
        </w:tc>
        <w:tc>
          <w:tcPr>
            <w:tcW w:w="4126" w:type="dxa"/>
            <w:tcBorders>
              <w:top w:val="nil"/>
              <w:left w:val="nil"/>
              <w:bottom w:val="nil"/>
              <w:right w:val="nil"/>
            </w:tcBorders>
          </w:tcPr>
          <w:p w14:paraId="6DA92A8E" w14:textId="77777777" w:rsidR="00C81D19" w:rsidRPr="009E2E6B" w:rsidRDefault="00C81D19">
            <w:pPr>
              <w:jc w:val="both"/>
              <w:rPr>
                <w:rtl/>
              </w:rPr>
            </w:pPr>
          </w:p>
        </w:tc>
        <w:tc>
          <w:tcPr>
            <w:tcW w:w="3771" w:type="dxa"/>
            <w:tcBorders>
              <w:top w:val="nil"/>
              <w:left w:val="nil"/>
              <w:bottom w:val="nil"/>
              <w:right w:val="nil"/>
            </w:tcBorders>
          </w:tcPr>
          <w:p w14:paraId="0DD28825" w14:textId="77777777" w:rsidR="00C81D19" w:rsidRPr="009E2E6B" w:rsidRDefault="009E2E6B">
            <w:pPr>
              <w:jc w:val="right"/>
              <w:rPr>
                <w:rFonts w:ascii="Arial" w:hAnsi="Arial" w:cs="FrankRuehl"/>
                <w:sz w:val="28"/>
                <w:szCs w:val="28"/>
                <w:rtl/>
              </w:rPr>
            </w:pPr>
            <w:r w:rsidRPr="009E2E6B">
              <w:rPr>
                <w:rFonts w:ascii="Arial" w:hAnsi="Arial" w:cs="FrankRuehl" w:hint="cs"/>
                <w:sz w:val="28"/>
                <w:szCs w:val="28"/>
                <w:rtl/>
              </w:rPr>
              <w:t>ה</w:t>
            </w:r>
            <w:r w:rsidRPr="009E2E6B">
              <w:rPr>
                <w:rFonts w:hint="cs"/>
                <w:rtl/>
              </w:rPr>
              <w:t xml:space="preserve">מאשימה </w:t>
            </w:r>
          </w:p>
        </w:tc>
      </w:tr>
      <w:tr w:rsidR="00C81D19" w:rsidRPr="009E2E6B" w14:paraId="57E65C7B" w14:textId="77777777">
        <w:trPr>
          <w:trHeight w:val="355"/>
          <w:jc w:val="center"/>
        </w:trPr>
        <w:tc>
          <w:tcPr>
            <w:tcW w:w="923" w:type="dxa"/>
            <w:tcBorders>
              <w:top w:val="nil"/>
              <w:left w:val="nil"/>
              <w:bottom w:val="nil"/>
              <w:right w:val="nil"/>
            </w:tcBorders>
          </w:tcPr>
          <w:p w14:paraId="6588A4C0" w14:textId="77777777" w:rsidR="00C81D19" w:rsidRPr="009E2E6B" w:rsidRDefault="00C81D19">
            <w:pPr>
              <w:jc w:val="both"/>
              <w:rPr>
                <w:rFonts w:ascii="Arial" w:hAnsi="Arial" w:cs="FrankRuehl"/>
                <w:sz w:val="28"/>
                <w:szCs w:val="28"/>
                <w:rtl/>
              </w:rPr>
            </w:pPr>
          </w:p>
        </w:tc>
        <w:tc>
          <w:tcPr>
            <w:tcW w:w="7897" w:type="dxa"/>
            <w:gridSpan w:val="2"/>
            <w:tcBorders>
              <w:top w:val="nil"/>
              <w:left w:val="nil"/>
              <w:bottom w:val="nil"/>
              <w:right w:val="nil"/>
            </w:tcBorders>
          </w:tcPr>
          <w:p w14:paraId="462541FA" w14:textId="77777777" w:rsidR="00C81D19" w:rsidRPr="009E2E6B" w:rsidRDefault="00C81D19">
            <w:pPr>
              <w:jc w:val="center"/>
              <w:rPr>
                <w:rFonts w:ascii="Arial" w:hAnsi="Arial" w:cs="FrankRuehl"/>
                <w:b/>
                <w:bCs/>
                <w:sz w:val="28"/>
                <w:szCs w:val="28"/>
                <w:rtl/>
              </w:rPr>
            </w:pPr>
          </w:p>
          <w:p w14:paraId="1E60E0B3" w14:textId="77777777" w:rsidR="00C81D19" w:rsidRPr="009E2E6B" w:rsidRDefault="009E2E6B">
            <w:pPr>
              <w:jc w:val="center"/>
              <w:rPr>
                <w:rFonts w:ascii="Arial" w:hAnsi="Arial" w:cs="FrankRuehl"/>
                <w:b/>
                <w:bCs/>
                <w:sz w:val="28"/>
                <w:szCs w:val="28"/>
                <w:rtl/>
              </w:rPr>
            </w:pPr>
            <w:r w:rsidRPr="009E2E6B">
              <w:rPr>
                <w:rFonts w:ascii="Arial" w:hAnsi="Arial" w:cs="FrankRuehl"/>
                <w:b/>
                <w:bCs/>
                <w:sz w:val="28"/>
                <w:szCs w:val="28"/>
                <w:rtl/>
              </w:rPr>
              <w:t>נגד</w:t>
            </w:r>
          </w:p>
          <w:p w14:paraId="0598F472" w14:textId="77777777" w:rsidR="00C81D19" w:rsidRPr="009E2E6B" w:rsidRDefault="00C81D19">
            <w:pPr>
              <w:jc w:val="both"/>
              <w:rPr>
                <w:rFonts w:ascii="Arial" w:hAnsi="Arial" w:cs="FrankRuehl"/>
                <w:sz w:val="28"/>
                <w:szCs w:val="28"/>
              </w:rPr>
            </w:pPr>
          </w:p>
        </w:tc>
      </w:tr>
      <w:tr w:rsidR="00C81D19" w:rsidRPr="009E2E6B" w14:paraId="5C2AB307" w14:textId="77777777">
        <w:trPr>
          <w:trHeight w:val="355"/>
          <w:jc w:val="center"/>
        </w:trPr>
        <w:tc>
          <w:tcPr>
            <w:tcW w:w="923" w:type="dxa"/>
            <w:tcBorders>
              <w:top w:val="nil"/>
              <w:left w:val="nil"/>
              <w:bottom w:val="nil"/>
              <w:right w:val="nil"/>
            </w:tcBorders>
          </w:tcPr>
          <w:p w14:paraId="3B76B4D3" w14:textId="77777777" w:rsidR="00C81D19" w:rsidRPr="009E2E6B" w:rsidRDefault="00C81D19">
            <w:pPr>
              <w:rPr>
                <w:rFonts w:ascii="Arial" w:hAnsi="Arial" w:cs="FrankRuehl"/>
                <w:sz w:val="28"/>
                <w:szCs w:val="28"/>
                <w:rtl/>
              </w:rPr>
            </w:pPr>
          </w:p>
        </w:tc>
        <w:tc>
          <w:tcPr>
            <w:tcW w:w="4126" w:type="dxa"/>
            <w:tcBorders>
              <w:top w:val="nil"/>
              <w:left w:val="nil"/>
              <w:bottom w:val="nil"/>
              <w:right w:val="nil"/>
            </w:tcBorders>
          </w:tcPr>
          <w:p w14:paraId="5403C9D5" w14:textId="77777777" w:rsidR="00C81D19" w:rsidRPr="009E2E6B" w:rsidRDefault="009E2E6B">
            <w:pPr>
              <w:rPr>
                <w:rtl/>
              </w:rPr>
            </w:pPr>
            <w:r w:rsidRPr="009E2E6B">
              <w:rPr>
                <w:rFonts w:hint="cs"/>
                <w:rtl/>
              </w:rPr>
              <w:t>ג'יריס ג'ראיסי (עציר) – הובא וע"י עו"ד קירשנברג</w:t>
            </w:r>
          </w:p>
        </w:tc>
        <w:tc>
          <w:tcPr>
            <w:tcW w:w="3771" w:type="dxa"/>
            <w:tcBorders>
              <w:top w:val="nil"/>
              <w:left w:val="nil"/>
              <w:bottom w:val="nil"/>
              <w:right w:val="nil"/>
            </w:tcBorders>
          </w:tcPr>
          <w:p w14:paraId="3062DFA6" w14:textId="77777777" w:rsidR="00C81D19" w:rsidRPr="009E2E6B" w:rsidRDefault="00C81D19">
            <w:pPr>
              <w:jc w:val="right"/>
              <w:rPr>
                <w:rFonts w:ascii="Arial" w:hAnsi="Arial" w:cs="FrankRuehl"/>
                <w:sz w:val="28"/>
                <w:szCs w:val="28"/>
              </w:rPr>
            </w:pPr>
          </w:p>
        </w:tc>
      </w:tr>
      <w:tr w:rsidR="00C81D19" w:rsidRPr="009E2E6B" w14:paraId="41A6C9E8" w14:textId="77777777">
        <w:trPr>
          <w:trHeight w:val="355"/>
          <w:jc w:val="center"/>
        </w:trPr>
        <w:tc>
          <w:tcPr>
            <w:tcW w:w="923" w:type="dxa"/>
            <w:tcBorders>
              <w:top w:val="nil"/>
              <w:left w:val="nil"/>
              <w:bottom w:val="nil"/>
              <w:right w:val="nil"/>
            </w:tcBorders>
          </w:tcPr>
          <w:p w14:paraId="6D22F792" w14:textId="77777777" w:rsidR="00C81D19" w:rsidRPr="009E2E6B" w:rsidRDefault="00C81D19">
            <w:pPr>
              <w:jc w:val="both"/>
              <w:rPr>
                <w:rFonts w:ascii="Arial" w:hAnsi="Arial" w:cs="FrankRuehl"/>
                <w:sz w:val="28"/>
                <w:szCs w:val="28"/>
                <w:rtl/>
              </w:rPr>
            </w:pPr>
          </w:p>
        </w:tc>
        <w:tc>
          <w:tcPr>
            <w:tcW w:w="4126" w:type="dxa"/>
            <w:tcBorders>
              <w:top w:val="nil"/>
              <w:left w:val="nil"/>
              <w:bottom w:val="nil"/>
              <w:right w:val="nil"/>
            </w:tcBorders>
          </w:tcPr>
          <w:p w14:paraId="718088AF" w14:textId="77777777" w:rsidR="00C81D19" w:rsidRPr="009E2E6B" w:rsidRDefault="00C81D19">
            <w:pPr>
              <w:jc w:val="both"/>
              <w:rPr>
                <w:rtl/>
              </w:rPr>
            </w:pPr>
          </w:p>
        </w:tc>
        <w:tc>
          <w:tcPr>
            <w:tcW w:w="3771" w:type="dxa"/>
            <w:tcBorders>
              <w:top w:val="nil"/>
              <w:left w:val="nil"/>
              <w:bottom w:val="nil"/>
              <w:right w:val="nil"/>
            </w:tcBorders>
          </w:tcPr>
          <w:p w14:paraId="6B088A19" w14:textId="77777777" w:rsidR="00C81D19" w:rsidRPr="009E2E6B" w:rsidRDefault="009E2E6B">
            <w:pPr>
              <w:jc w:val="right"/>
              <w:rPr>
                <w:rFonts w:ascii="Arial" w:hAnsi="Arial" w:cs="FrankRuehl"/>
                <w:sz w:val="28"/>
                <w:szCs w:val="28"/>
              </w:rPr>
            </w:pPr>
            <w:r w:rsidRPr="009E2E6B">
              <w:rPr>
                <w:rFonts w:ascii="Arial" w:hAnsi="Arial" w:cs="FrankRuehl" w:hint="cs"/>
                <w:sz w:val="28"/>
                <w:szCs w:val="28"/>
                <w:rtl/>
              </w:rPr>
              <w:t>ה</w:t>
            </w:r>
            <w:r w:rsidRPr="009E2E6B">
              <w:rPr>
                <w:rFonts w:hint="cs"/>
                <w:rtl/>
              </w:rPr>
              <w:t xml:space="preserve">נאשם </w:t>
            </w:r>
          </w:p>
        </w:tc>
      </w:tr>
    </w:tbl>
    <w:p w14:paraId="369CA79E" w14:textId="77777777" w:rsidR="00C81D19" w:rsidRPr="009E2E6B" w:rsidRDefault="00C81D19"/>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C81D19" w14:paraId="3709C88E" w14:textId="77777777">
        <w:trPr>
          <w:trHeight w:val="355"/>
          <w:jc w:val="center"/>
        </w:trPr>
        <w:tc>
          <w:tcPr>
            <w:tcW w:w="8820" w:type="dxa"/>
            <w:tcBorders>
              <w:top w:val="nil"/>
              <w:left w:val="nil"/>
              <w:bottom w:val="nil"/>
              <w:right w:val="nil"/>
            </w:tcBorders>
          </w:tcPr>
          <w:p w14:paraId="32D7262D" w14:textId="77777777" w:rsidR="009733B3" w:rsidRDefault="009733B3">
            <w:pPr>
              <w:jc w:val="center"/>
              <w:rPr>
                <w:rFonts w:ascii="Arial" w:hAnsi="Arial" w:cs="FrankRuehl"/>
                <w:b/>
                <w:bCs/>
                <w:sz w:val="32"/>
                <w:szCs w:val="32"/>
                <w:rtl/>
              </w:rPr>
            </w:pPr>
          </w:p>
          <w:p w14:paraId="02E054A8" w14:textId="77777777" w:rsidR="009E2E6B" w:rsidRPr="009E2E6B" w:rsidRDefault="009E2E6B">
            <w:pPr>
              <w:jc w:val="center"/>
              <w:rPr>
                <w:rFonts w:ascii="Arial" w:hAnsi="Arial" w:cs="FrankRuehl"/>
                <w:b/>
                <w:bCs/>
                <w:sz w:val="32"/>
                <w:szCs w:val="32"/>
                <w:rtl/>
              </w:rPr>
            </w:pPr>
          </w:p>
          <w:p w14:paraId="731C6F5E" w14:textId="77777777" w:rsidR="009733B3" w:rsidRDefault="009733B3" w:rsidP="009E2E6B">
            <w:pPr>
              <w:jc w:val="center"/>
              <w:rPr>
                <w:rFonts w:ascii="Arial" w:hAnsi="Arial" w:cs="FrankRuehl"/>
                <w:sz w:val="32"/>
                <w:szCs w:val="32"/>
                <w:rtl/>
              </w:rPr>
            </w:pPr>
            <w:bookmarkStart w:id="3" w:name="PsakDin"/>
            <w:bookmarkStart w:id="4" w:name="LawTable"/>
            <w:bookmarkEnd w:id="4"/>
          </w:p>
          <w:p w14:paraId="24E96E27" w14:textId="77777777" w:rsidR="009733B3" w:rsidRPr="009733B3" w:rsidRDefault="009733B3" w:rsidP="009733B3">
            <w:pPr>
              <w:spacing w:after="120" w:line="240" w:lineRule="exact"/>
              <w:ind w:left="283" w:hanging="283"/>
              <w:jc w:val="both"/>
              <w:rPr>
                <w:rFonts w:ascii="FrankRuehl" w:hAnsi="FrankRuehl" w:cs="FrankRuehl"/>
                <w:rtl/>
              </w:rPr>
            </w:pPr>
          </w:p>
          <w:p w14:paraId="2A338218" w14:textId="77777777" w:rsidR="009733B3" w:rsidRPr="009733B3" w:rsidRDefault="009733B3" w:rsidP="009733B3">
            <w:pPr>
              <w:spacing w:after="120" w:line="240" w:lineRule="exact"/>
              <w:ind w:left="283" w:hanging="283"/>
              <w:jc w:val="both"/>
              <w:rPr>
                <w:rFonts w:ascii="FrankRuehl" w:hAnsi="FrankRuehl" w:cs="FrankRuehl"/>
                <w:rtl/>
              </w:rPr>
            </w:pPr>
            <w:r w:rsidRPr="009733B3">
              <w:rPr>
                <w:rFonts w:ascii="FrankRuehl" w:hAnsi="FrankRuehl" w:cs="FrankRuehl"/>
                <w:rtl/>
              </w:rPr>
              <w:t xml:space="preserve">חקיקה שאוזכרה: </w:t>
            </w:r>
          </w:p>
          <w:p w14:paraId="1512A7D7" w14:textId="77777777" w:rsidR="009733B3" w:rsidRPr="009733B3" w:rsidRDefault="009733B3" w:rsidP="009733B3">
            <w:pPr>
              <w:spacing w:after="120" w:line="240" w:lineRule="exact"/>
              <w:ind w:left="283" w:hanging="283"/>
              <w:jc w:val="both"/>
              <w:rPr>
                <w:rFonts w:ascii="FrankRuehl" w:hAnsi="FrankRuehl" w:cs="FrankRuehl"/>
                <w:rtl/>
              </w:rPr>
            </w:pPr>
            <w:hyperlink r:id="rId6" w:history="1">
              <w:r w:rsidRPr="009733B3">
                <w:rPr>
                  <w:rFonts w:ascii="FrankRuehl" w:hAnsi="FrankRuehl" w:cs="FrankRuehl"/>
                  <w:color w:val="0000FF"/>
                  <w:u w:val="single"/>
                  <w:rtl/>
                </w:rPr>
                <w:t>פקודת הסמים המסוכנים [נוסח חדש], תשל"ג-1973</w:t>
              </w:r>
            </w:hyperlink>
          </w:p>
          <w:p w14:paraId="07BDA3C6" w14:textId="77777777" w:rsidR="009733B3" w:rsidRPr="009733B3" w:rsidRDefault="009733B3" w:rsidP="009733B3">
            <w:pPr>
              <w:spacing w:after="120" w:line="240" w:lineRule="exact"/>
              <w:ind w:left="283" w:hanging="283"/>
              <w:jc w:val="both"/>
              <w:rPr>
                <w:rFonts w:ascii="FrankRuehl" w:hAnsi="FrankRuehl" w:cs="FrankRuehl"/>
                <w:rtl/>
              </w:rPr>
            </w:pPr>
            <w:hyperlink r:id="rId7" w:history="1">
              <w:r w:rsidRPr="009733B3">
                <w:rPr>
                  <w:rFonts w:ascii="FrankRuehl" w:hAnsi="FrankRuehl" w:cs="FrankRuehl"/>
                  <w:color w:val="0000FF"/>
                  <w:u w:val="single"/>
                  <w:rtl/>
                </w:rPr>
                <w:t>חוק העונשין, תשל"ז-1977</w:t>
              </w:r>
            </w:hyperlink>
          </w:p>
          <w:p w14:paraId="11408D0B" w14:textId="77777777" w:rsidR="009733B3" w:rsidRPr="009733B3" w:rsidRDefault="009733B3" w:rsidP="009733B3">
            <w:pPr>
              <w:spacing w:after="120" w:line="240" w:lineRule="exact"/>
              <w:ind w:left="283" w:hanging="283"/>
              <w:jc w:val="both"/>
              <w:rPr>
                <w:rFonts w:ascii="FrankRuehl" w:hAnsi="FrankRuehl" w:cs="FrankRuehl"/>
                <w:rtl/>
              </w:rPr>
            </w:pPr>
          </w:p>
          <w:p w14:paraId="746F959E" w14:textId="77777777" w:rsidR="009733B3" w:rsidRPr="009733B3" w:rsidRDefault="009733B3" w:rsidP="009E2E6B">
            <w:pPr>
              <w:jc w:val="center"/>
              <w:rPr>
                <w:rFonts w:ascii="Arial" w:hAnsi="Arial" w:cs="FrankRuehl"/>
                <w:sz w:val="32"/>
                <w:szCs w:val="32"/>
                <w:rtl/>
              </w:rPr>
            </w:pPr>
            <w:bookmarkStart w:id="5" w:name="LawTable_End"/>
            <w:bookmarkEnd w:id="5"/>
          </w:p>
          <w:p w14:paraId="77CBB832" w14:textId="77777777" w:rsidR="009E2E6B" w:rsidRPr="009E2E6B" w:rsidRDefault="009E2E6B" w:rsidP="009E2E6B">
            <w:pPr>
              <w:jc w:val="center"/>
              <w:rPr>
                <w:rFonts w:ascii="Arial" w:hAnsi="Arial" w:cs="FrankRuehl"/>
                <w:b/>
                <w:bCs/>
                <w:sz w:val="32"/>
                <w:szCs w:val="32"/>
                <w:u w:val="single"/>
                <w:rtl/>
              </w:rPr>
            </w:pPr>
            <w:r w:rsidRPr="009E2E6B">
              <w:rPr>
                <w:rFonts w:ascii="Arial" w:hAnsi="Arial" w:cs="FrankRuehl"/>
                <w:b/>
                <w:bCs/>
                <w:sz w:val="32"/>
                <w:szCs w:val="32"/>
                <w:u w:val="single"/>
                <w:rtl/>
              </w:rPr>
              <w:t>גזר דין</w:t>
            </w:r>
          </w:p>
          <w:bookmarkEnd w:id="3"/>
          <w:p w14:paraId="5D664249" w14:textId="77777777" w:rsidR="00C81D19" w:rsidRDefault="00C81D19">
            <w:pPr>
              <w:jc w:val="center"/>
              <w:rPr>
                <w:rFonts w:ascii="Arial" w:hAnsi="Arial" w:cs="FrankRuehl"/>
                <w:sz w:val="32"/>
                <w:szCs w:val="32"/>
                <w:u w:val="single"/>
                <w:rtl/>
              </w:rPr>
            </w:pPr>
          </w:p>
        </w:tc>
      </w:tr>
      <w:bookmarkEnd w:id="0"/>
      <w:bookmarkEnd w:id="1"/>
    </w:tbl>
    <w:p w14:paraId="0D5FC7DB" w14:textId="77777777" w:rsidR="00C81D19" w:rsidRDefault="00C81D19">
      <w:pPr>
        <w:rPr>
          <w:rFonts w:ascii="Arial" w:hAnsi="Arial"/>
          <w:rtl/>
        </w:rPr>
      </w:pPr>
    </w:p>
    <w:p w14:paraId="2E82CEFD" w14:textId="77777777" w:rsidR="00C81D19" w:rsidRDefault="009E2E6B">
      <w:pPr>
        <w:spacing w:line="360" w:lineRule="auto"/>
        <w:ind w:left="720" w:hanging="720"/>
        <w:jc w:val="both"/>
        <w:rPr>
          <w:rFonts w:ascii="Calibri" w:eastAsia="Calibri" w:hAnsi="Calibri"/>
        </w:rPr>
      </w:pPr>
      <w:r>
        <w:rPr>
          <w:rFonts w:ascii="Calibri" w:eastAsia="Calibri" w:hAnsi="Calibri" w:hint="cs"/>
          <w:rtl/>
        </w:rPr>
        <w:t>1.</w:t>
      </w:r>
      <w:r>
        <w:rPr>
          <w:rFonts w:ascii="Calibri" w:eastAsia="Calibri" w:hAnsi="Calibri" w:hint="cs"/>
          <w:rtl/>
        </w:rPr>
        <w:tab/>
      </w:r>
      <w:bookmarkStart w:id="6" w:name="ABSTRACT_START"/>
      <w:bookmarkEnd w:id="6"/>
      <w:r>
        <w:rPr>
          <w:rFonts w:ascii="Calibri" w:eastAsia="Calibri" w:hAnsi="Calibri" w:hint="cs"/>
          <w:rtl/>
        </w:rPr>
        <w:t>הנאשם הורשע על יסוד הודאתו בביצוע עבירה של החזקת סם מסוכן שלא לצריכה עצמית לפי סעיף 7(א)(ג) רישא ל</w:t>
      </w:r>
      <w:hyperlink r:id="rId8" w:history="1">
        <w:r w:rsidR="009733B3" w:rsidRPr="009733B3">
          <w:rPr>
            <w:rStyle w:val="Hyperlink"/>
            <w:rFonts w:ascii="Calibri" w:eastAsia="Calibri" w:hAnsi="Calibri" w:hint="cs"/>
            <w:rtl/>
          </w:rPr>
          <w:t>פקודת</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הסמים</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המסוכנים</w:t>
        </w:r>
      </w:hyperlink>
      <w:r>
        <w:rPr>
          <w:rFonts w:ascii="Calibri" w:eastAsia="Calibri" w:hAnsi="Calibri" w:hint="cs"/>
          <w:rtl/>
        </w:rPr>
        <w:t xml:space="preserve"> [נוסח חדש], התשל"ג – 1973 (להלן: פקודת הסמים). </w:t>
      </w:r>
    </w:p>
    <w:p w14:paraId="6B4B7CC0" w14:textId="77777777" w:rsidR="00C81D19" w:rsidRDefault="009E2E6B">
      <w:pPr>
        <w:spacing w:line="360" w:lineRule="auto"/>
        <w:ind w:left="720"/>
        <w:jc w:val="both"/>
        <w:rPr>
          <w:rFonts w:ascii="Calibri" w:eastAsia="Calibri" w:hAnsi="Calibri"/>
          <w:rtl/>
        </w:rPr>
      </w:pPr>
      <w:r>
        <w:rPr>
          <w:rFonts w:ascii="Calibri" w:eastAsia="Calibri" w:hAnsi="Calibri" w:hint="cs"/>
          <w:rtl/>
        </w:rPr>
        <w:t xml:space="preserve">כתב-האישום מתאר אירוע שהתרחש בתקופה בה הנאשם היה אסיר בכלא "כרמל", כשביום 25.12.08 יצא לחופשה בת 72 שעות. במהלך חופשתו, הטמין בגופו 10 "זרגים" שהכילו סמים מסוכנים במטרה להחדירם אל בין כותלי בית-הסוהר. עם חזרתו מהחופשה, בין הימים 28-29.12.08, נערך חיפוש על גופו בבית המעצר, במהלכו פלט הנאשם מגופו </w:t>
      </w:r>
      <w:r>
        <w:rPr>
          <w:rFonts w:ascii="Calibri" w:eastAsia="Calibri" w:hAnsi="Calibri" w:hint="cs"/>
          <w:rtl/>
        </w:rPr>
        <w:lastRenderedPageBreak/>
        <w:t xml:space="preserve">27.8845 גרם הירואין, 28.1174 גרם חשיש, 24 טבליות </w:t>
      </w:r>
      <w:r>
        <w:rPr>
          <w:rFonts w:ascii="Calibri" w:eastAsia="Calibri" w:hAnsi="Calibri"/>
        </w:rPr>
        <w:t>MDMA</w:t>
      </w:r>
      <w:r>
        <w:rPr>
          <w:rFonts w:ascii="Calibri" w:eastAsia="Calibri" w:hAnsi="Calibri" w:hint="cs"/>
          <w:rtl/>
        </w:rPr>
        <w:t xml:space="preserve">, ו – 5 טבליות </w:t>
      </w:r>
      <w:r>
        <w:rPr>
          <w:rFonts w:ascii="Calibri" w:eastAsia="Calibri" w:hAnsi="Calibri"/>
        </w:rPr>
        <w:t>Chloro Amphetamine</w:t>
      </w:r>
      <w:r>
        <w:rPr>
          <w:rFonts w:ascii="Calibri" w:eastAsia="Calibri" w:hAnsi="Calibri" w:hint="cs"/>
          <w:rtl/>
        </w:rPr>
        <w:t xml:space="preserve">. </w:t>
      </w:r>
    </w:p>
    <w:p w14:paraId="49FDBE78" w14:textId="77777777" w:rsidR="00C81D19" w:rsidRDefault="00C81D19">
      <w:pPr>
        <w:spacing w:line="360" w:lineRule="auto"/>
        <w:ind w:left="720"/>
        <w:jc w:val="both"/>
        <w:rPr>
          <w:rFonts w:ascii="Calibri" w:eastAsia="Calibri" w:hAnsi="Calibri"/>
          <w:rtl/>
        </w:rPr>
      </w:pPr>
      <w:bookmarkStart w:id="7" w:name="ABSTRACT_END"/>
      <w:bookmarkEnd w:id="7"/>
    </w:p>
    <w:p w14:paraId="2680F104" w14:textId="77777777" w:rsidR="00C81D19" w:rsidRDefault="009E2E6B">
      <w:pPr>
        <w:spacing w:line="360" w:lineRule="auto"/>
        <w:ind w:left="720" w:hanging="720"/>
        <w:jc w:val="both"/>
        <w:rPr>
          <w:rFonts w:ascii="Calibri" w:eastAsia="Calibri" w:hAnsi="Calibri"/>
          <w:rtl/>
        </w:rPr>
      </w:pPr>
      <w:r>
        <w:rPr>
          <w:rFonts w:ascii="Calibri" w:eastAsia="Calibri" w:hAnsi="Calibri" w:hint="cs"/>
          <w:rtl/>
        </w:rPr>
        <w:t>2.</w:t>
      </w:r>
      <w:r>
        <w:rPr>
          <w:rFonts w:ascii="Calibri" w:eastAsia="Calibri" w:hAnsi="Calibri" w:hint="cs"/>
          <w:rtl/>
        </w:rPr>
        <w:tab/>
        <w:t>מספר ישיבות התנהלו בעניינו של הנאשם, כשבעיצומו של ההליך נמסר כי נעצר בתיק אחר; בהמשך, הטיעונים לעונש נדחו, לבקשת ההגנה, לאחר מתן גזר-דין בבית-המשפט המחוזי בחיפה. הוברר, כי ביום 24.1.2013 הוטל על הנאשם עונש מאסר בפועל בן 10 שנים בגין ביצוע עבירות אלימות שונות (</w:t>
      </w:r>
      <w:hyperlink r:id="rId9" w:history="1">
        <w:r w:rsidR="009733B3" w:rsidRPr="009733B3">
          <w:rPr>
            <w:rStyle w:val="Hyperlink"/>
            <w:rFonts w:ascii="Calibri" w:eastAsia="Calibri" w:hAnsi="Calibri" w:hint="cs"/>
            <w:rtl/>
          </w:rPr>
          <w:t>תפ</w:t>
        </w:r>
        <w:r w:rsidR="009733B3" w:rsidRPr="009733B3">
          <w:rPr>
            <w:rStyle w:val="Hyperlink"/>
            <w:rFonts w:ascii="Calibri" w:eastAsia="Calibri" w:hAnsi="Calibri"/>
            <w:rtl/>
          </w:rPr>
          <w:t>"</w:t>
        </w:r>
        <w:r w:rsidR="009733B3" w:rsidRPr="009733B3">
          <w:rPr>
            <w:rStyle w:val="Hyperlink"/>
            <w:rFonts w:ascii="Calibri" w:eastAsia="Calibri" w:hAnsi="Calibri" w:hint="cs"/>
            <w:rtl/>
          </w:rPr>
          <w:t>ח</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מחוזי</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חיפה</w:t>
        </w:r>
        <w:r w:rsidR="009733B3" w:rsidRPr="009733B3">
          <w:rPr>
            <w:rStyle w:val="Hyperlink"/>
            <w:rFonts w:ascii="Calibri" w:eastAsia="Calibri" w:hAnsi="Calibri"/>
            <w:rtl/>
          </w:rPr>
          <w:t>) 19039-09-12</w:t>
        </w:r>
      </w:hyperlink>
      <w:r>
        <w:rPr>
          <w:rFonts w:ascii="Calibri" w:eastAsia="Calibri" w:hAnsi="Calibri" w:hint="cs"/>
          <w:rtl/>
        </w:rPr>
        <w:t xml:space="preserve">, ת/3). </w:t>
      </w:r>
    </w:p>
    <w:p w14:paraId="3BAADDC0" w14:textId="77777777" w:rsidR="00C81D19" w:rsidRDefault="00C81D19">
      <w:pPr>
        <w:spacing w:line="360" w:lineRule="auto"/>
        <w:ind w:left="720" w:hanging="720"/>
        <w:jc w:val="both"/>
        <w:rPr>
          <w:rFonts w:ascii="Calibri" w:eastAsia="Calibri" w:hAnsi="Calibri"/>
          <w:rtl/>
        </w:rPr>
      </w:pPr>
    </w:p>
    <w:p w14:paraId="2509EA8A" w14:textId="77777777" w:rsidR="00C81D19" w:rsidRDefault="009E2E6B">
      <w:pPr>
        <w:spacing w:line="360" w:lineRule="auto"/>
        <w:ind w:left="720" w:hanging="720"/>
        <w:jc w:val="both"/>
        <w:rPr>
          <w:rFonts w:ascii="Calibri" w:eastAsia="Calibri" w:hAnsi="Calibri"/>
          <w:rtl/>
        </w:rPr>
      </w:pPr>
      <w:r>
        <w:rPr>
          <w:rFonts w:ascii="Calibri" w:eastAsia="Calibri" w:hAnsi="Calibri" w:hint="cs"/>
          <w:rtl/>
        </w:rPr>
        <w:t>3.</w:t>
      </w:r>
      <w:r>
        <w:rPr>
          <w:rFonts w:ascii="Calibri" w:eastAsia="Calibri" w:hAnsi="Calibri"/>
        </w:rPr>
        <w:tab/>
      </w:r>
      <w:r>
        <w:rPr>
          <w:rFonts w:ascii="Calibri" w:eastAsia="Calibri" w:hAnsi="Calibri" w:hint="cs"/>
          <w:rtl/>
        </w:rPr>
        <w:t>ב"כ המאשימה טענה למתחם עונש הולם בטווח שבין 15 חודשי מאסר בפועל לבין 30 חודשי מאסר בפועל. הדגישה את הצורך לבער את הנגע של שימוש בסמים בכלא ואת הנסיבות החמורות של האירוע, כאשר הנאשם ניצל את זמן החופשה ובמהלך מתוכנן הצטייד במגוון סמים ובכמויות גדולות מאד. לטעמה, נסיבותיו של הנאשם מחייבות השתת ענישה ברף הגבוה של המתחם, בין השאר בשל העובדה שהמדובר בנאשם בעל עבר פלילי מכביד (ת/1) אשר בעבר ביצע עבירה דומה – אם כי הפעם ניכרת הסלמה למרות קיומו של מאסר על תנאי בן 12 חודשים תלוי ועומד כנגדו (ת/2). ב"כ המאשימה לא התעלמה מחלוף הזמן מאז האירוע ומשיתוף הפעולה של הנאשם עם רשויות האכיפה ולקיחת האחריות בפני בית-המשפט. כן ציינה, כי לנאשם ייגרם נזק רב מהשתת מאסר בפועל לו עותרת התביעה על רקע המאסר בפועל הממושך אותו הוא מרצה בגין המעשים עליהם נדון בבית-המשפט המחוזי. בעבר, בתי-המשפט הלכו לקראתו, ואולם כיום עותרת היא להפעיל את המאסר על תנאי בן ה – 12 חודשים, להשית עליו מאסר בפועל במצטבר, אשר ירוצו שניהם במצטבר לעונש המאסר הנוכחי אותו הוא מרצה ומאסר על תנאי. ב"כ המאשימה הציגה פסיקה רלבנטית לתמיכה במכלול טיעוניה לרבות לביסוס מתחם הענישה הראוי.</w:t>
      </w:r>
    </w:p>
    <w:p w14:paraId="0877772B" w14:textId="77777777" w:rsidR="00C81D19" w:rsidRDefault="00C81D19">
      <w:pPr>
        <w:spacing w:line="360" w:lineRule="auto"/>
        <w:ind w:left="720" w:hanging="720"/>
        <w:jc w:val="both"/>
        <w:rPr>
          <w:rFonts w:ascii="Calibri" w:eastAsia="Calibri" w:hAnsi="Calibri"/>
          <w:rtl/>
        </w:rPr>
      </w:pPr>
    </w:p>
    <w:p w14:paraId="6A236796" w14:textId="77777777" w:rsidR="00C81D19" w:rsidRDefault="009E2E6B">
      <w:pPr>
        <w:spacing w:line="360" w:lineRule="auto"/>
        <w:ind w:left="720" w:hanging="720"/>
        <w:jc w:val="both"/>
        <w:rPr>
          <w:rFonts w:ascii="Calibri" w:eastAsia="Calibri" w:hAnsi="Calibri"/>
          <w:rtl/>
        </w:rPr>
      </w:pPr>
      <w:r>
        <w:rPr>
          <w:rFonts w:ascii="Calibri" w:eastAsia="Calibri" w:hAnsi="Calibri" w:hint="cs"/>
          <w:rtl/>
        </w:rPr>
        <w:t>4.</w:t>
      </w:r>
      <w:r>
        <w:rPr>
          <w:rFonts w:ascii="Calibri" w:eastAsia="Calibri" w:hAnsi="Calibri" w:hint="cs"/>
          <w:rtl/>
        </w:rPr>
        <w:tab/>
        <w:t>הסניגורית עותרת להשית על הנאשם עונשי מאסר בפועל אשר ירוצו בחלקם הארי בחופף למאסרו הנוכחי. זאת, בעיקר בשל השיהוי הרב בהגשת כתב-האישום וחלוף הזמן מאז בוצעה העבירה. לטענתה, הנאשם נחקר ביום 7.1.09, וכתב האישום הוגש ביולי 2011 – יותר משלוש שנים לאחר האירוע. בסופו של יום, עותרת היא ליתן משקל מכריע לכך שחלפו כחמש שנים מאז אותו אירוע, כשכל ענישה שתוטל במצטבר תביא לענישה שאינה מידתית במכלול.</w:t>
      </w:r>
    </w:p>
    <w:p w14:paraId="6B49E3D2" w14:textId="77777777" w:rsidR="00C81D19" w:rsidRDefault="009E2E6B">
      <w:pPr>
        <w:spacing w:line="360" w:lineRule="auto"/>
        <w:ind w:left="720" w:hanging="720"/>
        <w:jc w:val="both"/>
        <w:rPr>
          <w:rFonts w:ascii="Calibri" w:eastAsia="Calibri" w:hAnsi="Calibri"/>
          <w:rtl/>
        </w:rPr>
      </w:pPr>
      <w:r>
        <w:rPr>
          <w:rFonts w:ascii="Calibri" w:eastAsia="Calibri" w:hAnsi="Calibri" w:hint="cs"/>
          <w:rtl/>
        </w:rPr>
        <w:tab/>
        <w:t xml:space="preserve">הסניגורית לא התייחסה למתחם העונש ההולם בטיעוניה, וכל עתירתה היא כי המאסר על תנאי יופעל בחלקו הארי בחופף, כשהענישה שתוטל בגין תיק זה תהיה חופפת כולה לעונש המאסר אותו הוא מרצה כיום. </w:t>
      </w:r>
    </w:p>
    <w:p w14:paraId="0CB5D293" w14:textId="77777777" w:rsidR="00C81D19" w:rsidRDefault="00C81D19">
      <w:pPr>
        <w:spacing w:line="360" w:lineRule="auto"/>
        <w:ind w:left="720" w:hanging="720"/>
        <w:jc w:val="both"/>
        <w:rPr>
          <w:rFonts w:ascii="Calibri" w:eastAsia="Calibri" w:hAnsi="Calibri"/>
          <w:rtl/>
        </w:rPr>
      </w:pPr>
    </w:p>
    <w:p w14:paraId="365BF871" w14:textId="77777777" w:rsidR="00C81D19" w:rsidRDefault="009E2E6B">
      <w:pPr>
        <w:spacing w:line="360" w:lineRule="auto"/>
        <w:ind w:left="720" w:hanging="720"/>
        <w:jc w:val="both"/>
        <w:rPr>
          <w:rFonts w:ascii="Calibri" w:eastAsia="Calibri" w:hAnsi="Calibri"/>
          <w:rtl/>
        </w:rPr>
      </w:pPr>
      <w:r>
        <w:rPr>
          <w:rFonts w:ascii="Calibri" w:eastAsia="Calibri" w:hAnsi="Calibri" w:hint="cs"/>
          <w:rtl/>
        </w:rPr>
        <w:lastRenderedPageBreak/>
        <w:t>5.</w:t>
      </w:r>
      <w:r>
        <w:rPr>
          <w:rFonts w:ascii="Calibri" w:eastAsia="Calibri" w:hAnsi="Calibri" w:hint="cs"/>
          <w:rtl/>
        </w:rPr>
        <w:tab/>
        <w:t>בדברו לבית-המשפט ביקש הנאשם להתחשב במאסר בהוטל עליו, הביע הבנה לחומרת מעשיו, טען כי מצוי בכיוון של שינוי חיובי וכי הוא מקבל בהכנעה כל החלטה של בית-המשפט.</w:t>
      </w:r>
    </w:p>
    <w:p w14:paraId="0156D2E2" w14:textId="77777777" w:rsidR="00C81D19" w:rsidRDefault="00C81D19">
      <w:pPr>
        <w:spacing w:line="360" w:lineRule="auto"/>
        <w:ind w:left="720" w:hanging="720"/>
        <w:jc w:val="both"/>
        <w:rPr>
          <w:rFonts w:ascii="Calibri" w:eastAsia="Calibri" w:hAnsi="Calibri"/>
          <w:rtl/>
        </w:rPr>
      </w:pPr>
    </w:p>
    <w:p w14:paraId="7AE4D4AE" w14:textId="77777777" w:rsidR="00C81D19" w:rsidRDefault="009E2E6B">
      <w:pPr>
        <w:spacing w:line="360" w:lineRule="auto"/>
        <w:ind w:left="720" w:hanging="720"/>
        <w:jc w:val="both"/>
        <w:rPr>
          <w:rFonts w:ascii="Arial" w:hAnsi="Arial"/>
          <w:rtl/>
        </w:rPr>
      </w:pPr>
      <w:r>
        <w:rPr>
          <w:rFonts w:ascii="Calibri" w:eastAsia="Calibri" w:hAnsi="Calibri" w:hint="cs"/>
          <w:rtl/>
        </w:rPr>
        <w:t>6.</w:t>
      </w:r>
      <w:r>
        <w:rPr>
          <w:rFonts w:ascii="Arial" w:hAnsi="Arial" w:hint="cs"/>
          <w:rtl/>
        </w:rPr>
        <w:tab/>
        <w:t>על-פי תיקון 113 ל</w:t>
      </w:r>
      <w:hyperlink r:id="rId10" w:history="1">
        <w:r w:rsidR="009733B3" w:rsidRPr="009733B3">
          <w:rPr>
            <w:rStyle w:val="Hyperlink"/>
            <w:rFonts w:ascii="Arial" w:hAnsi="Arial"/>
            <w:rtl/>
          </w:rPr>
          <w:t>חוק העונשין</w:t>
        </w:r>
      </w:hyperlink>
      <w:r>
        <w:rPr>
          <w:rFonts w:ascii="Arial" w:hAnsi="Arial" w:hint="cs"/>
          <w:rtl/>
        </w:rPr>
        <w:t>, וכמצוות המחוקק בסעיף 40ג(א) לחוק העונשין, בקביעת מתחם העונש ההולם את מעשה העבירה שביצע הנאשם בהתאם לעקרון המנחה של ההלימה, יש להתחשב בערך החברתי שנפגע מביצוע העבירה ומידת הפגיעה בו, במדיניות הענישה הנהוגה ובנסיבות הקשורות בביצוע העבירה.</w:t>
      </w:r>
    </w:p>
    <w:p w14:paraId="37C01A56" w14:textId="77777777" w:rsidR="00C81D19" w:rsidRDefault="00C81D19">
      <w:pPr>
        <w:spacing w:line="360" w:lineRule="auto"/>
        <w:ind w:left="720" w:hanging="720"/>
        <w:jc w:val="both"/>
        <w:rPr>
          <w:rFonts w:ascii="Arial" w:hAnsi="Arial"/>
          <w:rtl/>
        </w:rPr>
      </w:pPr>
    </w:p>
    <w:p w14:paraId="5FBF35AC" w14:textId="77777777" w:rsidR="00C81D19" w:rsidRDefault="009E2E6B">
      <w:pPr>
        <w:spacing w:line="360" w:lineRule="auto"/>
        <w:ind w:left="720" w:hanging="720"/>
        <w:jc w:val="both"/>
        <w:rPr>
          <w:rFonts w:ascii="Symbol" w:hAnsi="Symbol"/>
          <w:rtl/>
        </w:rPr>
      </w:pPr>
      <w:r>
        <w:rPr>
          <w:rFonts w:ascii="Arial" w:hAnsi="Arial" w:hint="cs"/>
          <w:rtl/>
        </w:rPr>
        <w:t>7.</w:t>
      </w:r>
      <w:r>
        <w:rPr>
          <w:rFonts w:ascii="Arial" w:hAnsi="Arial" w:hint="cs"/>
          <w:rtl/>
        </w:rPr>
        <w:tab/>
      </w:r>
      <w:r>
        <w:rPr>
          <w:rFonts w:hint="cs"/>
          <w:rtl/>
        </w:rPr>
        <w:t xml:space="preserve">החדרת סמים לכלא על-ידי אסיר השב מחופשה מהווה פגיעה </w:t>
      </w:r>
      <w:r>
        <w:rPr>
          <w:rFonts w:ascii="Calibri" w:eastAsia="Calibri" w:hAnsi="Calibri" w:hint="cs"/>
          <w:rtl/>
        </w:rPr>
        <w:t>בציבור בכללותו בעצם הפצת הסמים, אך הפגיעה המשמעותית היא בסדר ובארגון בבית-הסוהר. בתי-המשפט מצווים לשרש תופעה זו באמצעות השתת ענישה חמורה ומכאיבה, שכן יש בה כדי לסכל את מטרות הענישה ולשים לאל את נסיונות החברה לגמול את המתמכרים לסמים. כן גורמת היא לשרשרת בלתי פוסקת של עבירות נלוות אשר יש בהן כדי להפר את הסדר הציבורי בין כותלי בית הסוהר ולגרום לחברה לנזקים בלתי הפיכים (ראו למשל קריאת בית-המשפט העליון ב</w:t>
      </w:r>
      <w:hyperlink r:id="rId11" w:history="1">
        <w:r w:rsidR="009733B3" w:rsidRPr="009733B3">
          <w:rPr>
            <w:rStyle w:val="Hyperlink"/>
            <w:rFonts w:ascii="Calibri" w:eastAsia="Calibri" w:hAnsi="Calibri" w:hint="cs"/>
            <w:rtl/>
          </w:rPr>
          <w:t>ע</w:t>
        </w:r>
        <w:r w:rsidR="009733B3" w:rsidRPr="009733B3">
          <w:rPr>
            <w:rStyle w:val="Hyperlink"/>
            <w:rFonts w:ascii="Calibri" w:eastAsia="Calibri" w:hAnsi="Calibri"/>
            <w:rtl/>
          </w:rPr>
          <w:t>"</w:t>
        </w:r>
        <w:r w:rsidR="009733B3" w:rsidRPr="009733B3">
          <w:rPr>
            <w:rStyle w:val="Hyperlink"/>
            <w:rFonts w:ascii="Calibri" w:eastAsia="Calibri" w:hAnsi="Calibri" w:hint="cs"/>
            <w:rtl/>
          </w:rPr>
          <w:t>פ</w:t>
        </w:r>
        <w:r w:rsidR="009733B3" w:rsidRPr="009733B3">
          <w:rPr>
            <w:rStyle w:val="Hyperlink"/>
            <w:rFonts w:ascii="Calibri" w:eastAsia="Calibri" w:hAnsi="Calibri"/>
            <w:rtl/>
          </w:rPr>
          <w:t xml:space="preserve"> 6143/03 </w:t>
        </w:r>
        <w:r w:rsidR="009733B3" w:rsidRPr="009733B3">
          <w:rPr>
            <w:rStyle w:val="Hyperlink"/>
            <w:rFonts w:ascii="Calibri" w:eastAsia="Calibri" w:hAnsi="Calibri" w:hint="cs"/>
            <w:rtl/>
          </w:rPr>
          <w:t>פורטל</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נגד</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מדינת</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ישראל</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פורסם</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בפ</w:t>
        </w:r>
        <w:r w:rsidR="009733B3" w:rsidRPr="009733B3">
          <w:rPr>
            <w:rStyle w:val="Hyperlink"/>
            <w:rFonts w:ascii="Calibri" w:eastAsia="Calibri" w:hAnsi="Calibri"/>
            <w:rtl/>
          </w:rPr>
          <w:t>"</w:t>
        </w:r>
        <w:r w:rsidR="009733B3" w:rsidRPr="009733B3">
          <w:rPr>
            <w:rStyle w:val="Hyperlink"/>
            <w:rFonts w:ascii="Calibri" w:eastAsia="Calibri" w:hAnsi="Calibri" w:hint="cs"/>
            <w:rtl/>
          </w:rPr>
          <w:t>ד</w:t>
        </w:r>
        <w:r w:rsidR="009733B3" w:rsidRPr="009733B3">
          <w:rPr>
            <w:rStyle w:val="Hyperlink"/>
            <w:rFonts w:ascii="Calibri" w:eastAsia="Calibri" w:hAnsi="Calibri"/>
            <w:rtl/>
          </w:rPr>
          <w:t xml:space="preserve"> </w:t>
        </w:r>
        <w:r w:rsidR="009733B3" w:rsidRPr="009733B3">
          <w:rPr>
            <w:rStyle w:val="Hyperlink"/>
            <w:rFonts w:ascii="Calibri" w:eastAsia="Calibri" w:hAnsi="Calibri" w:hint="cs"/>
            <w:rtl/>
          </w:rPr>
          <w:t>נח</w:t>
        </w:r>
      </w:hyperlink>
      <w:r>
        <w:rPr>
          <w:rFonts w:ascii="Calibri" w:eastAsia="Calibri" w:hAnsi="Calibri" w:hint="cs"/>
          <w:rtl/>
        </w:rPr>
        <w:t xml:space="preserve">(2) 614, בדבריו של כב' השופט לוי בעמ' 616 – 617). </w:t>
      </w:r>
    </w:p>
    <w:p w14:paraId="457AFEEC" w14:textId="77777777" w:rsidR="00C81D19" w:rsidRDefault="00C81D19">
      <w:pPr>
        <w:spacing w:line="360" w:lineRule="auto"/>
        <w:ind w:left="720" w:hanging="720"/>
        <w:jc w:val="both"/>
        <w:rPr>
          <w:rFonts w:ascii="Symbol" w:hAnsi="Symbol"/>
          <w:rtl/>
        </w:rPr>
      </w:pPr>
    </w:p>
    <w:p w14:paraId="1A926BBE" w14:textId="77777777" w:rsidR="00C81D19" w:rsidRDefault="009E2E6B">
      <w:pPr>
        <w:spacing w:line="360" w:lineRule="auto"/>
        <w:ind w:left="720" w:hanging="720"/>
        <w:jc w:val="both"/>
        <w:rPr>
          <w:rFonts w:ascii="Arial" w:hAnsi="Arial"/>
          <w:rtl/>
        </w:rPr>
      </w:pPr>
      <w:r>
        <w:rPr>
          <w:rFonts w:ascii="Symbol" w:hAnsi="Symbol" w:hint="cs"/>
          <w:rtl/>
        </w:rPr>
        <w:t>8.</w:t>
      </w:r>
      <w:r>
        <w:rPr>
          <w:rFonts w:ascii="Symbol" w:hAnsi="Symbol" w:hint="cs"/>
          <w:rtl/>
        </w:rPr>
        <w:tab/>
      </w:r>
      <w:r>
        <w:rPr>
          <w:rFonts w:ascii="Arial" w:hAnsi="Arial" w:hint="cs"/>
          <w:rtl/>
        </w:rPr>
        <w:t>בבחינת הנסיבות הקשורות בביצוע העבירה, וכמפורט בסעיף 40ט' ל</w:t>
      </w:r>
      <w:hyperlink r:id="rId12" w:history="1">
        <w:r w:rsidR="009733B3" w:rsidRPr="009733B3">
          <w:rPr>
            <w:rStyle w:val="Hyperlink"/>
            <w:rFonts w:ascii="Arial" w:hAnsi="Arial"/>
            <w:rtl/>
          </w:rPr>
          <w:t>חוק העונשין</w:t>
        </w:r>
      </w:hyperlink>
      <w:r>
        <w:rPr>
          <w:rFonts w:ascii="Arial" w:hAnsi="Arial" w:hint="cs"/>
          <w:rtl/>
        </w:rPr>
        <w:t>, ראוי להתייחס לגורמים הבאים:</w:t>
      </w:r>
    </w:p>
    <w:p w14:paraId="7E3C20DA" w14:textId="77777777" w:rsidR="00C81D19" w:rsidRDefault="009E2E6B">
      <w:pPr>
        <w:spacing w:line="360" w:lineRule="auto"/>
        <w:ind w:left="720" w:hanging="720"/>
        <w:jc w:val="both"/>
        <w:rPr>
          <w:rFonts w:ascii="Arial" w:hAnsi="Arial"/>
          <w:rtl/>
        </w:rPr>
      </w:pPr>
      <w:r>
        <w:rPr>
          <w:rFonts w:ascii="Arial" w:hAnsi="Arial" w:hint="cs"/>
          <w:rtl/>
        </w:rPr>
        <w:tab/>
        <w:t>- מעשיו של הנאשם מגלמים בתוכם אלמנט של תכנון, באשר הסם נארז והוטמן בגופו במהלך החופשה ובטרם החזרה לבית הסוהר;</w:t>
      </w:r>
    </w:p>
    <w:p w14:paraId="63C53A50" w14:textId="77777777" w:rsidR="00C81D19" w:rsidRDefault="009E2E6B">
      <w:pPr>
        <w:spacing w:line="360" w:lineRule="auto"/>
        <w:ind w:left="720" w:hanging="720"/>
        <w:jc w:val="both"/>
        <w:rPr>
          <w:rFonts w:ascii="Arial" w:hAnsi="Arial"/>
          <w:rtl/>
        </w:rPr>
      </w:pPr>
      <w:r>
        <w:rPr>
          <w:rFonts w:ascii="Arial" w:hAnsi="Arial" w:hint="cs"/>
          <w:rtl/>
        </w:rPr>
        <w:tab/>
        <w:t xml:space="preserve">- צפוי היה להיגרם נזק רב ממעשי הנאשם, באשר נמצא מחזיק הוא כמויות גדולות של מגוון סמים, לרבות סמים "קשים" מסוג הירואין, </w:t>
      </w:r>
      <w:r>
        <w:rPr>
          <w:rFonts w:ascii="Arial" w:hAnsi="Arial" w:hint="cs"/>
          <w:rtl/>
        </w:rPr>
        <w:tab/>
      </w:r>
      <w:r>
        <w:rPr>
          <w:rFonts w:ascii="Arial" w:hAnsi="Arial"/>
        </w:rPr>
        <w:t>MDMA</w:t>
      </w:r>
      <w:r>
        <w:rPr>
          <w:rFonts w:ascii="Arial" w:hAnsi="Arial" w:hint="cs"/>
          <w:rtl/>
        </w:rPr>
        <w:t xml:space="preserve"> ואמפיתמינים, אשר היו מוצאים דרכם אל בית-הסוהר לולא הפעילות המוצלחת של רשויות האכיפה;</w:t>
      </w:r>
    </w:p>
    <w:p w14:paraId="205AF74A" w14:textId="77777777" w:rsidR="00C81D19" w:rsidRDefault="009E2E6B">
      <w:pPr>
        <w:spacing w:line="360" w:lineRule="auto"/>
        <w:ind w:left="720" w:hanging="720"/>
        <w:jc w:val="both"/>
        <w:rPr>
          <w:rFonts w:ascii="Arial" w:hAnsi="Arial"/>
          <w:rtl/>
        </w:rPr>
      </w:pPr>
      <w:r>
        <w:rPr>
          <w:rFonts w:ascii="Arial" w:hAnsi="Arial" w:hint="cs"/>
          <w:rtl/>
        </w:rPr>
        <w:tab/>
        <w:t>- לא נשמעה כל טענה באשר לסיבות שהביאו את הנאשם לביצוע העבירה;</w:t>
      </w:r>
    </w:p>
    <w:p w14:paraId="5CCD9EC2" w14:textId="77777777" w:rsidR="00C81D19" w:rsidRDefault="009E2E6B">
      <w:pPr>
        <w:spacing w:line="360" w:lineRule="auto"/>
        <w:ind w:left="720" w:hanging="720"/>
        <w:jc w:val="both"/>
        <w:rPr>
          <w:rFonts w:ascii="Arial" w:hAnsi="Arial"/>
          <w:rtl/>
        </w:rPr>
      </w:pPr>
      <w:r>
        <w:rPr>
          <w:rFonts w:ascii="Arial" w:hAnsi="Arial" w:hint="cs"/>
          <w:rtl/>
        </w:rPr>
        <w:tab/>
        <w:t>- הנאשם שלט באופן מלא במעשיו והבין את מלוא חומרתם.</w:t>
      </w:r>
    </w:p>
    <w:p w14:paraId="57506040" w14:textId="77777777" w:rsidR="00C81D19" w:rsidRDefault="00C81D19">
      <w:pPr>
        <w:spacing w:line="360" w:lineRule="auto"/>
        <w:ind w:left="720" w:hanging="720"/>
        <w:jc w:val="both"/>
        <w:rPr>
          <w:rFonts w:ascii="Arial" w:hAnsi="Arial"/>
          <w:rtl/>
        </w:rPr>
      </w:pPr>
    </w:p>
    <w:p w14:paraId="4189670B" w14:textId="77777777" w:rsidR="00C81D19" w:rsidRDefault="009E2E6B">
      <w:pPr>
        <w:spacing w:line="360" w:lineRule="auto"/>
        <w:ind w:left="720" w:hanging="720"/>
        <w:jc w:val="both"/>
        <w:rPr>
          <w:rtl/>
        </w:rPr>
      </w:pPr>
      <w:r>
        <w:rPr>
          <w:rFonts w:ascii="Arial" w:hAnsi="Arial" w:hint="cs"/>
          <w:rtl/>
        </w:rPr>
        <w:t>9.</w:t>
      </w:r>
      <w:r>
        <w:rPr>
          <w:rFonts w:ascii="Arial" w:hAnsi="Arial" w:hint="cs"/>
          <w:rtl/>
        </w:rPr>
        <w:tab/>
      </w:r>
      <w:r>
        <w:rPr>
          <w:rFonts w:hint="cs"/>
          <w:rtl/>
        </w:rPr>
        <w:t xml:space="preserve">קיימת פסיקה ענפה המתייחסת לעבירות של החדרת סם לכלא, כאשר בענייננו עסקינן בנאשם אשר הודה והורשע בביצוע עבירה של החזקת סם שלא לצריכה עצמית. כאמור, ב"כ המאשימה הגישה פסיקה רלבנטית, </w:t>
      </w:r>
      <w:r>
        <w:rPr>
          <w:rFonts w:hint="cs"/>
          <w:u w:val="single"/>
          <w:rtl/>
        </w:rPr>
        <w:t>בשינויים המתחייבים</w:t>
      </w:r>
      <w:r>
        <w:rPr>
          <w:rFonts w:hint="cs"/>
          <w:rtl/>
        </w:rPr>
        <w:t xml:space="preserve">, לקביעת מתחם העונש ההולם, ובין השאר: </w:t>
      </w:r>
      <w:hyperlink r:id="rId13" w:history="1">
        <w:r w:rsidR="009733B3" w:rsidRPr="009733B3">
          <w:rPr>
            <w:rStyle w:val="Hyperlink"/>
            <w:rtl/>
          </w:rPr>
          <w:t>רע"פ 8707/06</w:t>
        </w:r>
      </w:hyperlink>
      <w:r>
        <w:rPr>
          <w:rFonts w:hint="cs"/>
          <w:rtl/>
        </w:rPr>
        <w:t xml:space="preserve"> </w:t>
      </w:r>
      <w:r>
        <w:rPr>
          <w:rFonts w:hint="cs"/>
          <w:b/>
          <w:bCs/>
          <w:rtl/>
        </w:rPr>
        <w:t>אבקסיס נגד מדינת ישראל</w:t>
      </w:r>
      <w:r>
        <w:rPr>
          <w:rFonts w:hint="cs"/>
          <w:rtl/>
        </w:rPr>
        <w:t xml:space="preserve"> (6.11.06), שם אושר עונש של שלוש שנות מאסר  - אשר כלל הפעלת מאסר על תנאי בן שישה חודשים - למי שניסה לספק לעציר בבית המעצר סם מסוג הירואין במשקל 18.47 גרם; </w:t>
      </w:r>
    </w:p>
    <w:p w14:paraId="4F42EB22" w14:textId="77777777" w:rsidR="00C81D19" w:rsidRDefault="009733B3">
      <w:pPr>
        <w:spacing w:line="360" w:lineRule="auto"/>
        <w:ind w:left="720"/>
        <w:jc w:val="both"/>
        <w:rPr>
          <w:rtl/>
        </w:rPr>
      </w:pPr>
      <w:hyperlink r:id="rId14" w:history="1">
        <w:r w:rsidRPr="009733B3">
          <w:rPr>
            <w:rStyle w:val="Hyperlink"/>
            <w:rtl/>
          </w:rPr>
          <w:t>עפ"ג (באר-שבע) 12574-11-12</w:t>
        </w:r>
      </w:hyperlink>
      <w:r w:rsidR="009E2E6B">
        <w:rPr>
          <w:rFonts w:hint="cs"/>
          <w:rtl/>
        </w:rPr>
        <w:t xml:space="preserve"> </w:t>
      </w:r>
      <w:r w:rsidR="009E2E6B">
        <w:rPr>
          <w:rFonts w:hint="cs"/>
          <w:b/>
          <w:bCs/>
          <w:rtl/>
        </w:rPr>
        <w:t>גבאי נגד מדינת ישראל</w:t>
      </w:r>
      <w:r w:rsidR="009E2E6B">
        <w:rPr>
          <w:rFonts w:hint="cs"/>
          <w:rtl/>
        </w:rPr>
        <w:t xml:space="preserve"> (16.1.13), אשר עניינו באסיר שהחדיר לכלא 2.131 גרם סם מסוג קוקאין לצריכתו העצמית. בבית-משפט השלום הוטל עליו עונש של 12 חודשי מאסר בפועל במצטבר לעונש מאסר אותו ריצה, ובנוסף הופעל מאסר על תנאי בן 4 חודשים במצטבר ובחופף, כך שסך הכל הוטל עליו לרצות 14 חודשי מאסר בפועל. ב"כ הנאשם ויתר על טענותיו לענין חומרת עונש המאסר והערעור נסב סביב שאלת גובה הקנס;</w:t>
      </w:r>
    </w:p>
    <w:p w14:paraId="554364E5" w14:textId="77777777" w:rsidR="00C81D19" w:rsidRDefault="009733B3">
      <w:pPr>
        <w:spacing w:line="360" w:lineRule="auto"/>
        <w:ind w:left="720"/>
        <w:jc w:val="both"/>
        <w:rPr>
          <w:rtl/>
        </w:rPr>
      </w:pPr>
      <w:hyperlink r:id="rId15" w:history="1">
        <w:r w:rsidRPr="009733B3">
          <w:rPr>
            <w:rStyle w:val="Hyperlink"/>
            <w:rtl/>
          </w:rPr>
          <w:t>ע"פ 1277/06</w:t>
        </w:r>
      </w:hyperlink>
      <w:r w:rsidR="009E2E6B">
        <w:rPr>
          <w:rFonts w:hint="cs"/>
          <w:rtl/>
        </w:rPr>
        <w:t xml:space="preserve"> (מחוזי נצרת) </w:t>
      </w:r>
      <w:r w:rsidR="009E2E6B">
        <w:rPr>
          <w:rFonts w:hint="cs"/>
          <w:b/>
          <w:bCs/>
          <w:rtl/>
        </w:rPr>
        <w:t xml:space="preserve">סחאר נגד מדינת ישראל </w:t>
      </w:r>
      <w:r w:rsidR="009E2E6B">
        <w:rPr>
          <w:rFonts w:hint="cs"/>
          <w:rtl/>
        </w:rPr>
        <w:t>(24.10.06), שעניינו באסיר שכלא שטה אשר החזיק בסם מסוג הרואין שלא לצריכה עצמית במשקל 12.221. על המערער, אשר ניהל הוכחות, הוטל בין השאר, עונש מאסר בפועל בן 18 חודשים – כאשר נקבע כי 15 חודשים ירוצו במצטבר והיתרה בחופף, עונש אשר אושר על-ידי ערכאת הערעור.</w:t>
      </w:r>
    </w:p>
    <w:p w14:paraId="15829476" w14:textId="77777777" w:rsidR="00C81D19" w:rsidRDefault="009E2E6B">
      <w:pPr>
        <w:spacing w:line="360" w:lineRule="auto"/>
        <w:ind w:left="720"/>
        <w:jc w:val="both"/>
        <w:rPr>
          <w:rtl/>
        </w:rPr>
      </w:pPr>
      <w:r>
        <w:rPr>
          <w:rFonts w:hint="cs"/>
          <w:rtl/>
        </w:rPr>
        <w:t xml:space="preserve">ראו והשוו גם: </w:t>
      </w:r>
      <w:hyperlink r:id="rId16" w:history="1">
        <w:r w:rsidR="009733B3" w:rsidRPr="009733B3">
          <w:rPr>
            <w:rStyle w:val="Hyperlink"/>
            <w:rtl/>
          </w:rPr>
          <w:t>רע"פ 3245/08</w:t>
        </w:r>
      </w:hyperlink>
      <w:r>
        <w:rPr>
          <w:rFonts w:hint="cs"/>
          <w:rtl/>
        </w:rPr>
        <w:t xml:space="preserve"> </w:t>
      </w:r>
      <w:r>
        <w:rPr>
          <w:rFonts w:hint="cs"/>
          <w:b/>
          <w:bCs/>
          <w:rtl/>
        </w:rPr>
        <w:t>מחמוד נגד מדינת ישראל</w:t>
      </w:r>
      <w:r>
        <w:rPr>
          <w:rFonts w:hint="cs"/>
          <w:rtl/>
        </w:rPr>
        <w:t xml:space="preserve"> (13.4.08), </w:t>
      </w:r>
      <w:hyperlink r:id="rId17" w:history="1">
        <w:r w:rsidR="009733B3" w:rsidRPr="009733B3">
          <w:rPr>
            <w:rStyle w:val="Hyperlink"/>
            <w:rtl/>
          </w:rPr>
          <w:t>ע"פ 6048/04</w:t>
        </w:r>
      </w:hyperlink>
      <w:r>
        <w:rPr>
          <w:rFonts w:hint="cs"/>
          <w:rtl/>
        </w:rPr>
        <w:t xml:space="preserve"> </w:t>
      </w:r>
      <w:r>
        <w:rPr>
          <w:rFonts w:hint="cs"/>
          <w:b/>
          <w:bCs/>
          <w:rtl/>
        </w:rPr>
        <w:t>אדגואיצאנו נגד מדינת ישראל</w:t>
      </w:r>
      <w:r>
        <w:rPr>
          <w:rFonts w:hint="cs"/>
          <w:rtl/>
        </w:rPr>
        <w:t xml:space="preserve"> (12.7.05).</w:t>
      </w:r>
    </w:p>
    <w:p w14:paraId="4D864297" w14:textId="77777777" w:rsidR="00C81D19" w:rsidRDefault="00C81D19">
      <w:pPr>
        <w:spacing w:line="360" w:lineRule="auto"/>
        <w:ind w:left="720"/>
        <w:jc w:val="both"/>
        <w:rPr>
          <w:rtl/>
        </w:rPr>
      </w:pPr>
    </w:p>
    <w:p w14:paraId="32B57EE3" w14:textId="77777777" w:rsidR="00C81D19" w:rsidRDefault="009E2E6B">
      <w:pPr>
        <w:spacing w:line="360" w:lineRule="auto"/>
        <w:ind w:left="720"/>
        <w:jc w:val="both"/>
        <w:rPr>
          <w:rtl/>
        </w:rPr>
      </w:pPr>
      <w:r>
        <w:rPr>
          <w:rFonts w:hint="cs"/>
          <w:rtl/>
        </w:rPr>
        <w:t xml:space="preserve">על כן, לאור מדיניות הענישה הנהוגה הקיימת וזו שהוצגה על-ידי המאשימה (כאשר, כאמור, ההגנה לא טענה כלל לענין מתחם העונש ההולם), אני מקבלת את המתחם שהוצג על-ידי המאשימה וקובעת כי בנסיבות תיק זה, כאשר עסקינן באסיר השב מחופשה ונמצא הוא מחזיק במגוון הסמים ובכמות הגדולה המתוארת בכתב-האישום, הרי שמתחם העונש ההולם הינו בין 14 חודשי מאסר בפועל ל – 30 חודשי מאסר בפועל וכן מאסר על תנאי. </w:t>
      </w:r>
    </w:p>
    <w:p w14:paraId="77D190BF" w14:textId="77777777" w:rsidR="00C81D19" w:rsidRDefault="00C81D19">
      <w:pPr>
        <w:spacing w:line="360" w:lineRule="auto"/>
        <w:ind w:left="720" w:hanging="720"/>
        <w:jc w:val="both"/>
        <w:rPr>
          <w:rFonts w:ascii="Arial" w:hAnsi="Arial"/>
        </w:rPr>
      </w:pPr>
    </w:p>
    <w:p w14:paraId="3DAAD7C3" w14:textId="77777777" w:rsidR="00C81D19" w:rsidRDefault="009E2E6B">
      <w:pPr>
        <w:spacing w:line="360" w:lineRule="auto"/>
        <w:ind w:left="720" w:hanging="720"/>
        <w:jc w:val="both"/>
        <w:rPr>
          <w:rFonts w:ascii="Arial" w:hAnsi="Arial"/>
          <w:rtl/>
        </w:rPr>
      </w:pPr>
      <w:r>
        <w:rPr>
          <w:rFonts w:ascii="Arial" w:hAnsi="Arial" w:hint="cs"/>
          <w:rtl/>
        </w:rPr>
        <w:t>10.</w:t>
      </w:r>
      <w:r>
        <w:rPr>
          <w:rFonts w:ascii="Arial" w:hAnsi="Arial" w:hint="cs"/>
          <w:rtl/>
        </w:rPr>
        <w:tab/>
        <w:t>למעשה כיום אין מחלוקת כי דינו של הנאשם לרצות את עונשו מאחורי סורג ובריח. ב"כ הצדדים נחלקו באשר לאופן הריצוי בהתחשב בקיומו של מאסר על תנאי בן 12 חודשים ובעובדה שהנאשם מרצה עונש מאסר בפועל ממושך בן 10 שנים אשר הוטל עליו לאחרונה בשל ביצוע עבירות אלימות. בגזירת העונש המתאים לנאשם שבפניי, יש להתחשב בנסיבות אלו ואחרות, אשר אינן קשורות בביצוע העבירה, כמפורט בסעיף 40 י"א ל</w:t>
      </w:r>
      <w:hyperlink r:id="rId18" w:history="1">
        <w:r w:rsidR="009733B3" w:rsidRPr="009733B3">
          <w:rPr>
            <w:rStyle w:val="Hyperlink"/>
            <w:rFonts w:ascii="Arial" w:hAnsi="Arial"/>
            <w:rtl/>
          </w:rPr>
          <w:t>חוק העונשין</w:t>
        </w:r>
      </w:hyperlink>
      <w:r>
        <w:rPr>
          <w:rFonts w:ascii="Arial" w:hAnsi="Arial" w:hint="cs"/>
          <w:rtl/>
        </w:rPr>
        <w:t>.</w:t>
      </w:r>
    </w:p>
    <w:p w14:paraId="5E242EBA" w14:textId="77777777" w:rsidR="00C81D19" w:rsidRDefault="009E2E6B">
      <w:pPr>
        <w:spacing w:line="360" w:lineRule="auto"/>
        <w:ind w:left="720" w:hanging="720"/>
        <w:jc w:val="both"/>
        <w:rPr>
          <w:rFonts w:ascii="Arial" w:hAnsi="Arial"/>
          <w:rtl/>
        </w:rPr>
      </w:pPr>
      <w:r>
        <w:rPr>
          <w:rFonts w:ascii="Arial" w:hAnsi="Arial" w:hint="cs"/>
          <w:rtl/>
        </w:rPr>
        <w:tab/>
      </w:r>
    </w:p>
    <w:p w14:paraId="2D217C13" w14:textId="77777777" w:rsidR="00C81D19" w:rsidRDefault="009E2E6B">
      <w:pPr>
        <w:spacing w:line="360" w:lineRule="auto"/>
        <w:ind w:left="720" w:hanging="720"/>
        <w:jc w:val="both"/>
        <w:rPr>
          <w:rFonts w:ascii="Arial" w:hAnsi="Arial"/>
          <w:rtl/>
        </w:rPr>
      </w:pPr>
      <w:r>
        <w:rPr>
          <w:rFonts w:ascii="Arial" w:hAnsi="Arial" w:hint="cs"/>
          <w:rtl/>
        </w:rPr>
        <w:t>11.</w:t>
      </w:r>
      <w:r>
        <w:rPr>
          <w:rFonts w:ascii="Arial" w:hAnsi="Arial" w:hint="cs"/>
          <w:rtl/>
        </w:rPr>
        <w:tab/>
        <w:t>הצדק עם ב"כ המאשימה, כי המדובר בנאשם בעל עבר פלילי מכביד הכולל 15 הרשעות קודמות בין השנים 1988 ועד להרשעה האחרונה מתחילת שנה זו, הכוללות ביצוע עבירות סמים, רכוש ואלימות, כאשר מאסרים חוזרים לא הרתיעוהו. בשנת 2006 ביצע עבירה דומה של החדרת סם מסוג הרואין במשקל של כ – 8.5 גרם לכלא כשחזר מחופשה בעת שריצה עונש מאסר קצר. הנאשם הודה בכתב-אישום שתוקן להחזקת סם לצריכה עצמית, בית-המשפט אימץ הסדר טיעון מקל (ת/2), כשבין השאר נדון הוא לעונש מאסר על תנאי מוחשי בן 12 חודשים, אשר לא הרתיע אותו מלחזור לסורו, וביתר שאת.</w:t>
      </w:r>
    </w:p>
    <w:p w14:paraId="78A1AAF5" w14:textId="77777777" w:rsidR="00C81D19" w:rsidRDefault="00C81D19">
      <w:pPr>
        <w:spacing w:line="360" w:lineRule="auto"/>
        <w:ind w:left="720" w:hanging="720"/>
        <w:jc w:val="both"/>
        <w:rPr>
          <w:rFonts w:ascii="Arial" w:hAnsi="Arial"/>
          <w:rtl/>
        </w:rPr>
      </w:pPr>
    </w:p>
    <w:p w14:paraId="6D2872D6" w14:textId="77777777" w:rsidR="00C81D19" w:rsidRDefault="009E2E6B">
      <w:pPr>
        <w:spacing w:line="360" w:lineRule="auto"/>
        <w:ind w:left="720" w:hanging="720"/>
        <w:jc w:val="both"/>
        <w:rPr>
          <w:rFonts w:ascii="Symbol" w:hAnsi="Symbol"/>
          <w:rtl/>
        </w:rPr>
      </w:pPr>
      <w:r>
        <w:rPr>
          <w:rFonts w:ascii="Arial" w:hAnsi="Arial" w:hint="cs"/>
          <w:rtl/>
        </w:rPr>
        <w:t>12.</w:t>
      </w:r>
      <w:r>
        <w:rPr>
          <w:rFonts w:ascii="Arial" w:hAnsi="Arial" w:hint="cs"/>
          <w:rtl/>
        </w:rPr>
        <w:tab/>
      </w:r>
      <w:r>
        <w:rPr>
          <w:rFonts w:ascii="Symbol" w:hAnsi="Symbol" w:hint="cs"/>
          <w:rtl/>
        </w:rPr>
        <w:t>עם זאת, אינני יכולה להתעלם מקיומו של גורם מרכזי המשפיע על הצורך בהטלת ענישה מתונה שאינה מצויה ברף הגבוה של המתחם - והוא חלוף הזמן מאז ביצוע העבירה אשר התרחשה לפני כארבע שנים ומחצה. העבירה בוצעה בסוף דצמבר 2008, הנאשם נחקר בתחילת ינואר 2009</w:t>
      </w:r>
      <w:r>
        <w:rPr>
          <w:rFonts w:ascii="Symbol" w:hAnsi="Symbol"/>
        </w:rPr>
        <w:t></w:t>
      </w:r>
      <w:r>
        <w:rPr>
          <w:rFonts w:ascii="Symbol" w:hAnsi="Symbol" w:hint="cs"/>
          <w:rtl/>
        </w:rPr>
        <w:t xml:space="preserve">ולמרות זאת, כתב-האישום הוגש אך בחודש יולי 2011, כשלא ניתן כל הסבר לשיהוי מצד הפרקליטות. </w:t>
      </w:r>
    </w:p>
    <w:p w14:paraId="43CA6312" w14:textId="77777777" w:rsidR="00C81D19" w:rsidRDefault="009E2E6B">
      <w:pPr>
        <w:spacing w:line="360" w:lineRule="auto"/>
        <w:ind w:left="720"/>
        <w:jc w:val="both"/>
        <w:rPr>
          <w:rFonts w:ascii="Symbol" w:hAnsi="Symbol"/>
          <w:rtl/>
        </w:rPr>
      </w:pPr>
      <w:r>
        <w:rPr>
          <w:rFonts w:ascii="Symbol" w:hAnsi="Symbol" w:hint="cs"/>
          <w:rtl/>
        </w:rPr>
        <w:t>עוד יש להתחשב בהודאת הנאשם במיוחס לו. בנוסף, אני מקבלת את טענת ההגנה כי יש מקום להטיל עונש שיהא בראייה של המכלול, כאשר הנאשם אך החל בריצוי עונש מאסר בפועל ממושך.</w:t>
      </w:r>
    </w:p>
    <w:p w14:paraId="46476F99" w14:textId="77777777" w:rsidR="00C81D19" w:rsidRDefault="00C81D19">
      <w:pPr>
        <w:spacing w:line="360" w:lineRule="auto"/>
        <w:ind w:left="720"/>
        <w:jc w:val="both"/>
        <w:rPr>
          <w:rFonts w:ascii="Symbol" w:hAnsi="Symbol"/>
          <w:rtl/>
        </w:rPr>
      </w:pPr>
    </w:p>
    <w:p w14:paraId="3D91140D" w14:textId="77777777" w:rsidR="00C81D19" w:rsidRDefault="009E2E6B">
      <w:pPr>
        <w:spacing w:line="360" w:lineRule="auto"/>
        <w:ind w:left="720" w:hanging="720"/>
        <w:jc w:val="both"/>
        <w:rPr>
          <w:rFonts w:ascii="Symbol" w:hAnsi="Symbol"/>
          <w:rtl/>
        </w:rPr>
      </w:pPr>
      <w:r>
        <w:rPr>
          <w:rFonts w:ascii="Symbol" w:hAnsi="Symbol" w:hint="cs"/>
          <w:rtl/>
        </w:rPr>
        <w:t>13.</w:t>
      </w:r>
      <w:r>
        <w:rPr>
          <w:rFonts w:ascii="Symbol" w:hAnsi="Symbol" w:hint="cs"/>
          <w:rtl/>
        </w:rPr>
        <w:tab/>
        <w:t xml:space="preserve">לאחר ששקלתי את כל השיקולים, ועל-מנת לשמור על יחס הולם בין חומרת העבירה ומידת אשמו של הנאשם לבין תקופת המאסר שעל הנאשם לשאת במכלול, אני גוזרת את דינו של הנאשם כדלקמן: </w:t>
      </w:r>
    </w:p>
    <w:p w14:paraId="01BB1DE7" w14:textId="77777777" w:rsidR="00C81D19" w:rsidRDefault="00C81D19">
      <w:pPr>
        <w:spacing w:line="360" w:lineRule="auto"/>
        <w:ind w:left="720" w:hanging="720"/>
        <w:jc w:val="both"/>
        <w:rPr>
          <w:rFonts w:ascii="Symbol" w:hAnsi="Symbol"/>
          <w:rtl/>
        </w:rPr>
      </w:pPr>
    </w:p>
    <w:p w14:paraId="0276DEF8" w14:textId="77777777" w:rsidR="00C81D19" w:rsidRDefault="009E2E6B">
      <w:pPr>
        <w:spacing w:line="360" w:lineRule="auto"/>
        <w:ind w:left="720" w:hanging="720"/>
        <w:jc w:val="both"/>
        <w:rPr>
          <w:rFonts w:ascii="Symbol" w:hAnsi="Symbol"/>
          <w:rtl/>
        </w:rPr>
      </w:pPr>
      <w:r>
        <w:rPr>
          <w:rFonts w:ascii="Symbol" w:hAnsi="Symbol" w:hint="cs"/>
          <w:rtl/>
        </w:rPr>
        <w:tab/>
        <w:t>בגין ביצוע העבירה נשוא גזר-דין זה, מטילה על הנאשם מאסר בפועל לתקופה של 18 חודשים.</w:t>
      </w:r>
    </w:p>
    <w:p w14:paraId="25547E7B" w14:textId="77777777" w:rsidR="00C81D19" w:rsidRDefault="00C81D19">
      <w:pPr>
        <w:spacing w:line="360" w:lineRule="auto"/>
        <w:ind w:left="720" w:hanging="720"/>
        <w:jc w:val="both"/>
        <w:rPr>
          <w:rFonts w:ascii="Symbol" w:hAnsi="Symbol"/>
          <w:rtl/>
        </w:rPr>
      </w:pPr>
    </w:p>
    <w:p w14:paraId="3584E981" w14:textId="77777777" w:rsidR="00C81D19" w:rsidRDefault="009E2E6B">
      <w:pPr>
        <w:spacing w:line="360" w:lineRule="auto"/>
        <w:ind w:left="720"/>
        <w:jc w:val="both"/>
        <w:rPr>
          <w:rFonts w:ascii="Symbol" w:hAnsi="Symbol"/>
          <w:rtl/>
        </w:rPr>
      </w:pPr>
      <w:r>
        <w:rPr>
          <w:rFonts w:ascii="Symbol" w:hAnsi="Symbol" w:hint="cs"/>
          <w:rtl/>
        </w:rPr>
        <w:t>מפעילה מאסר על תנאי בן 12 חודשים מ</w:t>
      </w:r>
      <w:r w:rsidRPr="00586AD8">
        <w:rPr>
          <w:rFonts w:ascii="Symbol" w:hAnsi="Symbol" w:hint="eastAsia"/>
          <w:color w:val="000000"/>
          <w:rtl/>
        </w:rPr>
        <w:t>ת</w:t>
      </w:r>
      <w:r w:rsidRPr="00586AD8">
        <w:rPr>
          <w:rFonts w:ascii="Symbol" w:hAnsi="Symbol"/>
          <w:color w:val="000000"/>
          <w:rtl/>
        </w:rPr>
        <w:t>.</w:t>
      </w:r>
      <w:r w:rsidRPr="00586AD8">
        <w:rPr>
          <w:rFonts w:ascii="Symbol" w:hAnsi="Symbol" w:hint="eastAsia"/>
          <w:color w:val="000000"/>
          <w:rtl/>
        </w:rPr>
        <w:t>פ</w:t>
      </w:r>
      <w:r w:rsidRPr="00586AD8">
        <w:rPr>
          <w:rFonts w:ascii="Symbol" w:hAnsi="Symbol"/>
          <w:color w:val="000000"/>
          <w:rtl/>
        </w:rPr>
        <w:t>. 2323/06</w:t>
      </w:r>
      <w:r>
        <w:rPr>
          <w:rFonts w:ascii="Symbol" w:hAnsi="Symbol" w:hint="cs"/>
          <w:rtl/>
        </w:rPr>
        <w:t xml:space="preserve"> (שלום כ"ס), גזר-דין מיום 27.4.2008, לריצוי בחופף.</w:t>
      </w:r>
    </w:p>
    <w:p w14:paraId="46FECE3C" w14:textId="77777777" w:rsidR="00C81D19" w:rsidRDefault="00C81D19">
      <w:pPr>
        <w:spacing w:line="360" w:lineRule="auto"/>
        <w:ind w:left="720"/>
        <w:jc w:val="both"/>
        <w:rPr>
          <w:rFonts w:ascii="Symbol" w:hAnsi="Symbol"/>
          <w:rtl/>
        </w:rPr>
      </w:pPr>
    </w:p>
    <w:p w14:paraId="383A9B81" w14:textId="77777777" w:rsidR="00C81D19" w:rsidRDefault="009E2E6B">
      <w:pPr>
        <w:spacing w:line="360" w:lineRule="auto"/>
        <w:ind w:left="720"/>
        <w:jc w:val="both"/>
        <w:rPr>
          <w:rFonts w:ascii="Symbol" w:hAnsi="Symbol"/>
          <w:b/>
          <w:bCs/>
          <w:rtl/>
        </w:rPr>
      </w:pPr>
      <w:r>
        <w:rPr>
          <w:rFonts w:ascii="Symbol" w:hAnsi="Symbol" w:hint="cs"/>
          <w:b/>
          <w:bCs/>
          <w:rtl/>
        </w:rPr>
        <w:t>סך הכל, אם כן, ירצה הנאשם עונש מאסר בפועל בן 18 חודשים במצטבר למאסר הנוכחי אותו הוא מרצה.</w:t>
      </w:r>
    </w:p>
    <w:p w14:paraId="3B6C772F" w14:textId="77777777" w:rsidR="00C81D19" w:rsidRDefault="00C81D19">
      <w:pPr>
        <w:spacing w:line="360" w:lineRule="auto"/>
        <w:ind w:left="720"/>
        <w:jc w:val="both"/>
        <w:rPr>
          <w:rFonts w:ascii="Symbol" w:hAnsi="Symbol"/>
          <w:b/>
          <w:bCs/>
          <w:rtl/>
        </w:rPr>
      </w:pPr>
    </w:p>
    <w:p w14:paraId="4B251F50" w14:textId="77777777" w:rsidR="00C81D19" w:rsidRDefault="009E2E6B">
      <w:pPr>
        <w:spacing w:line="360" w:lineRule="auto"/>
        <w:ind w:left="720"/>
        <w:jc w:val="both"/>
        <w:rPr>
          <w:rtl/>
        </w:rPr>
      </w:pPr>
      <w:r>
        <w:rPr>
          <w:rFonts w:hint="cs"/>
          <w:rtl/>
        </w:rPr>
        <w:t xml:space="preserve">מאסר על תנאי של 12 חודשים למשך שלוש שנים </w:t>
      </w:r>
      <w:r>
        <w:rPr>
          <w:rFonts w:hint="cs"/>
          <w:u w:val="single"/>
          <w:rtl/>
        </w:rPr>
        <w:t>מהיום</w:t>
      </w:r>
      <w:r>
        <w:rPr>
          <w:rFonts w:hint="cs"/>
          <w:rtl/>
        </w:rPr>
        <w:t xml:space="preserve">, שלא יעבור עבירות סמים מסוג פשע; מאסר על תנאי של 6 חודשים למשך שלוש שנים </w:t>
      </w:r>
      <w:r>
        <w:rPr>
          <w:rFonts w:hint="cs"/>
          <w:u w:val="single"/>
          <w:rtl/>
        </w:rPr>
        <w:t>מהיום</w:t>
      </w:r>
      <w:r>
        <w:rPr>
          <w:rFonts w:hint="cs"/>
          <w:rtl/>
        </w:rPr>
        <w:t>, שלא יעבור עבירות סמים מסוג עוון.</w:t>
      </w:r>
    </w:p>
    <w:p w14:paraId="6A2F26B6" w14:textId="77777777" w:rsidR="00C81D19" w:rsidRDefault="00C81D19">
      <w:pPr>
        <w:spacing w:line="360" w:lineRule="auto"/>
        <w:ind w:left="720"/>
        <w:jc w:val="both"/>
        <w:rPr>
          <w:rtl/>
        </w:rPr>
      </w:pPr>
    </w:p>
    <w:p w14:paraId="2DED0E7A" w14:textId="77777777" w:rsidR="00C81D19" w:rsidRDefault="009E2E6B">
      <w:pPr>
        <w:spacing w:line="360" w:lineRule="auto"/>
        <w:ind w:left="720"/>
        <w:jc w:val="both"/>
        <w:rPr>
          <w:rtl/>
        </w:rPr>
      </w:pPr>
      <w:r>
        <w:rPr>
          <w:rFonts w:hint="cs"/>
          <w:rtl/>
        </w:rPr>
        <w:t>ניתן צו להשמדת הסמים.</w:t>
      </w:r>
    </w:p>
    <w:p w14:paraId="7A51298C" w14:textId="77777777" w:rsidR="00C81D19" w:rsidRDefault="00C81D19">
      <w:pPr>
        <w:spacing w:line="360" w:lineRule="auto"/>
        <w:ind w:left="720"/>
        <w:jc w:val="both"/>
        <w:rPr>
          <w:rtl/>
        </w:rPr>
      </w:pPr>
    </w:p>
    <w:p w14:paraId="16B3C7CA" w14:textId="77777777" w:rsidR="00C81D19" w:rsidRDefault="009E2E6B">
      <w:pPr>
        <w:spacing w:line="360" w:lineRule="auto"/>
        <w:rPr>
          <w:b/>
          <w:bCs/>
          <w:rtl/>
        </w:rPr>
      </w:pPr>
      <w:r>
        <w:rPr>
          <w:rFonts w:hint="cs"/>
          <w:b/>
          <w:bCs/>
          <w:rtl/>
        </w:rPr>
        <w:t xml:space="preserve">הודעה זכות ערעור לבית-המשפט המחוזי בתוך 45 יום. </w:t>
      </w:r>
    </w:p>
    <w:p w14:paraId="0A044177" w14:textId="77777777" w:rsidR="00C81D19" w:rsidRPr="009E2E6B" w:rsidRDefault="009E2E6B">
      <w:pPr>
        <w:spacing w:line="360" w:lineRule="auto"/>
        <w:rPr>
          <w:b/>
          <w:bCs/>
          <w:color w:val="FFFFFF"/>
          <w:sz w:val="2"/>
          <w:szCs w:val="2"/>
          <w:rtl/>
        </w:rPr>
      </w:pPr>
      <w:r w:rsidRPr="009E2E6B">
        <w:rPr>
          <w:b/>
          <w:bCs/>
          <w:color w:val="FFFFFF"/>
          <w:sz w:val="2"/>
          <w:szCs w:val="2"/>
          <w:rtl/>
        </w:rPr>
        <w:t>5129371</w:t>
      </w:r>
    </w:p>
    <w:p w14:paraId="605024BB" w14:textId="77777777" w:rsidR="00C81D19" w:rsidRDefault="009E2E6B">
      <w:pPr>
        <w:rPr>
          <w:rFonts w:cs="FrankRuehl"/>
          <w:sz w:val="28"/>
          <w:szCs w:val="28"/>
          <w:rtl/>
        </w:rPr>
      </w:pPr>
      <w:r w:rsidRPr="009E2E6B">
        <w:rPr>
          <w:rFonts w:ascii="Arial" w:hAnsi="Arial"/>
          <w:color w:val="FFFFFF"/>
          <w:sz w:val="2"/>
          <w:szCs w:val="2"/>
          <w:rtl/>
        </w:rPr>
        <w:t>54678313</w:t>
      </w:r>
      <w:r>
        <w:rPr>
          <w:rFonts w:ascii="Arial" w:hAnsi="Arial"/>
          <w:rtl/>
        </w:rPr>
        <w:t xml:space="preserve">ניתן היום, 3 אפריל 2013, במעמד הנוכחים. </w:t>
      </w:r>
    </w:p>
    <w:p w14:paraId="7D9E041B" w14:textId="77777777" w:rsidR="009E2E6B" w:rsidRPr="0058260D" w:rsidRDefault="0058260D" w:rsidP="009E2E6B">
      <w:pPr>
        <w:keepNext/>
        <w:rPr>
          <w:rFonts w:ascii="David" w:hAnsi="David" w:hint="cs"/>
          <w:color w:val="FFFFFF"/>
          <w:sz w:val="2"/>
          <w:szCs w:val="2"/>
          <w:rtl/>
        </w:rPr>
      </w:pPr>
      <w:r w:rsidRPr="0058260D">
        <w:rPr>
          <w:rFonts w:ascii="David" w:hAnsi="David"/>
          <w:color w:val="FFFFFF"/>
          <w:sz w:val="2"/>
          <w:szCs w:val="2"/>
          <w:rtl/>
        </w:rPr>
        <w:t>5129371</w:t>
      </w:r>
    </w:p>
    <w:p w14:paraId="32106869" w14:textId="77777777" w:rsidR="0058260D" w:rsidRPr="0058260D" w:rsidRDefault="0058260D" w:rsidP="0058260D">
      <w:pPr>
        <w:keepNext/>
        <w:rPr>
          <w:rFonts w:ascii="David" w:hAnsi="David"/>
          <w:color w:val="000000"/>
          <w:sz w:val="22"/>
          <w:szCs w:val="22"/>
          <w:rtl/>
        </w:rPr>
      </w:pPr>
      <w:r w:rsidRPr="0058260D">
        <w:rPr>
          <w:rFonts w:ascii="David" w:hAnsi="David"/>
          <w:color w:val="000000"/>
          <w:sz w:val="22"/>
          <w:szCs w:val="22"/>
          <w:rtl/>
        </w:rPr>
        <w:t>דנה מרשק מרום 54678313-/</w:t>
      </w:r>
    </w:p>
    <w:p w14:paraId="3A824D80" w14:textId="77777777" w:rsidR="00C81D19" w:rsidRDefault="009E2E6B">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33E3FAAC" w14:textId="77777777" w:rsidR="009E2E6B" w:rsidRDefault="009E2E6B" w:rsidP="009E2E6B">
      <w:r w:rsidRPr="009E2E6B">
        <w:rPr>
          <w:color w:val="000000"/>
          <w:rtl/>
        </w:rPr>
        <w:t>נוסח מסמך זה כפוף לשינויי ניסוח ועריכה</w:t>
      </w:r>
    </w:p>
    <w:p w14:paraId="4C1463C9" w14:textId="77777777" w:rsidR="009E2E6B" w:rsidRDefault="009E2E6B" w:rsidP="009E2E6B">
      <w:pPr>
        <w:rPr>
          <w:rtl/>
        </w:rPr>
      </w:pPr>
    </w:p>
    <w:p w14:paraId="454504EA" w14:textId="77777777" w:rsidR="009E2E6B" w:rsidRDefault="009E2E6B" w:rsidP="009E2E6B">
      <w:pPr>
        <w:jc w:val="center"/>
        <w:rPr>
          <w:color w:val="0000FF"/>
          <w:u w:val="single"/>
        </w:rPr>
      </w:pPr>
      <w:r w:rsidRPr="00586AD8">
        <w:rPr>
          <w:color w:val="000000"/>
          <w:rtl/>
        </w:rPr>
        <w:t>בעניין עריכה ושינויים במסמכי פסיקה, חקיקה ועוד באתר נבו – הקש כאן</w:t>
      </w:r>
    </w:p>
    <w:sectPr w:rsidR="009E2E6B" w:rsidSect="0058260D">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842021" w14:textId="77777777" w:rsidR="00307E97" w:rsidRPr="00E1408D" w:rsidRDefault="00307E97">
      <w:pPr>
        <w:rPr>
          <w:rFonts w:cs="Arial"/>
          <w:szCs w:val="20"/>
        </w:rPr>
      </w:pPr>
      <w:r>
        <w:separator/>
      </w:r>
    </w:p>
  </w:endnote>
  <w:endnote w:type="continuationSeparator" w:id="0">
    <w:p w14:paraId="6E413ACA" w14:textId="77777777" w:rsidR="00307E97" w:rsidRPr="00E1408D" w:rsidRDefault="00307E97">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A6E5A0" w14:textId="77777777" w:rsidR="00307E97" w:rsidRDefault="00307E97" w:rsidP="0058260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6AC3FB4C" w14:textId="77777777" w:rsidR="00307E97" w:rsidRPr="0058260D" w:rsidRDefault="00307E97" w:rsidP="0058260D">
    <w:pPr>
      <w:pStyle w:val="a4"/>
      <w:pBdr>
        <w:top w:val="single" w:sz="4" w:space="1" w:color="auto"/>
        <w:between w:val="single" w:sz="4" w:space="0" w:color="auto"/>
      </w:pBdr>
      <w:spacing w:after="60"/>
      <w:jc w:val="center"/>
      <w:rPr>
        <w:rFonts w:ascii="FrankRuehl" w:hAnsi="FrankRuehl" w:cs="FrankRuehl"/>
        <w:color w:val="000000"/>
      </w:rPr>
    </w:pPr>
    <w:r w:rsidRPr="0058260D">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3471E9" w14:textId="77777777" w:rsidR="00307E97" w:rsidRDefault="00307E97" w:rsidP="0058260D">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A6431A">
      <w:rPr>
        <w:rFonts w:ascii="FrankRuehl" w:hAnsi="FrankRuehl" w:cs="FrankRuehl"/>
        <w:noProof/>
        <w:rtl/>
      </w:rPr>
      <w:t>1</w:t>
    </w:r>
    <w:r>
      <w:rPr>
        <w:rFonts w:ascii="FrankRuehl" w:hAnsi="FrankRuehl" w:cs="FrankRuehl"/>
        <w:rtl/>
      </w:rPr>
      <w:fldChar w:fldCharType="end"/>
    </w:r>
  </w:p>
  <w:p w14:paraId="1202E245" w14:textId="77777777" w:rsidR="00307E97" w:rsidRPr="0058260D" w:rsidRDefault="00307E97" w:rsidP="0058260D">
    <w:pPr>
      <w:pStyle w:val="a4"/>
      <w:pBdr>
        <w:top w:val="single" w:sz="4" w:space="1" w:color="auto"/>
        <w:between w:val="single" w:sz="4" w:space="0" w:color="auto"/>
      </w:pBdr>
      <w:spacing w:after="60"/>
      <w:jc w:val="center"/>
      <w:rPr>
        <w:rFonts w:ascii="FrankRuehl" w:hAnsi="FrankRuehl" w:cs="FrankRuehl"/>
        <w:color w:val="000000"/>
      </w:rPr>
    </w:pPr>
    <w:r w:rsidRPr="0058260D">
      <w:rPr>
        <w:rFonts w:ascii="FrankRuehl" w:hAnsi="FrankRuehl" w:cs="FrankRuehl"/>
        <w:color w:val="000000"/>
      </w:rPr>
      <w:pict w14:anchorId="3FDE60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7887E2" w14:textId="77777777" w:rsidR="00307E97" w:rsidRPr="00E1408D" w:rsidRDefault="00307E97">
      <w:pPr>
        <w:rPr>
          <w:rFonts w:cs="Arial"/>
          <w:szCs w:val="20"/>
        </w:rPr>
      </w:pPr>
      <w:r>
        <w:separator/>
      </w:r>
    </w:p>
  </w:footnote>
  <w:footnote w:type="continuationSeparator" w:id="0">
    <w:p w14:paraId="3A2A0BFF" w14:textId="77777777" w:rsidR="00307E97" w:rsidRPr="00E1408D" w:rsidRDefault="00307E97">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33D3E" w14:textId="77777777" w:rsidR="00307E97" w:rsidRPr="0058260D" w:rsidRDefault="00307E97" w:rsidP="005826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34358-07-11</w:t>
    </w:r>
    <w:r>
      <w:rPr>
        <w:rFonts w:ascii="David" w:hAnsi="David"/>
        <w:color w:val="000000"/>
        <w:sz w:val="22"/>
        <w:szCs w:val="22"/>
        <w:rtl/>
      </w:rPr>
      <w:tab/>
      <w:t xml:space="preserve"> מדינת ישראל נ' ג'יריס ג'ראיסי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D950C3" w14:textId="77777777" w:rsidR="00307E97" w:rsidRPr="0058260D" w:rsidRDefault="00307E97" w:rsidP="0058260D">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(כ"ס) 34358-07-11</w:t>
    </w:r>
    <w:r>
      <w:rPr>
        <w:rFonts w:ascii="David" w:hAnsi="David"/>
        <w:color w:val="000000"/>
        <w:sz w:val="22"/>
        <w:szCs w:val="22"/>
        <w:rtl/>
      </w:rPr>
      <w:tab/>
      <w:t xml:space="preserve"> מדינת ישראל נ' ג'יריס ג'ראיסי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C81D19"/>
    <w:rsid w:val="00307E97"/>
    <w:rsid w:val="004A00F2"/>
    <w:rsid w:val="0058260D"/>
    <w:rsid w:val="00586AD8"/>
    <w:rsid w:val="008368AF"/>
    <w:rsid w:val="008632E6"/>
    <w:rsid w:val="009733B3"/>
    <w:rsid w:val="009C3B24"/>
    <w:rsid w:val="009E2E6B"/>
    <w:rsid w:val="00A6431A"/>
    <w:rsid w:val="00C81D1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53917FD8"/>
  <w15:chartTrackingRefBased/>
  <w15:docId w15:val="{56272E80-9326-42FF-9DC6-0DF829CA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81D1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C81D19"/>
    <w:pPr>
      <w:tabs>
        <w:tab w:val="center" w:pos="4153"/>
        <w:tab w:val="right" w:pos="8306"/>
      </w:tabs>
    </w:pPr>
  </w:style>
  <w:style w:type="paragraph" w:styleId="a4">
    <w:name w:val="footer"/>
    <w:basedOn w:val="a"/>
    <w:rsid w:val="00C81D19"/>
    <w:pPr>
      <w:tabs>
        <w:tab w:val="center" w:pos="4153"/>
        <w:tab w:val="right" w:pos="8306"/>
      </w:tabs>
    </w:pPr>
  </w:style>
  <w:style w:type="character" w:styleId="a5">
    <w:name w:val="page number"/>
    <w:basedOn w:val="a0"/>
    <w:rsid w:val="00C81D19"/>
  </w:style>
  <w:style w:type="character" w:styleId="Hyperlink">
    <w:name w:val="Hyperlink"/>
    <w:basedOn w:val="a0"/>
    <w:rsid w:val="009E2E6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 TargetMode="External"/><Relationship Id="rId13" Type="http://schemas.openxmlformats.org/officeDocument/2006/relationships/hyperlink" Target="http://www.nevo.co.il/case/6135911" TargetMode="External"/><Relationship Id="rId18" Type="http://schemas.openxmlformats.org/officeDocument/2006/relationships/hyperlink" Target="http://www.nevo.co.il/law/70301"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 TargetMode="External"/><Relationship Id="rId12" Type="http://schemas.openxmlformats.org/officeDocument/2006/relationships/hyperlink" Target="http://www.nevo.co.il/law/70301" TargetMode="External"/><Relationship Id="rId17" Type="http://schemas.openxmlformats.org/officeDocument/2006/relationships/hyperlink" Target="http://www.nevo.co.il/case/6041301" TargetMode="External"/><Relationship Id="rId2" Type="http://schemas.openxmlformats.org/officeDocument/2006/relationships/settings" Target="settings.xml"/><Relationship Id="rId16" Type="http://schemas.openxmlformats.org/officeDocument/2006/relationships/hyperlink" Target="http://www.nevo.co.il/case/5884992"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case/605173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487216" TargetMode="External"/><Relationship Id="rId23" Type="http://schemas.openxmlformats.org/officeDocument/2006/relationships/fontTable" Target="fontTable.xml"/><Relationship Id="rId10" Type="http://schemas.openxmlformats.org/officeDocument/2006/relationships/hyperlink" Target="http://www.nevo.co.il/law/70301"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case/3913404" TargetMode="External"/><Relationship Id="rId14" Type="http://schemas.openxmlformats.org/officeDocument/2006/relationships/hyperlink" Target="http://www.nevo.co.il/case/4027950"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1481</Words>
  <Characters>7407</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8871</CharactersWithSpaces>
  <SharedDoc>false</SharedDoc>
  <HLinks>
    <vt:vector size="78" baseType="variant">
      <vt:variant>
        <vt:i4>7995492</vt:i4>
      </vt:variant>
      <vt:variant>
        <vt:i4>36</vt:i4>
      </vt:variant>
      <vt:variant>
        <vt:i4>0</vt:i4>
      </vt:variant>
      <vt:variant>
        <vt:i4>5</vt:i4>
      </vt:variant>
      <vt:variant>
        <vt:lpwstr>http://www.nevo.co.il/law/70301</vt:lpwstr>
      </vt:variant>
      <vt:variant>
        <vt:lpwstr/>
      </vt:variant>
      <vt:variant>
        <vt:i4>3145845</vt:i4>
      </vt:variant>
      <vt:variant>
        <vt:i4>33</vt:i4>
      </vt:variant>
      <vt:variant>
        <vt:i4>0</vt:i4>
      </vt:variant>
      <vt:variant>
        <vt:i4>5</vt:i4>
      </vt:variant>
      <vt:variant>
        <vt:lpwstr>http://www.nevo.co.il/case/6041301</vt:lpwstr>
      </vt:variant>
      <vt:variant>
        <vt:lpwstr/>
      </vt:variant>
      <vt:variant>
        <vt:i4>3539057</vt:i4>
      </vt:variant>
      <vt:variant>
        <vt:i4>30</vt:i4>
      </vt:variant>
      <vt:variant>
        <vt:i4>0</vt:i4>
      </vt:variant>
      <vt:variant>
        <vt:i4>5</vt:i4>
      </vt:variant>
      <vt:variant>
        <vt:lpwstr>http://www.nevo.co.il/case/5884992</vt:lpwstr>
      </vt:variant>
      <vt:variant>
        <vt:lpwstr/>
      </vt:variant>
      <vt:variant>
        <vt:i4>131150</vt:i4>
      </vt:variant>
      <vt:variant>
        <vt:i4>27</vt:i4>
      </vt:variant>
      <vt:variant>
        <vt:i4>0</vt:i4>
      </vt:variant>
      <vt:variant>
        <vt:i4>5</vt:i4>
      </vt:variant>
      <vt:variant>
        <vt:lpwstr>http://www.nevo.co.il/case/487216</vt:lpwstr>
      </vt:variant>
      <vt:variant>
        <vt:lpwstr/>
      </vt:variant>
      <vt:variant>
        <vt:i4>4128886</vt:i4>
      </vt:variant>
      <vt:variant>
        <vt:i4>24</vt:i4>
      </vt:variant>
      <vt:variant>
        <vt:i4>0</vt:i4>
      </vt:variant>
      <vt:variant>
        <vt:i4>5</vt:i4>
      </vt:variant>
      <vt:variant>
        <vt:lpwstr>http://www.nevo.co.il/case/4027950</vt:lpwstr>
      </vt:variant>
      <vt:variant>
        <vt:lpwstr/>
      </vt:variant>
      <vt:variant>
        <vt:i4>3997809</vt:i4>
      </vt:variant>
      <vt:variant>
        <vt:i4>21</vt:i4>
      </vt:variant>
      <vt:variant>
        <vt:i4>0</vt:i4>
      </vt:variant>
      <vt:variant>
        <vt:i4>5</vt:i4>
      </vt:variant>
      <vt:variant>
        <vt:lpwstr>http://www.nevo.co.il/case/6135911</vt:lpwstr>
      </vt:variant>
      <vt:variant>
        <vt:lpwstr/>
      </vt:variant>
      <vt:variant>
        <vt:i4>7995492</vt:i4>
      </vt:variant>
      <vt:variant>
        <vt:i4>18</vt:i4>
      </vt:variant>
      <vt:variant>
        <vt:i4>0</vt:i4>
      </vt:variant>
      <vt:variant>
        <vt:i4>5</vt:i4>
      </vt:variant>
      <vt:variant>
        <vt:lpwstr>http://www.nevo.co.il/law/70301</vt:lpwstr>
      </vt:variant>
      <vt:variant>
        <vt:lpwstr/>
      </vt:variant>
      <vt:variant>
        <vt:i4>3473526</vt:i4>
      </vt:variant>
      <vt:variant>
        <vt:i4>15</vt:i4>
      </vt:variant>
      <vt:variant>
        <vt:i4>0</vt:i4>
      </vt:variant>
      <vt:variant>
        <vt:i4>5</vt:i4>
      </vt:variant>
      <vt:variant>
        <vt:lpwstr>http://www.nevo.co.il/case/6051731</vt:lpwstr>
      </vt:variant>
      <vt:variant>
        <vt:lpwstr/>
      </vt:variant>
      <vt:variant>
        <vt:i4>7995492</vt:i4>
      </vt:variant>
      <vt:variant>
        <vt:i4>12</vt:i4>
      </vt:variant>
      <vt:variant>
        <vt:i4>0</vt:i4>
      </vt:variant>
      <vt:variant>
        <vt:i4>5</vt:i4>
      </vt:variant>
      <vt:variant>
        <vt:lpwstr>http://www.nevo.co.il/law/70301</vt:lpwstr>
      </vt:variant>
      <vt:variant>
        <vt:lpwstr/>
      </vt:variant>
      <vt:variant>
        <vt:i4>3276926</vt:i4>
      </vt:variant>
      <vt:variant>
        <vt:i4>9</vt:i4>
      </vt:variant>
      <vt:variant>
        <vt:i4>0</vt:i4>
      </vt:variant>
      <vt:variant>
        <vt:i4>5</vt:i4>
      </vt:variant>
      <vt:variant>
        <vt:lpwstr>http://www.nevo.co.il/case/3913404</vt:lpwstr>
      </vt:variant>
      <vt:variant>
        <vt:lpwstr/>
      </vt:variant>
      <vt:variant>
        <vt:i4>8257637</vt:i4>
      </vt:variant>
      <vt:variant>
        <vt:i4>6</vt:i4>
      </vt:variant>
      <vt:variant>
        <vt:i4>0</vt:i4>
      </vt:variant>
      <vt:variant>
        <vt:i4>5</vt:i4>
      </vt:variant>
      <vt:variant>
        <vt:lpwstr>http://www.nevo.co.il/law/4216</vt:lpwstr>
      </vt:variant>
      <vt:variant>
        <vt:lpwstr/>
      </vt:variant>
      <vt:variant>
        <vt:i4>7995492</vt:i4>
      </vt:variant>
      <vt:variant>
        <vt:i4>3</vt:i4>
      </vt:variant>
      <vt:variant>
        <vt:i4>0</vt:i4>
      </vt:variant>
      <vt:variant>
        <vt:i4>5</vt:i4>
      </vt:variant>
      <vt:variant>
        <vt:lpwstr>http://www.nevo.co.il/law/70301</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2025-04-22T21:39:00Z</dcterms:created>
  <dcterms:modified xsi:type="dcterms:W3CDTF">2025-04-22T21:39:00Z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34358</vt:lpwstr>
  </property>
  <property fmtid="{D5CDD505-2E9C-101B-9397-08002B2CF9AE}" pid="6" name="NEWPARTB">
    <vt:lpwstr>07</vt:lpwstr>
  </property>
  <property fmtid="{D5CDD505-2E9C-101B-9397-08002B2CF9AE}" pid="7" name="NEWPARTC">
    <vt:lpwstr>11</vt:lpwstr>
  </property>
  <property fmtid="{D5CDD505-2E9C-101B-9397-08002B2CF9AE}" pid="8" name="APPELLANT">
    <vt:lpwstr>מדינת ישראל</vt:lpwstr>
  </property>
  <property fmtid="{D5CDD505-2E9C-101B-9397-08002B2CF9AE}" pid="9" name="APPELLEE">
    <vt:lpwstr>ג'יריס ג'ראיסי  </vt:lpwstr>
  </property>
  <property fmtid="{D5CDD505-2E9C-101B-9397-08002B2CF9AE}" pid="10" name="LAWYER">
    <vt:lpwstr>נתנאל בוג'ו;קירשנברג</vt:lpwstr>
  </property>
  <property fmtid="{D5CDD505-2E9C-101B-9397-08002B2CF9AE}" pid="11" name="JUDGE">
    <vt:lpwstr>דנה מרשק מרום</vt:lpwstr>
  </property>
  <property fmtid="{D5CDD505-2E9C-101B-9397-08002B2CF9AE}" pid="12" name="CITY">
    <vt:lpwstr>כ"ס</vt:lpwstr>
  </property>
  <property fmtid="{D5CDD505-2E9C-101B-9397-08002B2CF9AE}" pid="13" name="DATE">
    <vt:lpwstr>20130403</vt:lpwstr>
  </property>
  <property fmtid="{D5CDD505-2E9C-101B-9397-08002B2CF9AE}" pid="14" name="TYPE_N_DATE">
    <vt:lpwstr>38020130403</vt:lpwstr>
  </property>
  <property fmtid="{D5CDD505-2E9C-101B-9397-08002B2CF9AE}" pid="15" name="WORDNUMPAGES">
    <vt:lpwstr>5</vt:lpwstr>
  </property>
  <property fmtid="{D5CDD505-2E9C-101B-9397-08002B2CF9AE}" pid="16" name="TYPE_ABS_DATE">
    <vt:lpwstr>380020130403</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3913404;6051731;6135911;4027950;487216;5884992;6041301</vt:lpwstr>
  </property>
  <property fmtid="{D5CDD505-2E9C-101B-9397-08002B2CF9AE}" pid="36" name="CASENOTES1">
    <vt:lpwstr>ProcID=209&amp;PartA=2323&amp;PartC=06</vt:lpwstr>
  </property>
  <property fmtid="{D5CDD505-2E9C-101B-9397-08002B2CF9AE}" pid="37" name="LAWLISTTMP1">
    <vt:lpwstr>4216</vt:lpwstr>
  </property>
  <property fmtid="{D5CDD505-2E9C-101B-9397-08002B2CF9AE}" pid="38" name="LAWLISTTMP2">
    <vt:lpwstr>70301:3</vt:lpwstr>
  </property>
</Properties>
</file>