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BC0542" w:rsidRPr="00F25D7B" w14:paraId="285897D2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3D909C5" w14:textId="77777777" w:rsidR="00BC0542" w:rsidRPr="00F25D7B" w:rsidRDefault="00F25D7B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F25D7B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בפתח תקווה</w:t>
            </w:r>
          </w:p>
        </w:tc>
      </w:tr>
      <w:tr w:rsidR="00BC0542" w:rsidRPr="00F25D7B" w14:paraId="73BCA100" w14:textId="77777777">
        <w:trPr>
          <w:trHeight w:val="337"/>
          <w:jc w:val="center"/>
        </w:trPr>
        <w:tc>
          <w:tcPr>
            <w:tcW w:w="6396" w:type="dxa"/>
          </w:tcPr>
          <w:p w14:paraId="69C5112D" w14:textId="77777777" w:rsidR="00BC0542" w:rsidRPr="00F25D7B" w:rsidRDefault="00F25D7B">
            <w:pPr>
              <w:rPr>
                <w:b/>
                <w:bCs/>
                <w:sz w:val="26"/>
                <w:szCs w:val="26"/>
                <w:rtl/>
              </w:rPr>
            </w:pPr>
            <w:r w:rsidRPr="00F25D7B">
              <w:rPr>
                <w:b/>
                <w:bCs/>
                <w:sz w:val="26"/>
                <w:szCs w:val="26"/>
                <w:rtl/>
              </w:rPr>
              <w:t>ת"פ</w:t>
            </w:r>
            <w:r w:rsidRPr="00F25D7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25D7B">
              <w:rPr>
                <w:b/>
                <w:bCs/>
                <w:sz w:val="26"/>
                <w:szCs w:val="26"/>
                <w:rtl/>
              </w:rPr>
              <w:t>1834-08-11</w:t>
            </w:r>
            <w:r w:rsidRPr="00F25D7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25D7B">
              <w:rPr>
                <w:b/>
                <w:bCs/>
                <w:sz w:val="26"/>
                <w:szCs w:val="26"/>
                <w:rtl/>
              </w:rPr>
              <w:t>מדינת ישראל נ' חאפי ואח'</w:t>
            </w:r>
          </w:p>
          <w:p w14:paraId="4830ECE6" w14:textId="77777777" w:rsidR="00BC0542" w:rsidRPr="00F25D7B" w:rsidRDefault="00BC0542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17FD0F92" w14:textId="77777777" w:rsidR="00BC0542" w:rsidRPr="00F25D7B" w:rsidRDefault="00BC0542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624B099C" w14:textId="77777777" w:rsidR="00BC0542" w:rsidRPr="00F25D7B" w:rsidRDefault="00F25D7B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F25D7B">
              <w:rPr>
                <w:b/>
                <w:bCs/>
                <w:sz w:val="26"/>
                <w:szCs w:val="26"/>
                <w:rtl/>
              </w:rPr>
              <w:t>03 דצמבר 2013</w:t>
            </w:r>
          </w:p>
        </w:tc>
      </w:tr>
    </w:tbl>
    <w:p w14:paraId="26797C74" w14:textId="77777777" w:rsidR="00BC0542" w:rsidRPr="00F25D7B" w:rsidRDefault="00BC0542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DA846EF" w14:textId="77777777" w:rsidR="00BC0542" w:rsidRPr="00F25D7B" w:rsidRDefault="00BC0542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BC0542" w:rsidRPr="00F25D7B" w14:paraId="4C6758AA" w14:textId="77777777">
        <w:trPr>
          <w:trHeight w:val="337"/>
          <w:jc w:val="center"/>
        </w:trPr>
        <w:tc>
          <w:tcPr>
            <w:tcW w:w="1592" w:type="dxa"/>
          </w:tcPr>
          <w:p w14:paraId="5BB5FBAA" w14:textId="77777777" w:rsidR="00BC0542" w:rsidRPr="00F25D7B" w:rsidRDefault="00F25D7B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F25D7B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6F84957A" w14:textId="77777777" w:rsidR="00BC0542" w:rsidRPr="00F25D7B" w:rsidRDefault="00F25D7B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F25D7B">
              <w:rPr>
                <w:rFonts w:hint="cs"/>
                <w:rtl/>
              </w:rPr>
              <w:t xml:space="preserve"> 1887-08-11</w:t>
            </w:r>
          </w:p>
        </w:tc>
      </w:tr>
    </w:tbl>
    <w:p w14:paraId="33C1489A" w14:textId="77777777" w:rsidR="00BC0542" w:rsidRPr="00F25D7B" w:rsidRDefault="00BC0542">
      <w:pPr>
        <w:spacing w:line="360" w:lineRule="auto"/>
        <w:jc w:val="both"/>
        <w:rPr>
          <w:rFonts w:ascii="Arial" w:hAnsi="Arial"/>
          <w:rtl/>
        </w:rPr>
      </w:pPr>
    </w:p>
    <w:p w14:paraId="190B036E" w14:textId="77777777" w:rsidR="00BC0542" w:rsidRPr="00F25D7B" w:rsidRDefault="00BC0542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360"/>
        <w:gridCol w:w="5479"/>
        <w:gridCol w:w="83"/>
      </w:tblGrid>
      <w:tr w:rsidR="00BC0542" w:rsidRPr="00F25D7B" w14:paraId="5331B57A" w14:textId="77777777">
        <w:trPr>
          <w:gridAfter w:val="1"/>
          <w:wAfter w:w="55" w:type="dxa"/>
        </w:trPr>
        <w:tc>
          <w:tcPr>
            <w:tcW w:w="8720" w:type="dxa"/>
            <w:gridSpan w:val="3"/>
          </w:tcPr>
          <w:p w14:paraId="568F5160" w14:textId="77777777" w:rsidR="00BC0542" w:rsidRPr="00F25D7B" w:rsidRDefault="00F25D7B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25D7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F25D7B">
              <w:rPr>
                <w:rFonts w:ascii="Times New Roman" w:eastAsia="Times New Roman" w:hAnsi="Times New Roman" w:hint="cs"/>
                <w:rtl/>
              </w:rPr>
              <w:t>שופטת ניצה מימון שעשוע</w:t>
            </w:r>
            <w:r w:rsidRPr="00F25D7B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BC0542" w:rsidRPr="00F25D7B" w14:paraId="522C9308" w14:textId="77777777">
        <w:tc>
          <w:tcPr>
            <w:tcW w:w="2880" w:type="dxa"/>
          </w:tcPr>
          <w:p w14:paraId="350BEED9" w14:textId="77777777" w:rsidR="00BC0542" w:rsidRPr="00F25D7B" w:rsidRDefault="00F25D7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F25D7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F25D7B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3"/>
          </w:tcPr>
          <w:p w14:paraId="25D6D965" w14:textId="77777777" w:rsidR="00BC0542" w:rsidRPr="00F25D7B" w:rsidRDefault="00F25D7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25D7B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3E5EB402" w14:textId="77777777" w:rsidR="00BC0542" w:rsidRPr="00F25D7B" w:rsidRDefault="00BC0542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BC0542" w:rsidRPr="00F25D7B" w14:paraId="4210D6C6" w14:textId="77777777">
        <w:tc>
          <w:tcPr>
            <w:tcW w:w="8802" w:type="dxa"/>
            <w:gridSpan w:val="4"/>
          </w:tcPr>
          <w:p w14:paraId="13117FBD" w14:textId="77777777" w:rsidR="00BC0542" w:rsidRPr="00F25D7B" w:rsidRDefault="00BC0542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15E235E" w14:textId="77777777" w:rsidR="00BC0542" w:rsidRPr="00F25D7B" w:rsidRDefault="00F25D7B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F25D7B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37F9F59" w14:textId="77777777" w:rsidR="00BC0542" w:rsidRPr="00F25D7B" w:rsidRDefault="00BC0542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BC0542" w:rsidRPr="00F25D7B" w14:paraId="3E245733" w14:textId="77777777">
        <w:tc>
          <w:tcPr>
            <w:tcW w:w="2879" w:type="dxa"/>
          </w:tcPr>
          <w:p w14:paraId="1B0C41AC" w14:textId="77777777" w:rsidR="00BC0542" w:rsidRPr="00F25D7B" w:rsidRDefault="00F25D7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25D7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F25D7B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3" w:type="dxa"/>
            <w:gridSpan w:val="3"/>
          </w:tcPr>
          <w:p w14:paraId="404031DC" w14:textId="77777777" w:rsidR="00BC0542" w:rsidRPr="00F25D7B" w:rsidRDefault="00F25D7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25D7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25D7B">
              <w:rPr>
                <w:rFonts w:ascii="Times New Roman" w:eastAsia="Times New Roman" w:hAnsi="Times New Roman" w:hint="cs"/>
                <w:rtl/>
              </w:rPr>
              <w:t>עמיר חאפי</w:t>
            </w:r>
          </w:p>
          <w:p w14:paraId="79C59E9C" w14:textId="77777777" w:rsidR="00BC0542" w:rsidRPr="00F25D7B" w:rsidRDefault="00BC0542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  <w:p w14:paraId="2D62B0C6" w14:textId="77777777" w:rsidR="00BC0542" w:rsidRPr="00F25D7B" w:rsidRDefault="00BC0542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tr w:rsidR="00BC0542" w:rsidRPr="00F25D7B" w14:paraId="0229B22A" w14:textId="77777777">
        <w:trPr>
          <w:trHeight w:val="692"/>
        </w:trPr>
        <w:tc>
          <w:tcPr>
            <w:tcW w:w="8802" w:type="dxa"/>
            <w:gridSpan w:val="4"/>
          </w:tcPr>
          <w:p w14:paraId="13320D02" w14:textId="77777777" w:rsidR="00BC0542" w:rsidRPr="00F25D7B" w:rsidRDefault="00BC0542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BC0542" w:rsidRPr="00F25D7B" w14:paraId="59851D8F" w14:textId="77777777">
        <w:tc>
          <w:tcPr>
            <w:tcW w:w="3240" w:type="dxa"/>
            <w:gridSpan w:val="2"/>
          </w:tcPr>
          <w:p w14:paraId="14A49DB9" w14:textId="77777777" w:rsidR="00BC0542" w:rsidRPr="00F25D7B" w:rsidRDefault="00F25D7B">
            <w:r w:rsidRPr="00F25D7B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  <w:tc>
          <w:tcPr>
            <w:tcW w:w="5562" w:type="dxa"/>
            <w:gridSpan w:val="2"/>
          </w:tcPr>
          <w:p w14:paraId="0A4378FC" w14:textId="77777777" w:rsidR="00BC0542" w:rsidRPr="00F25D7B" w:rsidRDefault="00F25D7B">
            <w:r w:rsidRPr="00F25D7B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</w:tr>
    </w:tbl>
    <w:p w14:paraId="62CBD1C3" w14:textId="77777777" w:rsidR="00BC0542" w:rsidRPr="00F25D7B" w:rsidRDefault="00F25D7B">
      <w:pPr>
        <w:spacing w:line="360" w:lineRule="auto"/>
        <w:jc w:val="both"/>
        <w:rPr>
          <w:sz w:val="6"/>
          <w:szCs w:val="6"/>
          <w:rtl/>
        </w:rPr>
      </w:pPr>
      <w:r w:rsidRPr="00F25D7B">
        <w:rPr>
          <w:sz w:val="6"/>
          <w:szCs w:val="6"/>
          <w:rtl/>
        </w:rPr>
        <w:t>&lt;#1#&gt;</w:t>
      </w:r>
    </w:p>
    <w:p w14:paraId="403B0560" w14:textId="77777777" w:rsidR="00BC0542" w:rsidRPr="00F25D7B" w:rsidRDefault="00F25D7B">
      <w:pPr>
        <w:pStyle w:val="12"/>
        <w:rPr>
          <w:u w:val="none"/>
        </w:rPr>
      </w:pPr>
      <w:r w:rsidRPr="00F25D7B">
        <w:rPr>
          <w:rFonts w:hint="cs"/>
          <w:u w:val="none"/>
          <w:rtl/>
        </w:rPr>
        <w:t>נוכחים:</w:t>
      </w:r>
    </w:p>
    <w:p w14:paraId="3349FE0E" w14:textId="77777777" w:rsidR="00BC0542" w:rsidRPr="00F25D7B" w:rsidRDefault="00F25D7B">
      <w:pPr>
        <w:pStyle w:val="12"/>
        <w:rPr>
          <w:u w:val="none"/>
          <w:rtl/>
        </w:rPr>
      </w:pPr>
      <w:bookmarkStart w:id="2" w:name="FirstLawyer"/>
      <w:r w:rsidRPr="00F25D7B">
        <w:rPr>
          <w:rFonts w:hint="cs"/>
          <w:u w:val="none"/>
          <w:rtl/>
        </w:rPr>
        <w:t>ב"כ</w:t>
      </w:r>
      <w:bookmarkEnd w:id="2"/>
      <w:r w:rsidRPr="00F25D7B">
        <w:rPr>
          <w:rFonts w:hint="cs"/>
          <w:u w:val="none"/>
          <w:rtl/>
        </w:rPr>
        <w:t xml:space="preserve"> המאשימה עו"ד יניב פרטוק</w:t>
      </w:r>
    </w:p>
    <w:p w14:paraId="38A4322F" w14:textId="77777777" w:rsidR="00BC0542" w:rsidRPr="00F25D7B" w:rsidRDefault="00F25D7B">
      <w:pPr>
        <w:pStyle w:val="12"/>
        <w:rPr>
          <w:u w:val="none"/>
          <w:rtl/>
        </w:rPr>
      </w:pPr>
      <w:r w:rsidRPr="00F25D7B">
        <w:rPr>
          <w:rFonts w:hint="cs"/>
          <w:u w:val="none"/>
          <w:rtl/>
        </w:rPr>
        <w:t>ב"כ הנאשם עו"ד בן יהודה</w:t>
      </w:r>
    </w:p>
    <w:p w14:paraId="0E25F96A" w14:textId="77777777" w:rsidR="00BC0542" w:rsidRPr="00F25D7B" w:rsidRDefault="00F25D7B">
      <w:pPr>
        <w:pStyle w:val="12"/>
        <w:rPr>
          <w:u w:val="none"/>
          <w:rtl/>
        </w:rPr>
      </w:pPr>
      <w:r w:rsidRPr="00F25D7B">
        <w:rPr>
          <w:rFonts w:hint="cs"/>
          <w:u w:val="none"/>
          <w:rtl/>
        </w:rPr>
        <w:t>הנאשם בעצמו</w:t>
      </w:r>
    </w:p>
    <w:p w14:paraId="61DDFDCB" w14:textId="77777777" w:rsidR="00BC0542" w:rsidRPr="00F25D7B" w:rsidRDefault="00F25D7B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F25D7B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1C5E4DFC" w14:textId="77777777" w:rsidR="00F25D7B" w:rsidRPr="00F25D7B" w:rsidRDefault="00F25D7B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68E26BF9" w14:textId="77777777" w:rsidR="00F25D7B" w:rsidRPr="00F25D7B" w:rsidRDefault="00F25D7B" w:rsidP="00F25D7B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bookmarkEnd w:id="0"/>
      <w:r w:rsidRPr="00F25D7B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51552ED6" w14:textId="77777777" w:rsidR="00BC0542" w:rsidRDefault="00BC0542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</w:p>
    <w:p w14:paraId="4BF2997D" w14:textId="77777777" w:rsidR="00BC0542" w:rsidRDefault="00F25D7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בהמשך להחלטתי מיום 8.10.13 ולאחר שהתקבלה חוות דעת הממונה שמצאה את הנאשם ככשיר לביצוע עבודות שירות, אני גוזרת על הנאשם את העונשים הבאים:</w:t>
      </w:r>
    </w:p>
    <w:p w14:paraId="34F730C5" w14:textId="77777777" w:rsidR="00BC0542" w:rsidRDefault="00F25D7B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1.</w:t>
      </w:r>
      <w:r>
        <w:rPr>
          <w:rFonts w:ascii="Arial" w:hAnsi="Arial" w:hint="cs"/>
          <w:rtl/>
        </w:rPr>
        <w:tab/>
        <w:t xml:space="preserve">חודשיים מאסר בדרך של עבודות שירות בהתאם לחוות דעת הממונה בעיריית ראש העין, החל מיום 4.3.14. מתקופה זו ינוכו ימי מעצרו מיום 23.7.11-4.8.11.  </w:t>
      </w:r>
    </w:p>
    <w:p w14:paraId="0A16BFAD" w14:textId="77777777" w:rsidR="00BC0542" w:rsidRDefault="00F25D7B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2.</w:t>
      </w:r>
      <w:r>
        <w:rPr>
          <w:rFonts w:ascii="Arial" w:hAnsi="Arial" w:hint="cs"/>
          <w:rtl/>
        </w:rPr>
        <w:tab/>
        <w:t>קנס בסך 2,000 ₪ או חודש מאסר תמורתו. הקנס ישולם עד ליום 1.2.14.</w:t>
      </w:r>
    </w:p>
    <w:p w14:paraId="25C3F59D" w14:textId="77777777" w:rsidR="00BC0542" w:rsidRDefault="00F25D7B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3.</w:t>
      </w:r>
      <w:r>
        <w:rPr>
          <w:rFonts w:ascii="Arial" w:hAnsi="Arial" w:hint="cs"/>
          <w:rtl/>
        </w:rPr>
        <w:tab/>
        <w:t xml:space="preserve">3 חודשי פסילה על תנאי למשך 3 שנים שלא יעבור עבירה על פקודת הסמים. </w:t>
      </w:r>
    </w:p>
    <w:p w14:paraId="69B2507D" w14:textId="77777777" w:rsidR="00BC0542" w:rsidRDefault="00F25D7B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4.</w:t>
      </w:r>
      <w:r>
        <w:rPr>
          <w:rFonts w:ascii="Arial" w:hAnsi="Arial" w:hint="cs"/>
          <w:rtl/>
        </w:rPr>
        <w:tab/>
        <w:t xml:space="preserve">8 חודשי מאסר על תנאי למשך 3 שנים שלא יעבור עבירה מסוג פשע על פקודת הסמים. </w:t>
      </w:r>
    </w:p>
    <w:p w14:paraId="78C6BE0C" w14:textId="77777777" w:rsidR="00BC0542" w:rsidRDefault="00F25D7B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5.</w:t>
      </w:r>
      <w:r>
        <w:rPr>
          <w:rFonts w:ascii="Arial" w:hAnsi="Arial" w:hint="cs"/>
          <w:rtl/>
        </w:rPr>
        <w:tab/>
        <w:t xml:space="preserve">3 חודשי מאסר על תנאי למשך 3 שנים שלא יעבור עבירה מסוג עוון על פקודת הסמים. </w:t>
      </w:r>
    </w:p>
    <w:p w14:paraId="7B75CF1D" w14:textId="77777777" w:rsidR="00BC0542" w:rsidRDefault="00F25D7B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6.</w:t>
      </w:r>
      <w:r>
        <w:rPr>
          <w:rFonts w:ascii="Arial" w:hAnsi="Arial" w:hint="cs"/>
          <w:rtl/>
        </w:rPr>
        <w:tab/>
        <w:t xml:space="preserve">6 חודשי מאסר על תנאי למשך 3 שנים שלא יעבור עבירה של אספקת משקה משכר לקטין. </w:t>
      </w:r>
    </w:p>
    <w:p w14:paraId="71977601" w14:textId="77777777" w:rsidR="00BC0542" w:rsidRDefault="00F25D7B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7.</w:t>
      </w:r>
      <w:r>
        <w:rPr>
          <w:rFonts w:ascii="Arial" w:hAnsi="Arial" w:hint="cs"/>
          <w:rtl/>
        </w:rPr>
        <w:tab/>
        <w:t xml:space="preserve">צו להשמדת המוצגים. </w:t>
      </w:r>
    </w:p>
    <w:p w14:paraId="5A9708E9" w14:textId="77777777" w:rsidR="00BC0542" w:rsidRDefault="00F25D7B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8.</w:t>
      </w:r>
      <w:r>
        <w:rPr>
          <w:rFonts w:ascii="Arial" w:hAnsi="Arial" w:hint="cs"/>
          <w:rtl/>
        </w:rPr>
        <w:tab/>
        <w:t xml:space="preserve">הפקדה בתיק </w:t>
      </w:r>
      <w:hyperlink r:id="rId6" w:history="1">
        <w:r w:rsidRPr="00F25D7B">
          <w:rPr>
            <w:rFonts w:ascii="Arial" w:hAnsi="Arial"/>
            <w:color w:val="0000FF"/>
            <w:u w:val="single"/>
            <w:rtl/>
          </w:rPr>
          <w:t>מ"ת 1887-08-11</w:t>
        </w:r>
      </w:hyperlink>
      <w:r>
        <w:rPr>
          <w:rFonts w:ascii="Arial" w:hAnsi="Arial" w:hint="cs"/>
          <w:rtl/>
        </w:rPr>
        <w:t xml:space="preserve">, תוחזר לידי הסניגור. </w:t>
      </w:r>
    </w:p>
    <w:p w14:paraId="6F3DB8EB" w14:textId="77777777" w:rsidR="00BC0542" w:rsidRDefault="00BC0542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14:paraId="2DEC0D41" w14:textId="77777777" w:rsidR="00BC0542" w:rsidRDefault="00F25D7B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יצויין בשולי הפרוטוקול, כי נפלה טעות סופר בהחלטה מיום 8.10.13 בכך שבעמוד 18 שורה 3 </w:t>
      </w:r>
    </w:p>
    <w:p w14:paraId="53C53015" w14:textId="77777777" w:rsidR="00BC0542" w:rsidRDefault="00F25D7B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נשמטה המילה "אינה" לפני המילה "צופה".</w:t>
      </w:r>
    </w:p>
    <w:p w14:paraId="4ED27BAE" w14:textId="77777777" w:rsidR="00BC0542" w:rsidRDefault="00BC0542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14:paraId="7BDFAB2F" w14:textId="77777777" w:rsidR="00BC0542" w:rsidRDefault="00F25D7B">
      <w:pPr>
        <w:spacing w:line="360" w:lineRule="auto"/>
        <w:ind w:left="720" w:hanging="720"/>
        <w:jc w:val="both"/>
        <w:rPr>
          <w:rFonts w:ascii="Arial" w:hAnsi="Arial"/>
          <w:b/>
          <w:bCs/>
        </w:rPr>
      </w:pPr>
      <w:r>
        <w:rPr>
          <w:rFonts w:ascii="Arial" w:hAnsi="Arial" w:hint="cs"/>
          <w:b/>
          <w:bCs/>
          <w:rtl/>
        </w:rPr>
        <w:t xml:space="preserve">הודעה זכות ערעור תוך 45 יום. </w:t>
      </w:r>
    </w:p>
    <w:p w14:paraId="4EB71645" w14:textId="77777777" w:rsidR="00BC0542" w:rsidRDefault="00F25D7B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60DE39FE" w14:textId="77777777" w:rsidR="00BC0542" w:rsidRDefault="00F25D7B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4863B8D0" w14:textId="77777777" w:rsidR="00BC0542" w:rsidRDefault="00BC0542">
      <w:pPr>
        <w:jc w:val="right"/>
        <w:rPr>
          <w:rtl/>
        </w:rPr>
      </w:pPr>
    </w:p>
    <w:p w14:paraId="34B5E0D9" w14:textId="77777777" w:rsidR="00BC0542" w:rsidRDefault="00F25D7B">
      <w:pPr>
        <w:jc w:val="center"/>
        <w:rPr>
          <w:rtl/>
        </w:rPr>
      </w:pPr>
      <w:r>
        <w:rPr>
          <w:b/>
          <w:bCs/>
          <w:rtl/>
        </w:rPr>
        <w:t xml:space="preserve">ניתן והודע היום ל' כסלו תשע"ד, 03/12/2013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BC0542" w14:paraId="5A4E6FF0" w14:textId="77777777">
        <w:trPr>
          <w:trHeight w:val="364"/>
          <w:jc w:val="right"/>
        </w:trPr>
        <w:tc>
          <w:tcPr>
            <w:tcW w:w="3708" w:type="dxa"/>
          </w:tcPr>
          <w:p w14:paraId="407FC424" w14:textId="77777777" w:rsidR="00BC0542" w:rsidRDefault="00BC05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9474B8" w14:textId="77777777" w:rsidR="00BC0542" w:rsidRDefault="00BC0542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BC0542" w14:paraId="5DB3A285" w14:textId="77777777">
        <w:trPr>
          <w:trHeight w:val="415"/>
          <w:jc w:val="right"/>
        </w:trPr>
        <w:tc>
          <w:tcPr>
            <w:tcW w:w="3708" w:type="dxa"/>
          </w:tcPr>
          <w:p w14:paraId="0E2933C4" w14:textId="77777777" w:rsidR="00BC0542" w:rsidRDefault="00F25D7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ניצה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מימון שעשוע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שופטת</w:t>
            </w:r>
          </w:p>
        </w:tc>
      </w:tr>
    </w:tbl>
    <w:p w14:paraId="4F6EAA9F" w14:textId="77777777" w:rsidR="00BC0542" w:rsidRDefault="00BC0542">
      <w:pPr>
        <w:jc w:val="right"/>
        <w:rPr>
          <w:rtl/>
        </w:rPr>
      </w:pPr>
    </w:p>
    <w:p w14:paraId="63947B96" w14:textId="77777777" w:rsidR="00BC0542" w:rsidRPr="00F25D7B" w:rsidRDefault="00F25D7B">
      <w:pPr>
        <w:jc w:val="center"/>
        <w:rPr>
          <w:color w:val="FFFFFF"/>
          <w:sz w:val="2"/>
          <w:szCs w:val="2"/>
          <w:rtl/>
        </w:rPr>
      </w:pPr>
      <w:r w:rsidRPr="00F25D7B">
        <w:rPr>
          <w:color w:val="FFFFFF"/>
          <w:sz w:val="2"/>
          <w:szCs w:val="2"/>
          <w:rtl/>
        </w:rPr>
        <w:t>5129371</w:t>
      </w:r>
    </w:p>
    <w:p w14:paraId="525623ED" w14:textId="77777777" w:rsidR="00BC0542" w:rsidRPr="00F25D7B" w:rsidRDefault="00F25D7B">
      <w:pPr>
        <w:spacing w:line="360" w:lineRule="auto"/>
        <w:jc w:val="center"/>
        <w:rPr>
          <w:color w:val="FFFFFF"/>
          <w:sz w:val="2"/>
          <w:szCs w:val="2"/>
          <w:rtl/>
        </w:rPr>
      </w:pPr>
      <w:r w:rsidRPr="00F25D7B">
        <w:rPr>
          <w:color w:val="FFFFFF"/>
          <w:sz w:val="2"/>
          <w:szCs w:val="2"/>
          <w:rtl/>
        </w:rPr>
        <w:t>54678313</w:t>
      </w:r>
    </w:p>
    <w:p w14:paraId="4DAD0D4B" w14:textId="77777777" w:rsidR="00BC0542" w:rsidRDefault="00F25D7B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02E3DA0E" w14:textId="77777777" w:rsidR="00BC0542" w:rsidRDefault="00BC0542">
      <w:pPr>
        <w:spacing w:line="360" w:lineRule="auto"/>
        <w:jc w:val="both"/>
        <w:rPr>
          <w:rFonts w:ascii="Calibri" w:hAnsi="Calibri"/>
          <w:rtl/>
        </w:rPr>
      </w:pPr>
    </w:p>
    <w:p w14:paraId="7A30FC76" w14:textId="77777777" w:rsidR="00BC0542" w:rsidRDefault="00BC0542">
      <w:pPr>
        <w:spacing w:line="360" w:lineRule="auto"/>
        <w:jc w:val="both"/>
        <w:rPr>
          <w:rtl/>
        </w:rPr>
      </w:pPr>
    </w:p>
    <w:p w14:paraId="44522F9C" w14:textId="77777777" w:rsidR="00BC0542" w:rsidRDefault="00F25D7B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שביט</w:t>
      </w:r>
      <w:r>
        <w:t xml:space="preserve"> </w:t>
      </w:r>
      <w:r>
        <w:rPr>
          <w:rtl/>
        </w:rPr>
        <w:t>אלפסי</w:t>
      </w:r>
    </w:p>
    <w:p w14:paraId="1FF93E14" w14:textId="77777777" w:rsidR="00F25D7B" w:rsidRPr="00F25D7B" w:rsidRDefault="00F25D7B" w:rsidP="00F25D7B">
      <w:pPr>
        <w:keepNext/>
        <w:rPr>
          <w:color w:val="000000"/>
          <w:sz w:val="22"/>
          <w:szCs w:val="22"/>
          <w:rtl/>
        </w:rPr>
      </w:pPr>
    </w:p>
    <w:p w14:paraId="37CF46E7" w14:textId="77777777" w:rsidR="00F25D7B" w:rsidRPr="00F25D7B" w:rsidRDefault="00F25D7B" w:rsidP="00F25D7B">
      <w:pPr>
        <w:keepNext/>
        <w:rPr>
          <w:color w:val="000000"/>
          <w:sz w:val="22"/>
          <w:szCs w:val="22"/>
          <w:rtl/>
        </w:rPr>
      </w:pPr>
      <w:r w:rsidRPr="00F25D7B">
        <w:rPr>
          <w:color w:val="000000"/>
          <w:sz w:val="22"/>
          <w:szCs w:val="22"/>
          <w:rtl/>
        </w:rPr>
        <w:t>ניצה מימון שעשוע 54678313</w:t>
      </w:r>
    </w:p>
    <w:p w14:paraId="25DFEA41" w14:textId="77777777" w:rsidR="00F25D7B" w:rsidRDefault="00F25D7B" w:rsidP="00F25D7B">
      <w:r w:rsidRPr="00F25D7B">
        <w:rPr>
          <w:color w:val="000000"/>
          <w:rtl/>
        </w:rPr>
        <w:t>נוסח מסמך זה כפוף לשינויי ניסוח ועריכה</w:t>
      </w:r>
    </w:p>
    <w:p w14:paraId="1A2A8D64" w14:textId="77777777" w:rsidR="00F25D7B" w:rsidRDefault="00F25D7B" w:rsidP="00F25D7B">
      <w:pPr>
        <w:rPr>
          <w:rtl/>
        </w:rPr>
      </w:pPr>
    </w:p>
    <w:p w14:paraId="6D7EFDA2" w14:textId="77777777" w:rsidR="00F25D7B" w:rsidRDefault="00F25D7B" w:rsidP="00F25D7B">
      <w:pPr>
        <w:jc w:val="center"/>
        <w:rPr>
          <w:color w:val="0000FF"/>
          <w:u w:val="single"/>
        </w:rPr>
      </w:pPr>
      <w:hyperlink r:id="rId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BD5148E" w14:textId="77777777" w:rsidR="00BC0542" w:rsidRPr="00F25D7B" w:rsidRDefault="00BC0542" w:rsidP="00F25D7B">
      <w:pPr>
        <w:jc w:val="center"/>
        <w:rPr>
          <w:color w:val="0000FF"/>
          <w:u w:val="single"/>
        </w:rPr>
      </w:pPr>
    </w:p>
    <w:sectPr w:rsidR="00BC0542" w:rsidRPr="00F25D7B" w:rsidSect="00F25D7B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F4154" w14:textId="77777777" w:rsidR="009209B5" w:rsidRPr="00EA0406" w:rsidRDefault="009209B5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A26E34F" w14:textId="77777777" w:rsidR="009209B5" w:rsidRPr="00EA0406" w:rsidRDefault="009209B5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DDD79" w14:textId="77777777" w:rsidR="00F25D7B" w:rsidRDefault="00F25D7B" w:rsidP="00F25D7B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20</w:t>
    </w:r>
    <w:r>
      <w:rPr>
        <w:rFonts w:ascii="FrankRuehl" w:hAnsi="FrankRuehl" w:cs="FrankRuehl"/>
        <w:rtl/>
      </w:rPr>
      <w:fldChar w:fldCharType="end"/>
    </w:r>
  </w:p>
  <w:p w14:paraId="692630F0" w14:textId="77777777" w:rsidR="00BC0542" w:rsidRPr="00F25D7B" w:rsidRDefault="00F25D7B" w:rsidP="00F25D7B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25D7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B9005" w14:textId="77777777" w:rsidR="00F25D7B" w:rsidRDefault="00F25D7B" w:rsidP="00F25D7B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82BB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3D0EDDA" w14:textId="77777777" w:rsidR="00BC0542" w:rsidRPr="00F25D7B" w:rsidRDefault="00F25D7B" w:rsidP="00F25D7B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25D7B">
      <w:rPr>
        <w:rFonts w:ascii="FrankRuehl" w:hAnsi="FrankRuehl" w:cs="FrankRuehl"/>
        <w:color w:val="000000"/>
      </w:rPr>
      <w:pict w14:anchorId="6DF697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1CFFE" w14:textId="77777777" w:rsidR="009209B5" w:rsidRPr="00EA0406" w:rsidRDefault="009209B5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17E72B73" w14:textId="77777777" w:rsidR="009209B5" w:rsidRPr="00EA0406" w:rsidRDefault="009209B5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A7537" w14:textId="77777777" w:rsidR="00F25D7B" w:rsidRPr="00F25D7B" w:rsidRDefault="00F25D7B" w:rsidP="00F25D7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(פ"ת) 1834-08-11</w:t>
    </w:r>
    <w:r>
      <w:rPr>
        <w:color w:val="000000"/>
        <w:sz w:val="22"/>
        <w:szCs w:val="22"/>
        <w:rtl/>
      </w:rPr>
      <w:tab/>
      <w:t xml:space="preserve"> מדינת ישראל נ' עמיר חאפי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75B83" w14:textId="77777777" w:rsidR="00F25D7B" w:rsidRPr="00F25D7B" w:rsidRDefault="00F25D7B" w:rsidP="00F25D7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(פ"ת) 1834-08-11</w:t>
    </w:r>
    <w:r>
      <w:rPr>
        <w:color w:val="000000"/>
        <w:sz w:val="22"/>
        <w:szCs w:val="22"/>
        <w:rtl/>
      </w:rPr>
      <w:tab/>
      <w:t xml:space="preserve"> מדינת ישראל נ' עמיר חאפי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C0542"/>
    <w:rsid w:val="007372E7"/>
    <w:rsid w:val="009209B5"/>
    <w:rsid w:val="00BC0542"/>
    <w:rsid w:val="00C82BBA"/>
    <w:rsid w:val="00E47AAE"/>
    <w:rsid w:val="00F20875"/>
    <w:rsid w:val="00F2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FEA485F"/>
  <w15:chartTrackingRefBased/>
  <w15:docId w15:val="{81C776C2-80DC-4841-9DBA-5F4A4FC7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0542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C054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C054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BC0542"/>
  </w:style>
  <w:style w:type="character" w:customStyle="1" w:styleId="TimesNewRomanTimesNewRoman">
    <w:name w:val="סגנון (לטיני) Times New Roman (עברית ושפות אחרות) Times New Roman..."/>
    <w:basedOn w:val="a0"/>
    <w:rsid w:val="00BC0542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BC0542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BC0542"/>
  </w:style>
  <w:style w:type="character" w:styleId="Hyperlink">
    <w:name w:val="Hyperlink"/>
    <w:basedOn w:val="a0"/>
    <w:rsid w:val="00F25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inks/psika/?NEWPROC=&#1502;&#1514;&amp;NEWPARTA=1887&amp;NEWPARTB=08&amp;NEWPARTC=11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1631</CharactersWithSpaces>
  <SharedDoc>false</SharedDoc>
  <HLinks>
    <vt:vector size="12" baseType="variant">
      <vt:variant>
        <vt:i4>393283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97584614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http://www.nevo.co.il/links/psika/?NEWPROC=מת&amp;NEWPARTA=1887&amp;NEWPARTB=08&amp;NEWPARTC=11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2025-04-22T21:39:00Z</dcterms:created>
  <dcterms:modified xsi:type="dcterms:W3CDTF">2025-04-22T21:39:00Z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1834</vt:lpwstr>
  </property>
  <property fmtid="{D5CDD505-2E9C-101B-9397-08002B2CF9AE}" pid="6" name="NEWPARTB">
    <vt:lpwstr>08</vt:lpwstr>
  </property>
  <property fmtid="{D5CDD505-2E9C-101B-9397-08002B2CF9AE}" pid="7" name="NEWPARTC">
    <vt:lpwstr>11</vt:lpwstr>
  </property>
  <property fmtid="{D5CDD505-2E9C-101B-9397-08002B2CF9AE}" pid="8" name="APPELLANT">
    <vt:lpwstr>מדינת ישראל</vt:lpwstr>
  </property>
  <property fmtid="{D5CDD505-2E9C-101B-9397-08002B2CF9AE}" pid="9" name="APPELLEE">
    <vt:lpwstr>עמיר חאפי</vt:lpwstr>
  </property>
  <property fmtid="{D5CDD505-2E9C-101B-9397-08002B2CF9AE}" pid="10" name="LAWYER">
    <vt:lpwstr>יניב פרטוק;בן יהודה</vt:lpwstr>
  </property>
  <property fmtid="{D5CDD505-2E9C-101B-9397-08002B2CF9AE}" pid="11" name="JUDGE">
    <vt:lpwstr>ניצה מימון שעשוע</vt:lpwstr>
  </property>
  <property fmtid="{D5CDD505-2E9C-101B-9397-08002B2CF9AE}" pid="12" name="CITY">
    <vt:lpwstr>פ"ת</vt:lpwstr>
  </property>
  <property fmtid="{D5CDD505-2E9C-101B-9397-08002B2CF9AE}" pid="13" name="DATE">
    <vt:lpwstr>20131203</vt:lpwstr>
  </property>
  <property fmtid="{D5CDD505-2E9C-101B-9397-08002B2CF9AE}" pid="14" name="TYPE_N_DATE">
    <vt:lpwstr>38020131203</vt:lpwstr>
  </property>
  <property fmtid="{D5CDD505-2E9C-101B-9397-08002B2CF9AE}" pid="15" name="WORDNUMPAGES">
    <vt:lpwstr>2</vt:lpwstr>
  </property>
  <property fmtid="{D5CDD505-2E9C-101B-9397-08002B2CF9AE}" pid="16" name="TYPE_ABS_DATE">
    <vt:lpwstr>380020131203</vt:lpwstr>
  </property>
</Properties>
</file>