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0"/>
        <w:gridCol w:w="3671"/>
      </w:tblGrid>
      <w:tr w:rsidR="004770B7" w:rsidRPr="00252518" w14:paraId="7D167B0C" w14:textId="77777777">
        <w:trPr>
          <w:trHeight w:hRule="exact" w:val="418"/>
          <w:jc w:val="center"/>
        </w:trPr>
        <w:tc>
          <w:tcPr>
            <w:tcW w:w="8721" w:type="dxa"/>
            <w:gridSpan w:val="2"/>
          </w:tcPr>
          <w:p w14:paraId="1C156D80" w14:textId="77777777" w:rsidR="004770B7" w:rsidRPr="00252518" w:rsidRDefault="00252518">
            <w:pPr>
              <w:pStyle w:val="a3"/>
              <w:jc w:val="center"/>
              <w:rPr>
                <w:rFonts w:ascii="Tahoma" w:hAnsi="Tahoma" w:cs="Tahoma"/>
                <w:color w:val="000080"/>
                <w:rtl/>
              </w:rPr>
            </w:pPr>
            <w:bookmarkStart w:id="0" w:name="LastJudge"/>
            <w:r w:rsidRPr="00252518">
              <w:rPr>
                <w:rFonts w:ascii="Tahoma" w:hAnsi="Tahoma" w:cs="Tahoma"/>
                <w:b/>
                <w:bCs/>
                <w:color w:val="000080"/>
                <w:rtl/>
              </w:rPr>
              <w:t>בית משפט השלום בחיפה</w:t>
            </w:r>
          </w:p>
        </w:tc>
      </w:tr>
      <w:tr w:rsidR="004770B7" w:rsidRPr="00252518" w14:paraId="0C508C10" w14:textId="77777777">
        <w:trPr>
          <w:trHeight w:val="337"/>
          <w:jc w:val="center"/>
        </w:trPr>
        <w:tc>
          <w:tcPr>
            <w:tcW w:w="5050" w:type="dxa"/>
          </w:tcPr>
          <w:p w14:paraId="627B7A5C" w14:textId="77777777" w:rsidR="004770B7" w:rsidRPr="00252518" w:rsidRDefault="00252518">
            <w:pPr>
              <w:rPr>
                <w:rFonts w:cs="FrankRuehl"/>
                <w:sz w:val="28"/>
                <w:szCs w:val="28"/>
                <w:rtl/>
              </w:rPr>
            </w:pPr>
            <w:r w:rsidRPr="00252518">
              <w:rPr>
                <w:rFonts w:cs="FrankRuehl"/>
                <w:sz w:val="28"/>
                <w:szCs w:val="28"/>
                <w:rtl/>
              </w:rPr>
              <w:t>ת"פ</w:t>
            </w:r>
            <w:r w:rsidRPr="00252518">
              <w:rPr>
                <w:rFonts w:cs="FrankRuehl" w:hint="cs"/>
                <w:sz w:val="28"/>
                <w:szCs w:val="28"/>
                <w:rtl/>
              </w:rPr>
              <w:t xml:space="preserve"> </w:t>
            </w:r>
            <w:r w:rsidRPr="00252518">
              <w:rPr>
                <w:rFonts w:cs="FrankRuehl"/>
                <w:sz w:val="28"/>
                <w:szCs w:val="28"/>
                <w:rtl/>
              </w:rPr>
              <w:t>19296-09-11</w:t>
            </w:r>
            <w:r w:rsidRPr="00252518">
              <w:rPr>
                <w:rFonts w:cs="FrankRuehl" w:hint="cs"/>
                <w:sz w:val="28"/>
                <w:szCs w:val="28"/>
                <w:rtl/>
              </w:rPr>
              <w:t xml:space="preserve"> </w:t>
            </w:r>
            <w:r w:rsidRPr="00252518">
              <w:rPr>
                <w:rFonts w:cs="FrankRuehl"/>
                <w:sz w:val="28"/>
                <w:szCs w:val="28"/>
                <w:rtl/>
              </w:rPr>
              <w:t>משטרת ישראל תביעות- שלוחת חיפה נ' מנשה</w:t>
            </w:r>
          </w:p>
          <w:p w14:paraId="36121721" w14:textId="77777777" w:rsidR="004770B7" w:rsidRPr="00252518" w:rsidRDefault="004770B7">
            <w:pPr>
              <w:pStyle w:val="a3"/>
              <w:rPr>
                <w:rFonts w:cs="FrankRuehl"/>
                <w:sz w:val="28"/>
                <w:szCs w:val="28"/>
                <w:rtl/>
              </w:rPr>
            </w:pPr>
          </w:p>
        </w:tc>
        <w:tc>
          <w:tcPr>
            <w:tcW w:w="3671" w:type="dxa"/>
          </w:tcPr>
          <w:p w14:paraId="6F0E228E" w14:textId="77777777" w:rsidR="004770B7" w:rsidRPr="00252518" w:rsidRDefault="00252518">
            <w:pPr>
              <w:pStyle w:val="a3"/>
              <w:jc w:val="right"/>
              <w:rPr>
                <w:rFonts w:cs="FrankRuehl"/>
                <w:sz w:val="28"/>
                <w:szCs w:val="28"/>
                <w:rtl/>
              </w:rPr>
            </w:pPr>
            <w:r w:rsidRPr="00252518">
              <w:rPr>
                <w:rFonts w:cs="FrankRuehl"/>
                <w:sz w:val="28"/>
                <w:szCs w:val="28"/>
                <w:rtl/>
              </w:rPr>
              <w:t>01 מאי 2013</w:t>
            </w:r>
          </w:p>
        </w:tc>
      </w:tr>
    </w:tbl>
    <w:p w14:paraId="0919F9A3" w14:textId="77777777" w:rsidR="004770B7" w:rsidRPr="00252518" w:rsidRDefault="00252518">
      <w:pPr>
        <w:pStyle w:val="a3"/>
        <w:rPr>
          <w:rtl/>
        </w:rPr>
      </w:pPr>
      <w:r w:rsidRPr="00252518">
        <w:rPr>
          <w:rFonts w:hint="cs"/>
          <w:rtl/>
        </w:rPr>
        <w:t xml:space="preserve"> </w:t>
      </w:r>
    </w:p>
    <w:p w14:paraId="448AA20E" w14:textId="77777777" w:rsidR="004770B7" w:rsidRPr="00252518" w:rsidRDefault="004770B7">
      <w:pPr>
        <w:rPr>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4770B7" w:rsidRPr="00252518" w14:paraId="43FD8B16" w14:textId="77777777">
        <w:trPr>
          <w:trHeight w:val="295"/>
          <w:jc w:val="center"/>
        </w:trPr>
        <w:tc>
          <w:tcPr>
            <w:tcW w:w="945" w:type="dxa"/>
            <w:tcBorders>
              <w:top w:val="nil"/>
              <w:left w:val="nil"/>
              <w:bottom w:val="nil"/>
              <w:right w:val="nil"/>
            </w:tcBorders>
          </w:tcPr>
          <w:p w14:paraId="1577C3A3" w14:textId="77777777" w:rsidR="004770B7" w:rsidRPr="00252518" w:rsidRDefault="00252518">
            <w:pPr>
              <w:jc w:val="both"/>
              <w:rPr>
                <w:rFonts w:ascii="Arial" w:hAnsi="Arial"/>
                <w:b/>
                <w:bCs/>
                <w:sz w:val="28"/>
                <w:szCs w:val="28"/>
              </w:rPr>
            </w:pPr>
            <w:r w:rsidRPr="00252518">
              <w:rPr>
                <w:rFonts w:ascii="Arial" w:hAnsi="Arial" w:hint="cs"/>
                <w:b/>
                <w:bCs/>
                <w:sz w:val="28"/>
                <w:szCs w:val="28"/>
                <w:rtl/>
              </w:rPr>
              <w:t>ב</w:t>
            </w:r>
            <w:r w:rsidRPr="00252518">
              <w:rPr>
                <w:rFonts w:ascii="Arial" w:hAnsi="Arial"/>
                <w:b/>
                <w:bCs/>
                <w:sz w:val="28"/>
                <w:szCs w:val="28"/>
                <w:rtl/>
              </w:rPr>
              <w:t xml:space="preserve">פני </w:t>
            </w:r>
          </w:p>
        </w:tc>
        <w:tc>
          <w:tcPr>
            <w:tcW w:w="7875" w:type="dxa"/>
            <w:gridSpan w:val="2"/>
            <w:tcBorders>
              <w:top w:val="nil"/>
              <w:left w:val="nil"/>
              <w:bottom w:val="nil"/>
              <w:right w:val="nil"/>
            </w:tcBorders>
          </w:tcPr>
          <w:p w14:paraId="2E9901CF" w14:textId="77777777" w:rsidR="004770B7" w:rsidRPr="00252518" w:rsidRDefault="00252518">
            <w:pPr>
              <w:rPr>
                <w:rFonts w:ascii="Arial" w:hAnsi="Arial"/>
                <w:b/>
                <w:bCs/>
                <w:sz w:val="28"/>
                <w:szCs w:val="28"/>
                <w:rtl/>
              </w:rPr>
            </w:pPr>
            <w:r w:rsidRPr="00252518">
              <w:rPr>
                <w:rFonts w:ascii="Arial" w:hAnsi="Arial" w:hint="cs"/>
                <w:b/>
                <w:bCs/>
                <w:sz w:val="28"/>
                <w:szCs w:val="28"/>
                <w:rtl/>
              </w:rPr>
              <w:t>כב' ה</w:t>
            </w:r>
            <w:r w:rsidRPr="00252518">
              <w:rPr>
                <w:rFonts w:hint="cs"/>
                <w:b/>
                <w:bCs/>
                <w:sz w:val="28"/>
                <w:szCs w:val="28"/>
                <w:rtl/>
              </w:rPr>
              <w:t>שופטת בכירה</w:t>
            </w:r>
            <w:r w:rsidRPr="00252518">
              <w:rPr>
                <w:rFonts w:ascii="Arial" w:hAnsi="Arial" w:hint="cs"/>
                <w:b/>
                <w:bCs/>
                <w:sz w:val="28"/>
                <w:szCs w:val="28"/>
                <w:rtl/>
              </w:rPr>
              <w:t xml:space="preserve">  </w:t>
            </w:r>
            <w:r w:rsidRPr="00252518">
              <w:rPr>
                <w:rFonts w:hint="cs"/>
                <w:b/>
                <w:bCs/>
                <w:sz w:val="28"/>
                <w:szCs w:val="28"/>
                <w:rtl/>
              </w:rPr>
              <w:t>יעל אבירם</w:t>
            </w:r>
          </w:p>
          <w:p w14:paraId="3EE72184" w14:textId="77777777" w:rsidR="004770B7" w:rsidRPr="00252518" w:rsidRDefault="004770B7">
            <w:pPr>
              <w:jc w:val="both"/>
              <w:rPr>
                <w:rFonts w:ascii="Arial" w:hAnsi="Arial"/>
                <w:b/>
                <w:bCs/>
                <w:sz w:val="28"/>
                <w:szCs w:val="28"/>
              </w:rPr>
            </w:pPr>
          </w:p>
        </w:tc>
      </w:tr>
      <w:tr w:rsidR="004770B7" w:rsidRPr="00252518" w14:paraId="24EF1D20" w14:textId="77777777">
        <w:trPr>
          <w:trHeight w:val="355"/>
          <w:jc w:val="center"/>
        </w:trPr>
        <w:tc>
          <w:tcPr>
            <w:tcW w:w="945" w:type="dxa"/>
            <w:tcBorders>
              <w:top w:val="nil"/>
              <w:left w:val="nil"/>
              <w:bottom w:val="nil"/>
              <w:right w:val="nil"/>
            </w:tcBorders>
          </w:tcPr>
          <w:p w14:paraId="70CDA56E" w14:textId="77777777" w:rsidR="004770B7" w:rsidRPr="00252518" w:rsidRDefault="00252518">
            <w:pPr>
              <w:jc w:val="both"/>
              <w:rPr>
                <w:rFonts w:ascii="Arial" w:hAnsi="Arial"/>
                <w:b/>
                <w:bCs/>
                <w:sz w:val="28"/>
                <w:szCs w:val="28"/>
              </w:rPr>
            </w:pPr>
            <w:bookmarkStart w:id="1" w:name="FirstAppellant"/>
            <w:r w:rsidRPr="00252518">
              <w:rPr>
                <w:rFonts w:ascii="Arial" w:hAnsi="Arial" w:hint="cs"/>
                <w:b/>
                <w:bCs/>
                <w:sz w:val="28"/>
                <w:szCs w:val="28"/>
                <w:rtl/>
              </w:rPr>
              <w:t>בעניין:</w:t>
            </w:r>
          </w:p>
        </w:tc>
        <w:tc>
          <w:tcPr>
            <w:tcW w:w="4114" w:type="dxa"/>
            <w:tcBorders>
              <w:top w:val="nil"/>
              <w:left w:val="nil"/>
              <w:bottom w:val="nil"/>
              <w:right w:val="nil"/>
            </w:tcBorders>
          </w:tcPr>
          <w:p w14:paraId="1C505005" w14:textId="77777777" w:rsidR="004770B7" w:rsidRPr="00252518" w:rsidRDefault="00252518">
            <w:pPr>
              <w:rPr>
                <w:b/>
                <w:bCs/>
              </w:rPr>
            </w:pPr>
            <w:r w:rsidRPr="00252518">
              <w:rPr>
                <w:rFonts w:hint="cs"/>
                <w:b/>
                <w:bCs/>
                <w:rtl/>
              </w:rPr>
              <w:t>משטרת ישראל תביעות- שלוחת חיפה</w:t>
            </w:r>
          </w:p>
        </w:tc>
        <w:tc>
          <w:tcPr>
            <w:tcW w:w="3761" w:type="dxa"/>
            <w:tcBorders>
              <w:top w:val="nil"/>
              <w:left w:val="nil"/>
              <w:bottom w:val="nil"/>
              <w:right w:val="nil"/>
            </w:tcBorders>
          </w:tcPr>
          <w:p w14:paraId="501A8863" w14:textId="77777777" w:rsidR="004770B7" w:rsidRPr="00252518" w:rsidRDefault="00252518">
            <w:pPr>
              <w:jc w:val="right"/>
              <w:rPr>
                <w:rFonts w:ascii="Arial" w:hAnsi="Arial"/>
                <w:b/>
                <w:bCs/>
                <w:sz w:val="28"/>
                <w:szCs w:val="28"/>
              </w:rPr>
            </w:pPr>
            <w:r w:rsidRPr="00252518">
              <w:rPr>
                <w:rFonts w:ascii="Arial" w:hAnsi="Arial" w:hint="cs"/>
                <w:b/>
                <w:bCs/>
                <w:rtl/>
              </w:rPr>
              <w:t>המאשימה</w:t>
            </w:r>
          </w:p>
        </w:tc>
      </w:tr>
      <w:bookmarkEnd w:id="1"/>
      <w:tr w:rsidR="004770B7" w:rsidRPr="00252518" w14:paraId="01765B15" w14:textId="77777777">
        <w:trPr>
          <w:trHeight w:val="355"/>
          <w:jc w:val="center"/>
        </w:trPr>
        <w:tc>
          <w:tcPr>
            <w:tcW w:w="945" w:type="dxa"/>
            <w:tcBorders>
              <w:top w:val="nil"/>
              <w:left w:val="nil"/>
              <w:bottom w:val="nil"/>
              <w:right w:val="nil"/>
            </w:tcBorders>
          </w:tcPr>
          <w:p w14:paraId="043D2254" w14:textId="77777777" w:rsidR="004770B7" w:rsidRPr="00252518" w:rsidRDefault="004770B7">
            <w:pPr>
              <w:jc w:val="both"/>
              <w:rPr>
                <w:rFonts w:ascii="Arial" w:hAnsi="Arial"/>
                <w:b/>
                <w:bCs/>
                <w:sz w:val="28"/>
                <w:szCs w:val="28"/>
                <w:rtl/>
              </w:rPr>
            </w:pPr>
          </w:p>
        </w:tc>
        <w:tc>
          <w:tcPr>
            <w:tcW w:w="4114" w:type="dxa"/>
            <w:tcBorders>
              <w:top w:val="nil"/>
              <w:left w:val="nil"/>
              <w:bottom w:val="nil"/>
              <w:right w:val="nil"/>
            </w:tcBorders>
          </w:tcPr>
          <w:p w14:paraId="385AB1DB" w14:textId="77777777" w:rsidR="004770B7" w:rsidRPr="00252518" w:rsidRDefault="004770B7">
            <w:pPr>
              <w:jc w:val="both"/>
              <w:rPr>
                <w:b/>
                <w:bCs/>
                <w:rtl/>
              </w:rPr>
            </w:pPr>
          </w:p>
        </w:tc>
        <w:tc>
          <w:tcPr>
            <w:tcW w:w="3761" w:type="dxa"/>
            <w:tcBorders>
              <w:top w:val="nil"/>
              <w:left w:val="nil"/>
              <w:bottom w:val="nil"/>
              <w:right w:val="nil"/>
            </w:tcBorders>
          </w:tcPr>
          <w:p w14:paraId="0A65E106" w14:textId="77777777" w:rsidR="004770B7" w:rsidRPr="00252518" w:rsidRDefault="004770B7">
            <w:pPr>
              <w:jc w:val="right"/>
              <w:rPr>
                <w:rFonts w:ascii="Arial" w:hAnsi="Arial"/>
                <w:b/>
                <w:bCs/>
                <w:sz w:val="28"/>
                <w:szCs w:val="28"/>
                <w:rtl/>
              </w:rPr>
            </w:pPr>
          </w:p>
        </w:tc>
      </w:tr>
      <w:tr w:rsidR="004770B7" w:rsidRPr="00252518" w14:paraId="603EB458" w14:textId="77777777">
        <w:trPr>
          <w:trHeight w:val="355"/>
          <w:jc w:val="center"/>
        </w:trPr>
        <w:tc>
          <w:tcPr>
            <w:tcW w:w="945" w:type="dxa"/>
            <w:tcBorders>
              <w:top w:val="nil"/>
              <w:left w:val="nil"/>
              <w:bottom w:val="nil"/>
              <w:right w:val="nil"/>
            </w:tcBorders>
          </w:tcPr>
          <w:p w14:paraId="3490D513" w14:textId="77777777" w:rsidR="004770B7" w:rsidRPr="00252518" w:rsidRDefault="004770B7">
            <w:pPr>
              <w:jc w:val="both"/>
              <w:rPr>
                <w:rFonts w:ascii="Arial" w:hAnsi="Arial"/>
                <w:b/>
                <w:bCs/>
                <w:sz w:val="28"/>
                <w:szCs w:val="28"/>
                <w:rtl/>
              </w:rPr>
            </w:pPr>
          </w:p>
        </w:tc>
        <w:tc>
          <w:tcPr>
            <w:tcW w:w="7875" w:type="dxa"/>
            <w:gridSpan w:val="2"/>
            <w:tcBorders>
              <w:top w:val="nil"/>
              <w:left w:val="nil"/>
              <w:bottom w:val="nil"/>
              <w:right w:val="nil"/>
            </w:tcBorders>
          </w:tcPr>
          <w:p w14:paraId="334B0655" w14:textId="77777777" w:rsidR="004770B7" w:rsidRPr="00252518" w:rsidRDefault="00252518">
            <w:pPr>
              <w:jc w:val="center"/>
              <w:rPr>
                <w:rFonts w:ascii="Arial" w:hAnsi="Arial"/>
                <w:b/>
                <w:bCs/>
                <w:sz w:val="28"/>
                <w:szCs w:val="28"/>
              </w:rPr>
            </w:pPr>
            <w:r w:rsidRPr="00252518">
              <w:rPr>
                <w:rFonts w:ascii="Arial" w:hAnsi="Arial"/>
                <w:b/>
                <w:bCs/>
                <w:sz w:val="28"/>
                <w:szCs w:val="28"/>
                <w:rtl/>
              </w:rPr>
              <w:t>נגד</w:t>
            </w:r>
          </w:p>
        </w:tc>
      </w:tr>
      <w:tr w:rsidR="004770B7" w:rsidRPr="00252518" w14:paraId="484DE9EC" w14:textId="77777777">
        <w:trPr>
          <w:trHeight w:val="355"/>
          <w:jc w:val="center"/>
        </w:trPr>
        <w:tc>
          <w:tcPr>
            <w:tcW w:w="945" w:type="dxa"/>
            <w:tcBorders>
              <w:top w:val="nil"/>
              <w:left w:val="nil"/>
              <w:bottom w:val="nil"/>
              <w:right w:val="nil"/>
            </w:tcBorders>
          </w:tcPr>
          <w:p w14:paraId="609984C6" w14:textId="77777777" w:rsidR="004770B7" w:rsidRPr="00252518" w:rsidRDefault="004770B7">
            <w:pPr>
              <w:rPr>
                <w:rFonts w:ascii="Arial" w:hAnsi="Arial"/>
                <w:b/>
                <w:bCs/>
                <w:sz w:val="28"/>
                <w:szCs w:val="28"/>
                <w:rtl/>
              </w:rPr>
            </w:pPr>
          </w:p>
        </w:tc>
        <w:tc>
          <w:tcPr>
            <w:tcW w:w="4114" w:type="dxa"/>
            <w:tcBorders>
              <w:top w:val="nil"/>
              <w:left w:val="nil"/>
              <w:bottom w:val="nil"/>
              <w:right w:val="nil"/>
            </w:tcBorders>
          </w:tcPr>
          <w:p w14:paraId="7C877831" w14:textId="77777777" w:rsidR="004770B7" w:rsidRPr="00252518" w:rsidRDefault="00252518">
            <w:pPr>
              <w:rPr>
                <w:b/>
                <w:bCs/>
                <w:rtl/>
              </w:rPr>
            </w:pPr>
            <w:r w:rsidRPr="00252518">
              <w:rPr>
                <w:rFonts w:hint="cs"/>
                <w:b/>
                <w:bCs/>
                <w:rtl/>
              </w:rPr>
              <w:t>סולי מנשה</w:t>
            </w:r>
          </w:p>
        </w:tc>
        <w:tc>
          <w:tcPr>
            <w:tcW w:w="3761" w:type="dxa"/>
            <w:tcBorders>
              <w:top w:val="nil"/>
              <w:left w:val="nil"/>
              <w:bottom w:val="nil"/>
              <w:right w:val="nil"/>
            </w:tcBorders>
          </w:tcPr>
          <w:p w14:paraId="741AEEF4" w14:textId="77777777" w:rsidR="004770B7" w:rsidRPr="00252518" w:rsidRDefault="004770B7">
            <w:pPr>
              <w:jc w:val="right"/>
              <w:rPr>
                <w:rFonts w:ascii="Arial" w:hAnsi="Arial"/>
                <w:b/>
                <w:bCs/>
                <w:sz w:val="28"/>
                <w:szCs w:val="28"/>
              </w:rPr>
            </w:pPr>
          </w:p>
        </w:tc>
      </w:tr>
      <w:tr w:rsidR="004770B7" w:rsidRPr="00252518" w14:paraId="189060D1" w14:textId="77777777">
        <w:trPr>
          <w:trHeight w:val="355"/>
          <w:jc w:val="center"/>
        </w:trPr>
        <w:tc>
          <w:tcPr>
            <w:tcW w:w="945" w:type="dxa"/>
            <w:tcBorders>
              <w:top w:val="nil"/>
              <w:left w:val="nil"/>
              <w:bottom w:val="nil"/>
              <w:right w:val="nil"/>
            </w:tcBorders>
          </w:tcPr>
          <w:p w14:paraId="7013D022" w14:textId="77777777" w:rsidR="004770B7" w:rsidRPr="00252518" w:rsidRDefault="004770B7">
            <w:pPr>
              <w:jc w:val="both"/>
              <w:rPr>
                <w:rFonts w:ascii="Arial" w:hAnsi="Arial"/>
                <w:b/>
                <w:bCs/>
                <w:sz w:val="28"/>
                <w:szCs w:val="28"/>
                <w:rtl/>
              </w:rPr>
            </w:pPr>
            <w:bookmarkStart w:id="2" w:name="FirstLawyer"/>
          </w:p>
        </w:tc>
        <w:tc>
          <w:tcPr>
            <w:tcW w:w="4114" w:type="dxa"/>
            <w:tcBorders>
              <w:top w:val="nil"/>
              <w:left w:val="nil"/>
              <w:bottom w:val="nil"/>
              <w:right w:val="nil"/>
            </w:tcBorders>
          </w:tcPr>
          <w:p w14:paraId="43249A8B" w14:textId="77777777" w:rsidR="004770B7" w:rsidRPr="00252518" w:rsidRDefault="00252518">
            <w:pPr>
              <w:jc w:val="both"/>
              <w:rPr>
                <w:b/>
                <w:bCs/>
                <w:rtl/>
              </w:rPr>
            </w:pPr>
            <w:r w:rsidRPr="00252518">
              <w:rPr>
                <w:rFonts w:hint="cs"/>
                <w:b/>
                <w:bCs/>
                <w:rtl/>
              </w:rPr>
              <w:t xml:space="preserve">ע"י ב"כ עו"ד תומר גולדנברג </w:t>
            </w:r>
          </w:p>
        </w:tc>
        <w:tc>
          <w:tcPr>
            <w:tcW w:w="3761" w:type="dxa"/>
            <w:tcBorders>
              <w:top w:val="nil"/>
              <w:left w:val="nil"/>
              <w:bottom w:val="nil"/>
              <w:right w:val="nil"/>
            </w:tcBorders>
          </w:tcPr>
          <w:p w14:paraId="6E499970" w14:textId="77777777" w:rsidR="004770B7" w:rsidRPr="00252518" w:rsidRDefault="00252518">
            <w:pPr>
              <w:jc w:val="right"/>
              <w:rPr>
                <w:rFonts w:ascii="Arial" w:hAnsi="Arial"/>
                <w:b/>
                <w:bCs/>
                <w:sz w:val="28"/>
                <w:szCs w:val="28"/>
              </w:rPr>
            </w:pPr>
            <w:r w:rsidRPr="00252518">
              <w:rPr>
                <w:rFonts w:ascii="Arial" w:hAnsi="Arial" w:hint="cs"/>
                <w:b/>
                <w:bCs/>
                <w:sz w:val="28"/>
                <w:szCs w:val="28"/>
                <w:rtl/>
              </w:rPr>
              <w:t>ה</w:t>
            </w:r>
            <w:r w:rsidRPr="00252518">
              <w:rPr>
                <w:rFonts w:hint="cs"/>
                <w:b/>
                <w:bCs/>
                <w:rtl/>
              </w:rPr>
              <w:t>נאשם</w:t>
            </w:r>
          </w:p>
        </w:tc>
      </w:tr>
      <w:bookmarkEnd w:id="2"/>
    </w:tbl>
    <w:p w14:paraId="75DEE09A" w14:textId="77777777" w:rsidR="004770B7" w:rsidRPr="00252518" w:rsidRDefault="004770B7">
      <w:pPr>
        <w:rPr>
          <w:b/>
          <w:bCs/>
        </w:rPr>
      </w:pPr>
    </w:p>
    <w:p w14:paraId="025B7A5F" w14:textId="77777777" w:rsidR="004770B7" w:rsidRPr="00252518" w:rsidRDefault="004770B7">
      <w:pPr>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770B7" w:rsidRPr="00252518" w14:paraId="5B96E161" w14:textId="77777777">
        <w:trPr>
          <w:trHeight w:val="355"/>
          <w:jc w:val="center"/>
        </w:trPr>
        <w:tc>
          <w:tcPr>
            <w:tcW w:w="8820" w:type="dxa"/>
            <w:tcBorders>
              <w:top w:val="nil"/>
              <w:left w:val="nil"/>
              <w:bottom w:val="nil"/>
              <w:right w:val="nil"/>
            </w:tcBorders>
          </w:tcPr>
          <w:p w14:paraId="0A723CE5" w14:textId="77777777" w:rsidR="004770B7" w:rsidRPr="00252518" w:rsidRDefault="00252518">
            <w:pPr>
              <w:jc w:val="center"/>
              <w:rPr>
                <w:rFonts w:ascii="Arial" w:hAnsi="Arial"/>
                <w:sz w:val="32"/>
                <w:szCs w:val="32"/>
                <w:rtl/>
              </w:rPr>
            </w:pPr>
            <w:bookmarkStart w:id="3" w:name="PsakDin"/>
            <w:r w:rsidRPr="00252518">
              <w:rPr>
                <w:rFonts w:ascii="Arial" w:hAnsi="Arial" w:hint="cs"/>
                <w:b/>
                <w:bCs/>
                <w:sz w:val="32"/>
                <w:szCs w:val="32"/>
                <w:rtl/>
              </w:rPr>
              <w:t xml:space="preserve">גזר דין </w:t>
            </w:r>
            <w:r w:rsidRPr="00252518">
              <w:rPr>
                <w:rFonts w:ascii="Arial" w:hAnsi="Arial"/>
                <w:b/>
                <w:bCs/>
                <w:sz w:val="32"/>
                <w:szCs w:val="32"/>
                <w:rtl/>
              </w:rPr>
              <w:t>–</w:t>
            </w:r>
            <w:r w:rsidRPr="00252518">
              <w:rPr>
                <w:rFonts w:ascii="Arial" w:hAnsi="Arial" w:hint="cs"/>
                <w:b/>
                <w:bCs/>
                <w:sz w:val="32"/>
                <w:szCs w:val="32"/>
                <w:rtl/>
              </w:rPr>
              <w:t xml:space="preserve"> נימוקים </w:t>
            </w:r>
            <w:bookmarkEnd w:id="3"/>
          </w:p>
        </w:tc>
      </w:tr>
    </w:tbl>
    <w:p w14:paraId="46511BF2" w14:textId="77777777" w:rsidR="004770B7" w:rsidRPr="00252518" w:rsidRDefault="004770B7">
      <w:pPr>
        <w:rPr>
          <w:rFonts w:ascii="Arial" w:hAnsi="Arial"/>
          <w:rtl/>
        </w:rPr>
      </w:pPr>
    </w:p>
    <w:p w14:paraId="30A9FC0A" w14:textId="77777777" w:rsidR="004770B7" w:rsidRPr="00252518" w:rsidRDefault="00252518">
      <w:pPr>
        <w:spacing w:line="360" w:lineRule="auto"/>
        <w:ind w:left="720" w:hanging="720"/>
        <w:jc w:val="both"/>
        <w:rPr>
          <w:rtl/>
        </w:rPr>
      </w:pPr>
      <w:r w:rsidRPr="00252518">
        <w:rPr>
          <w:rtl/>
        </w:rPr>
        <w:t>1.</w:t>
      </w:r>
      <w:r w:rsidRPr="00252518">
        <w:rPr>
          <w:rtl/>
        </w:rPr>
        <w:tab/>
        <w:t>הנאשם הורשע, על פי הודאתו, בביצוע עבירה שעניינה החזקת סם מסוג קנביס בכמות כוללת של קרוב ל-</w:t>
      </w:r>
      <w:smartTag w:uri="urn:schemas-microsoft-com:office:smarttags" w:element="metricconverter">
        <w:smartTagPr>
          <w:attr w:name="ProductID" w:val="280 גרם"/>
        </w:smartTagPr>
        <w:r w:rsidRPr="00252518">
          <w:rPr>
            <w:rtl/>
          </w:rPr>
          <w:t>280 גרם</w:t>
        </w:r>
      </w:smartTag>
      <w:r w:rsidRPr="00252518">
        <w:rPr>
          <w:rtl/>
        </w:rPr>
        <w:t xml:space="preserve">. </w:t>
      </w:r>
    </w:p>
    <w:p w14:paraId="0436DF68" w14:textId="77777777" w:rsidR="004770B7" w:rsidRPr="00252518" w:rsidRDefault="004770B7">
      <w:pPr>
        <w:spacing w:line="360" w:lineRule="auto"/>
        <w:ind w:left="720" w:hanging="720"/>
        <w:jc w:val="both"/>
        <w:rPr>
          <w:rtl/>
        </w:rPr>
      </w:pPr>
    </w:p>
    <w:p w14:paraId="48254F1B" w14:textId="77777777" w:rsidR="004770B7" w:rsidRPr="00252518" w:rsidRDefault="00252518">
      <w:pPr>
        <w:spacing w:line="360" w:lineRule="auto"/>
        <w:ind w:left="720" w:hanging="720"/>
        <w:jc w:val="both"/>
        <w:rPr>
          <w:rtl/>
        </w:rPr>
      </w:pPr>
      <w:r w:rsidRPr="00252518">
        <w:rPr>
          <w:rtl/>
        </w:rPr>
        <w:t>2.</w:t>
      </w:r>
      <w:r w:rsidRPr="00252518">
        <w:rPr>
          <w:rtl/>
        </w:rPr>
        <w:tab/>
        <w:t xml:space="preserve">אינני מקלה ראש בחומרת העבירה. עם זאת, על פי כלל האינדיבידואליזציה בענישה – יש לבחון כל מקרה על פי נסיבותיו וכל נאשם בהתחשב בנתוניו האישיים. </w:t>
      </w:r>
    </w:p>
    <w:p w14:paraId="5A588CBC" w14:textId="77777777" w:rsidR="004770B7" w:rsidRPr="00252518" w:rsidRDefault="004770B7">
      <w:pPr>
        <w:spacing w:line="360" w:lineRule="auto"/>
        <w:ind w:left="720" w:hanging="720"/>
        <w:jc w:val="both"/>
        <w:rPr>
          <w:rtl/>
        </w:rPr>
      </w:pPr>
    </w:p>
    <w:p w14:paraId="121BDE8B" w14:textId="77777777" w:rsidR="004770B7" w:rsidRPr="00252518" w:rsidRDefault="00252518">
      <w:pPr>
        <w:spacing w:line="360" w:lineRule="auto"/>
        <w:ind w:left="720" w:hanging="720"/>
        <w:jc w:val="both"/>
        <w:rPr>
          <w:rtl/>
        </w:rPr>
      </w:pPr>
      <w:r w:rsidRPr="00252518">
        <w:rPr>
          <w:rtl/>
        </w:rPr>
        <w:t>3.</w:t>
      </w:r>
      <w:r w:rsidRPr="00252518">
        <w:rPr>
          <w:rtl/>
        </w:rPr>
        <w:tab/>
        <w:t xml:space="preserve">בענייננו, כאמור, העבירה נעברה לפני מספר שנים (כמעט שלוש). הנאשם הודה בביצוע העבירה, נטל אחריות והתחרט, שיתף פעולה עם הרשויות, ובכך חסך מזמנן של הרשויות השונות ומזמנו של ביהמ"ש. אין לחובתו עבר פלילי כלל ואורח חייו נורמטיבי. עובד לפרנסתו. </w:t>
      </w:r>
    </w:p>
    <w:p w14:paraId="52353098" w14:textId="77777777" w:rsidR="004770B7" w:rsidRPr="00252518" w:rsidRDefault="004770B7">
      <w:pPr>
        <w:spacing w:line="360" w:lineRule="auto"/>
        <w:ind w:left="720" w:hanging="720"/>
        <w:jc w:val="both"/>
        <w:rPr>
          <w:rtl/>
        </w:rPr>
      </w:pPr>
    </w:p>
    <w:p w14:paraId="5D96169A" w14:textId="77777777" w:rsidR="004770B7" w:rsidRPr="00252518" w:rsidRDefault="00252518">
      <w:pPr>
        <w:spacing w:line="360" w:lineRule="auto"/>
        <w:ind w:left="720" w:hanging="720"/>
        <w:jc w:val="both"/>
        <w:rPr>
          <w:rtl/>
        </w:rPr>
      </w:pPr>
      <w:r w:rsidRPr="00252518">
        <w:rPr>
          <w:rtl/>
        </w:rPr>
        <w:t>4.</w:t>
      </w:r>
      <w:r w:rsidRPr="00252518">
        <w:rPr>
          <w:rtl/>
        </w:rPr>
        <w:tab/>
        <w:t xml:space="preserve">הנאשם הופנה לשירות המבחן לקבלת תסקיר בעניינו. מן העיון בתסקירים עולה הרקע לביצוע העבירה – שימוש בסם, בתקופה הרלבנטית. </w:t>
      </w:r>
    </w:p>
    <w:p w14:paraId="61EDF48D" w14:textId="77777777" w:rsidR="004770B7" w:rsidRPr="00252518" w:rsidRDefault="00252518">
      <w:pPr>
        <w:spacing w:line="360" w:lineRule="auto"/>
        <w:ind w:left="720" w:hanging="720"/>
        <w:jc w:val="both"/>
        <w:rPr>
          <w:rtl/>
        </w:rPr>
      </w:pPr>
      <w:r w:rsidRPr="00252518">
        <w:rPr>
          <w:rtl/>
        </w:rPr>
        <w:tab/>
        <w:t xml:space="preserve">מן התסקיר האחרון עולה כי הנאשם משתף פעולה באופן מלא בהליך הטיפולי ש"נתפר" למידותיו. </w:t>
      </w:r>
    </w:p>
    <w:p w14:paraId="00CBA090" w14:textId="77777777" w:rsidR="004770B7" w:rsidRPr="00252518" w:rsidRDefault="004770B7">
      <w:pPr>
        <w:spacing w:line="360" w:lineRule="auto"/>
        <w:ind w:left="720" w:hanging="720"/>
        <w:jc w:val="both"/>
        <w:rPr>
          <w:rtl/>
        </w:rPr>
      </w:pPr>
    </w:p>
    <w:p w14:paraId="1EDB77E6" w14:textId="77777777" w:rsidR="004770B7" w:rsidRPr="00252518" w:rsidRDefault="00252518">
      <w:pPr>
        <w:spacing w:line="360" w:lineRule="auto"/>
        <w:ind w:left="720" w:hanging="720"/>
        <w:jc w:val="both"/>
        <w:rPr>
          <w:rtl/>
        </w:rPr>
      </w:pPr>
      <w:r w:rsidRPr="00252518">
        <w:rPr>
          <w:rtl/>
        </w:rPr>
        <w:t>5.</w:t>
      </w:r>
      <w:r w:rsidRPr="00252518">
        <w:rPr>
          <w:rtl/>
        </w:rPr>
        <w:tab/>
        <w:t xml:space="preserve">לעניות דעתי, המלצתו הטיפולית המנומקת של שירות המבחן הינה סבירה וראויה בנסיבות הענין. </w:t>
      </w:r>
    </w:p>
    <w:p w14:paraId="64938640" w14:textId="77777777" w:rsidR="004770B7" w:rsidRPr="00252518" w:rsidRDefault="00252518">
      <w:pPr>
        <w:spacing w:line="360" w:lineRule="auto"/>
        <w:ind w:left="720" w:hanging="720"/>
        <w:jc w:val="both"/>
        <w:rPr>
          <w:rtl/>
        </w:rPr>
      </w:pPr>
      <w:r w:rsidRPr="00252518">
        <w:rPr>
          <w:rtl/>
        </w:rPr>
        <w:tab/>
        <w:t xml:space="preserve">כפי שצויין , הרקע לביצוע העבירה – שימוש בסם בתקופה הרלבנטית לנוכח קשיים. הנאשם נטל אחריות מלאה ושיתף פעולה באופן מלא במסלול הטיפולי. הוא מעוניין בהמשך טיפול ונמצא מתאים למסלול זה. </w:t>
      </w:r>
    </w:p>
    <w:p w14:paraId="0A922679" w14:textId="77777777" w:rsidR="004770B7" w:rsidRPr="00252518" w:rsidRDefault="004770B7">
      <w:pPr>
        <w:spacing w:line="360" w:lineRule="auto"/>
        <w:ind w:left="720" w:hanging="720"/>
        <w:jc w:val="both"/>
        <w:rPr>
          <w:rtl/>
        </w:rPr>
      </w:pPr>
    </w:p>
    <w:bookmarkEnd w:id="0"/>
    <w:p w14:paraId="23DAAA41" w14:textId="77777777" w:rsidR="004770B7" w:rsidRDefault="00252518">
      <w:pPr>
        <w:spacing w:line="360" w:lineRule="auto"/>
        <w:ind w:left="720" w:hanging="720"/>
        <w:jc w:val="both"/>
        <w:rPr>
          <w:rtl/>
        </w:rPr>
      </w:pPr>
      <w:r>
        <w:rPr>
          <w:rtl/>
        </w:rPr>
        <w:tab/>
        <w:t xml:space="preserve">בנסיבות אלה, אני סבורה כי ראוי לאפשר לנאשם להמשיך בדרך זו של קבלת טיפול מפוקח, בסיוע רשויות הטיפול, באופן שיאפשר לו להמשיך בחייו. </w:t>
      </w:r>
      <w:r>
        <w:rPr>
          <w:u w:val="single"/>
          <w:rtl/>
        </w:rPr>
        <w:t>ענישה מחמירה עלולה להסיג לאחור את כל המאמצים והמשאבים שהושקעו בשיקומו</w:t>
      </w:r>
      <w:r>
        <w:rPr>
          <w:rtl/>
        </w:rPr>
        <w:t xml:space="preserve">, ואילו מבחן טיפולי  עשוי לשרת בסופו של ענין גם האינטרס הציבורי. </w:t>
      </w:r>
    </w:p>
    <w:p w14:paraId="16C23F3B" w14:textId="77777777" w:rsidR="004770B7" w:rsidRDefault="00252518">
      <w:pPr>
        <w:spacing w:line="360" w:lineRule="auto"/>
        <w:ind w:left="720" w:hanging="720"/>
        <w:jc w:val="both"/>
        <w:rPr>
          <w:rtl/>
        </w:rPr>
      </w:pPr>
      <w:r>
        <w:rPr>
          <w:rtl/>
        </w:rPr>
        <w:tab/>
        <w:t xml:space="preserve">מטבע הדברים, במידה והנאשם לא יעמוד בתנאי המבחן – </w:t>
      </w:r>
      <w:r>
        <w:rPr>
          <w:u w:val="single"/>
          <w:rtl/>
        </w:rPr>
        <w:t>יוחזר עניינו לביהמ"ש</w:t>
      </w:r>
      <w:r>
        <w:rPr>
          <w:rtl/>
        </w:rPr>
        <w:t xml:space="preserve">. </w:t>
      </w:r>
    </w:p>
    <w:p w14:paraId="35007614" w14:textId="77777777" w:rsidR="004770B7" w:rsidRDefault="004770B7">
      <w:pPr>
        <w:spacing w:line="360" w:lineRule="auto"/>
        <w:ind w:left="720" w:hanging="720"/>
        <w:jc w:val="both"/>
        <w:rPr>
          <w:rtl/>
        </w:rPr>
      </w:pPr>
    </w:p>
    <w:p w14:paraId="6DBEA738" w14:textId="77777777" w:rsidR="004770B7" w:rsidRDefault="00252518">
      <w:pPr>
        <w:spacing w:line="360" w:lineRule="auto"/>
        <w:ind w:left="720" w:hanging="720"/>
        <w:jc w:val="both"/>
        <w:rPr>
          <w:rtl/>
        </w:rPr>
      </w:pPr>
      <w:r>
        <w:rPr>
          <w:rtl/>
        </w:rPr>
        <w:t>6.</w:t>
      </w:r>
      <w:r>
        <w:rPr>
          <w:rtl/>
        </w:rPr>
        <w:tab/>
        <w:t xml:space="preserve">לאחר ששקלתי מכלול השיקולים, האינטרסים והאיזונים הראויים – חומרת העבירה – מיחד, ויתר הנסיבות – מאידך (הודאה, סוג הסם, חרטה, חלוף הזמן, העדר הרשעות קודמות, תהליך הגמילה העולה יפה, המלצת שירות המבחן והסיכוי לשיקום), </w:t>
      </w:r>
      <w:r>
        <w:rPr>
          <w:u w:val="single"/>
          <w:rtl/>
        </w:rPr>
        <w:t>גזרתי דינו של הנאשם כדלקמן</w:t>
      </w:r>
      <w:r>
        <w:rPr>
          <w:rtl/>
        </w:rPr>
        <w:t>:</w:t>
      </w:r>
    </w:p>
    <w:p w14:paraId="4621F3E6" w14:textId="77777777" w:rsidR="004770B7" w:rsidRDefault="00252518">
      <w:pPr>
        <w:spacing w:line="360" w:lineRule="auto"/>
        <w:ind w:left="1440" w:hanging="720"/>
        <w:jc w:val="both"/>
        <w:rPr>
          <w:rtl/>
        </w:rPr>
      </w:pPr>
      <w:r>
        <w:rPr>
          <w:rtl/>
        </w:rPr>
        <w:t>א.</w:t>
      </w:r>
      <w:r>
        <w:rPr>
          <w:rtl/>
        </w:rPr>
        <w:tab/>
        <w:t xml:space="preserve">מאסר על תנאי של 5 חודשים ואולם הנאשם לא ישא בעונש זה אלא אם יעבור תוך תקופה של שנתיים עבירות על פי </w:t>
      </w:r>
      <w:hyperlink r:id="rId6" w:history="1">
        <w:r w:rsidRPr="00252518">
          <w:rPr>
            <w:rStyle w:val="Hyperlink"/>
            <w:rtl/>
          </w:rPr>
          <w:t>פקודת הסמים המסוכנים</w:t>
        </w:r>
      </w:hyperlink>
      <w:r>
        <w:rPr>
          <w:rtl/>
        </w:rPr>
        <w:t xml:space="preserve"> מסוג פשע ויורשע עליהן. </w:t>
      </w:r>
    </w:p>
    <w:p w14:paraId="1F968F68" w14:textId="77777777" w:rsidR="004770B7" w:rsidRDefault="004770B7">
      <w:pPr>
        <w:spacing w:line="360" w:lineRule="auto"/>
        <w:ind w:left="1440" w:hanging="720"/>
        <w:jc w:val="both"/>
        <w:rPr>
          <w:rtl/>
        </w:rPr>
      </w:pPr>
    </w:p>
    <w:p w14:paraId="6E083BE1" w14:textId="77777777" w:rsidR="004770B7" w:rsidRDefault="00252518">
      <w:pPr>
        <w:spacing w:line="360" w:lineRule="auto"/>
        <w:ind w:left="1440" w:hanging="720"/>
        <w:jc w:val="both"/>
        <w:rPr>
          <w:rtl/>
        </w:rPr>
      </w:pPr>
      <w:r>
        <w:rPr>
          <w:rtl/>
        </w:rPr>
        <w:t>ב.</w:t>
      </w:r>
      <w:r>
        <w:rPr>
          <w:rtl/>
        </w:rPr>
        <w:tab/>
        <w:t xml:space="preserve">פיקוח מטעם שירות המבחן וזאת למשך 18 חודשים. </w:t>
      </w:r>
    </w:p>
    <w:p w14:paraId="4CEE224B" w14:textId="77777777" w:rsidR="004770B7" w:rsidRDefault="004770B7">
      <w:pPr>
        <w:spacing w:line="360" w:lineRule="auto"/>
        <w:ind w:left="1440" w:hanging="720"/>
        <w:jc w:val="both"/>
        <w:rPr>
          <w:rtl/>
        </w:rPr>
      </w:pPr>
    </w:p>
    <w:p w14:paraId="66A68550" w14:textId="77777777" w:rsidR="004770B7" w:rsidRDefault="00252518">
      <w:pPr>
        <w:spacing w:line="360" w:lineRule="auto"/>
        <w:ind w:left="1440" w:hanging="720"/>
        <w:jc w:val="both"/>
        <w:rPr>
          <w:rtl/>
        </w:rPr>
      </w:pPr>
      <w:r>
        <w:rPr>
          <w:rtl/>
        </w:rPr>
        <w:t>ג.</w:t>
      </w:r>
      <w:r>
        <w:rPr>
          <w:rtl/>
        </w:rPr>
        <w:tab/>
        <w:t xml:space="preserve">חתימה על התחייבות בסך של 3,000 ש”ח בערבות עצמית להימנע מלעבור על החיקוק לפיו הורשע הנאשם תוך שנתיים מהיום. </w:t>
      </w:r>
    </w:p>
    <w:p w14:paraId="1D5547C0" w14:textId="77777777" w:rsidR="004770B7" w:rsidRDefault="004770B7">
      <w:pPr>
        <w:spacing w:line="360" w:lineRule="auto"/>
        <w:ind w:left="1440" w:hanging="720"/>
        <w:jc w:val="both"/>
        <w:rPr>
          <w:rtl/>
        </w:rPr>
      </w:pPr>
    </w:p>
    <w:p w14:paraId="6BAE43A0" w14:textId="77777777" w:rsidR="004770B7" w:rsidRDefault="00252518">
      <w:pPr>
        <w:spacing w:line="360" w:lineRule="auto"/>
        <w:ind w:left="720" w:hanging="720"/>
        <w:rPr>
          <w:rtl/>
        </w:rPr>
      </w:pPr>
      <w:r>
        <w:rPr>
          <w:rtl/>
        </w:rPr>
        <w:t>7.</w:t>
      </w:r>
      <w:r>
        <w:rPr>
          <w:rtl/>
        </w:rPr>
        <w:tab/>
        <w:t xml:space="preserve">אשר לפסיקה. </w:t>
      </w:r>
    </w:p>
    <w:p w14:paraId="176537C8" w14:textId="77777777" w:rsidR="004770B7" w:rsidRDefault="00252518">
      <w:pPr>
        <w:spacing w:line="360" w:lineRule="auto"/>
        <w:ind w:left="720" w:hanging="720"/>
        <w:rPr>
          <w:rtl/>
        </w:rPr>
      </w:pPr>
      <w:r>
        <w:rPr>
          <w:rtl/>
        </w:rPr>
        <w:tab/>
      </w:r>
      <w:r>
        <w:rPr>
          <w:u w:val="single"/>
          <w:rtl/>
        </w:rPr>
        <w:t>קיימות החלטות רבות של בתי משפט, בכל ערכאותיו, שבמסגרתן הועדף האינטרס הפרטי על פני זה הציבורי, זאת בעיקר לנוכח צפי חיובי לשיקום</w:t>
      </w:r>
      <w:r>
        <w:rPr>
          <w:rtl/>
        </w:rPr>
        <w:t xml:space="preserve">. אסתפק בציון מספר החלטות של ביהמ"ש העליון ברוח זו. </w:t>
      </w:r>
    </w:p>
    <w:p w14:paraId="2119A171" w14:textId="77777777" w:rsidR="004770B7" w:rsidRDefault="00252518">
      <w:pPr>
        <w:spacing w:line="360" w:lineRule="auto"/>
        <w:ind w:left="720" w:hanging="720"/>
        <w:jc w:val="both"/>
        <w:rPr>
          <w:rtl/>
        </w:rPr>
      </w:pPr>
      <w:r>
        <w:rPr>
          <w:rtl/>
        </w:rPr>
        <w:t xml:space="preserve"> </w:t>
      </w:r>
    </w:p>
    <w:p w14:paraId="6F531ED9" w14:textId="77777777" w:rsidR="004770B7" w:rsidRDefault="00252518">
      <w:pPr>
        <w:spacing w:line="360" w:lineRule="auto"/>
        <w:ind w:left="720" w:hanging="720"/>
        <w:jc w:val="both"/>
        <w:rPr>
          <w:rtl/>
        </w:rPr>
      </w:pPr>
      <w:r>
        <w:rPr>
          <w:rtl/>
        </w:rPr>
        <w:tab/>
        <w:t xml:space="preserve">* </w:t>
      </w:r>
      <w:hyperlink r:id="rId7" w:history="1">
        <w:r w:rsidRPr="00252518">
          <w:rPr>
            <w:rStyle w:val="Hyperlink"/>
            <w:rtl/>
          </w:rPr>
          <w:t>ע"פ 4158/05</w:t>
        </w:r>
      </w:hyperlink>
      <w:r>
        <w:rPr>
          <w:rtl/>
        </w:rPr>
        <w:t xml:space="preserve"> – מדינת ישראל נ' פארג', הוחלט </w:t>
      </w:r>
      <w:r>
        <w:rPr>
          <w:u w:val="single"/>
          <w:rtl/>
        </w:rPr>
        <w:t>בביהמ"ש העליון</w:t>
      </w:r>
      <w:r>
        <w:rPr>
          <w:rtl/>
        </w:rPr>
        <w:t xml:space="preserve"> לאשר </w:t>
      </w:r>
      <w:r>
        <w:rPr>
          <w:u w:val="single"/>
          <w:rtl/>
        </w:rPr>
        <w:t>מבחן גמילה</w:t>
      </w:r>
      <w:r>
        <w:rPr>
          <w:rtl/>
        </w:rPr>
        <w:t xml:space="preserve"> ל-18 חודשים שהוטל בבית משפט מחוזי תל אביב. הנאשם הורשע בעבירות </w:t>
      </w:r>
      <w:r>
        <w:rPr>
          <w:u w:val="single"/>
          <w:rtl/>
        </w:rPr>
        <w:t>התפרצות</w:t>
      </w:r>
      <w:r>
        <w:rPr>
          <w:rtl/>
        </w:rPr>
        <w:t xml:space="preserve"> ובהחזקת </w:t>
      </w:r>
      <w:r>
        <w:rPr>
          <w:u w:val="single"/>
          <w:rtl/>
        </w:rPr>
        <w:t xml:space="preserve">1,926 טבליות וכן </w:t>
      </w:r>
      <w:smartTag w:uri="urn:schemas-microsoft-com:office:smarttags" w:element="metricconverter">
        <w:smartTagPr>
          <w:attr w:name="ProductID" w:val="270 גרם"/>
        </w:smartTagPr>
        <w:r>
          <w:rPr>
            <w:u w:val="single"/>
            <w:rtl/>
          </w:rPr>
          <w:t>270 גרם</w:t>
        </w:r>
      </w:smartTag>
      <w:r>
        <w:rPr>
          <w:u w:val="single"/>
          <w:rtl/>
        </w:rPr>
        <w:t xml:space="preserve"> קוקאין</w:t>
      </w:r>
      <w:r>
        <w:rPr>
          <w:rtl/>
        </w:rPr>
        <w:t xml:space="preserve"> ואבקה המשמשת לערבוב הסם במשקל של </w:t>
      </w:r>
      <w:smartTag w:uri="urn:schemas-microsoft-com:office:smarttags" w:element="metricconverter">
        <w:smartTagPr>
          <w:attr w:name="ProductID" w:val="403 גרם"/>
        </w:smartTagPr>
        <w:r>
          <w:rPr>
            <w:rtl/>
          </w:rPr>
          <w:t>403 גרם</w:t>
        </w:r>
      </w:smartTag>
      <w:r>
        <w:rPr>
          <w:rtl/>
        </w:rPr>
        <w:t xml:space="preserve"> (החלטה מיום 27.10.05. הדגשות שלי, י.א.). </w:t>
      </w:r>
    </w:p>
    <w:p w14:paraId="62D370E0" w14:textId="77777777" w:rsidR="004770B7" w:rsidRDefault="00252518">
      <w:pPr>
        <w:spacing w:line="360" w:lineRule="auto"/>
        <w:ind w:left="720" w:hanging="720"/>
        <w:jc w:val="both"/>
        <w:rPr>
          <w:rtl/>
        </w:rPr>
      </w:pPr>
      <w:r>
        <w:rPr>
          <w:rtl/>
        </w:rPr>
        <w:tab/>
        <w:t xml:space="preserve">מבחן הגמילה הוטל לנוכח </w:t>
      </w:r>
      <w:r>
        <w:rPr>
          <w:u w:val="single"/>
          <w:rtl/>
        </w:rPr>
        <w:t>מסלול הגמילה</w:t>
      </w:r>
      <w:r>
        <w:rPr>
          <w:rtl/>
        </w:rPr>
        <w:t xml:space="preserve"> והסיכוי לשיקום. </w:t>
      </w:r>
    </w:p>
    <w:p w14:paraId="649E3FED" w14:textId="77777777" w:rsidR="004770B7" w:rsidRDefault="00252518">
      <w:pPr>
        <w:spacing w:line="360" w:lineRule="auto"/>
        <w:ind w:left="720" w:hanging="720"/>
        <w:jc w:val="both"/>
        <w:rPr>
          <w:rtl/>
        </w:rPr>
      </w:pPr>
      <w:r>
        <w:rPr>
          <w:rtl/>
        </w:rPr>
        <w:t xml:space="preserve"> </w:t>
      </w:r>
    </w:p>
    <w:p w14:paraId="26075F49" w14:textId="77777777" w:rsidR="004770B7" w:rsidRDefault="00252518">
      <w:pPr>
        <w:spacing w:line="360" w:lineRule="auto"/>
        <w:ind w:left="720"/>
        <w:jc w:val="both"/>
        <w:rPr>
          <w:u w:val="single"/>
          <w:rtl/>
        </w:rPr>
      </w:pPr>
      <w:r>
        <w:rPr>
          <w:rtl/>
        </w:rPr>
        <w:t xml:space="preserve">* ביום 10.9.06, התקבל </w:t>
      </w:r>
      <w:r>
        <w:rPr>
          <w:u w:val="single"/>
          <w:rtl/>
        </w:rPr>
        <w:t>בבימ"ש עליון</w:t>
      </w:r>
      <w:r>
        <w:rPr>
          <w:rtl/>
        </w:rPr>
        <w:t xml:space="preserve"> ערעורו של נאשם על עונש מאסר בן 40 חודשים וקנס בסך 30,000 ₪ שהוטלו עליו בבימ"ש מחוזי ירושלים.  </w:t>
      </w:r>
      <w:hyperlink r:id="rId8" w:history="1">
        <w:r w:rsidRPr="00252518">
          <w:rPr>
            <w:rStyle w:val="Hyperlink"/>
            <w:rtl/>
          </w:rPr>
          <w:t>ע"פ 8092/04</w:t>
        </w:r>
      </w:hyperlink>
      <w:r>
        <w:rPr>
          <w:rtl/>
        </w:rPr>
        <w:t xml:space="preserve"> – ישראל חביב נ' מדינת ישראל. המערער הורשע בביצוע עבירות </w:t>
      </w:r>
      <w:r>
        <w:rPr>
          <w:u w:val="single"/>
          <w:rtl/>
        </w:rPr>
        <w:t>סחר בסם</w:t>
      </w:r>
      <w:r>
        <w:rPr>
          <w:rtl/>
        </w:rPr>
        <w:t xml:space="preserve"> והחזקת סם שלא לשימוש  עצמי.  הסמים  נמכרו  לסוכן  משטרתי. העיסקאות  בוצעו  במשקלים של </w:t>
      </w:r>
      <w:smartTag w:uri="urn:schemas-microsoft-com:office:smarttags" w:element="metricconverter">
        <w:smartTagPr>
          <w:attr w:name="ProductID" w:val="5 ק&quot;ג"/>
        </w:smartTagPr>
        <w:r>
          <w:rPr>
            <w:u w:val="single"/>
            <w:rtl/>
          </w:rPr>
          <w:t>5 ק"ג</w:t>
        </w:r>
      </w:smartTag>
      <w:r>
        <w:rPr>
          <w:u w:val="single"/>
          <w:rtl/>
        </w:rPr>
        <w:t xml:space="preserve"> קנבוס</w:t>
      </w:r>
      <w:r>
        <w:rPr>
          <w:rtl/>
        </w:rPr>
        <w:t xml:space="preserve">, </w:t>
      </w:r>
      <w:smartTag w:uri="urn:schemas-microsoft-com:office:smarttags" w:element="metricconverter">
        <w:smartTagPr>
          <w:attr w:name="ProductID" w:val="1 ק&quot;ג"/>
        </w:smartTagPr>
        <w:r>
          <w:rPr>
            <w:u w:val="single"/>
            <w:rtl/>
          </w:rPr>
          <w:t>1 ק"ג</w:t>
        </w:r>
      </w:smartTag>
      <w:r>
        <w:rPr>
          <w:rtl/>
        </w:rPr>
        <w:t xml:space="preserve"> </w:t>
      </w:r>
      <w:r>
        <w:rPr>
          <w:rtl/>
        </w:rPr>
        <w:lastRenderedPageBreak/>
        <w:t xml:space="preserve">קנבוס, </w:t>
      </w:r>
      <w:smartTag w:uri="urn:schemas-microsoft-com:office:smarttags" w:element="metricconverter">
        <w:smartTagPr>
          <w:attr w:name="ProductID" w:val="7.5 ק&quot;ג"/>
        </w:smartTagPr>
        <w:r>
          <w:rPr>
            <w:u w:val="single"/>
            <w:rtl/>
          </w:rPr>
          <w:t>7.5 ק"ג</w:t>
        </w:r>
      </w:smartTag>
      <w:r>
        <w:rPr>
          <w:u w:val="single"/>
          <w:rtl/>
        </w:rPr>
        <w:t xml:space="preserve"> קנבוס</w:t>
      </w:r>
      <w:r>
        <w:rPr>
          <w:rtl/>
        </w:rPr>
        <w:t xml:space="preserve">. כן סוכם עם הסוכן כי המערער ימכור לו </w:t>
      </w:r>
      <w:smartTag w:uri="urn:schemas-microsoft-com:office:smarttags" w:element="metricconverter">
        <w:smartTagPr>
          <w:attr w:name="ProductID" w:val="20 ק&quot;ג"/>
        </w:smartTagPr>
        <w:r>
          <w:rPr>
            <w:u w:val="single"/>
            <w:rtl/>
          </w:rPr>
          <w:t>20 ק"ג</w:t>
        </w:r>
      </w:smartTag>
      <w:r>
        <w:rPr>
          <w:u w:val="single"/>
          <w:rtl/>
        </w:rPr>
        <w:t xml:space="preserve"> קנבוס</w:t>
      </w:r>
      <w:r>
        <w:rPr>
          <w:rtl/>
        </w:rPr>
        <w:t xml:space="preserve"> ואכן המערער החזיק בסם זה בכמות של </w:t>
      </w:r>
      <w:smartTag w:uri="urn:schemas-microsoft-com:office:smarttags" w:element="metricconverter">
        <w:smartTagPr>
          <w:attr w:name="ProductID" w:val="19.93 ק&quot;ג"/>
        </w:smartTagPr>
        <w:r>
          <w:rPr>
            <w:rtl/>
          </w:rPr>
          <w:t>19.93 ק"ג</w:t>
        </w:r>
      </w:smartTag>
      <w:r>
        <w:rPr>
          <w:rtl/>
        </w:rPr>
        <w:t xml:space="preserve"> נטו, בסמוך לנקודת המפגש עם הסוכן. </w:t>
      </w:r>
      <w:r>
        <w:rPr>
          <w:u w:val="single"/>
          <w:rtl/>
        </w:rPr>
        <w:t xml:space="preserve">כן צורפו לתיק העיקרי תיקים שעניינם החזקת סכין, זיוף ועבירה כלפי שוטרים. </w:t>
      </w:r>
    </w:p>
    <w:p w14:paraId="03DF347D" w14:textId="77777777" w:rsidR="004770B7" w:rsidRDefault="00252518">
      <w:pPr>
        <w:spacing w:line="360" w:lineRule="auto"/>
        <w:ind w:left="720" w:hanging="720"/>
        <w:jc w:val="both"/>
        <w:rPr>
          <w:rtl/>
        </w:rPr>
      </w:pPr>
      <w:r>
        <w:rPr>
          <w:rtl/>
        </w:rPr>
        <w:tab/>
      </w:r>
    </w:p>
    <w:p w14:paraId="24ED3F08" w14:textId="77777777" w:rsidR="004770B7" w:rsidRDefault="00252518">
      <w:pPr>
        <w:spacing w:line="360" w:lineRule="auto"/>
        <w:ind w:left="720"/>
        <w:jc w:val="both"/>
        <w:rPr>
          <w:rtl/>
        </w:rPr>
      </w:pPr>
      <w:r>
        <w:rPr>
          <w:rtl/>
        </w:rPr>
        <w:t xml:space="preserve">לחובת המערער היה עבר פלילי כבד והוא ריצה מספר מאסרים (ביהמ"ש העליון ציין כי "המערער היה עד לעת האחרונה עבריין מועד רב מעללים"). למרות זאת </w:t>
      </w:r>
      <w:r>
        <w:rPr>
          <w:u w:val="single"/>
          <w:rtl/>
        </w:rPr>
        <w:t>בוטל עונש המאסר והוטל עליו של"צ בהיקף 600 שעות</w:t>
      </w:r>
      <w:r>
        <w:rPr>
          <w:rtl/>
        </w:rPr>
        <w:t xml:space="preserve">. בנוסף הוקטן סכום הקנס, </w:t>
      </w:r>
      <w:r>
        <w:rPr>
          <w:u w:val="single"/>
          <w:rtl/>
        </w:rPr>
        <w:t>והושת מבחן גמילה למשך 18 חודשים</w:t>
      </w:r>
      <w:r>
        <w:rPr>
          <w:rtl/>
        </w:rPr>
        <w:t xml:space="preserve">. גם כאן הודגשה חשיבות השיקום ותרומתו לאינטרס הציבורי (הדגשות שלי, י.א.).  </w:t>
      </w:r>
    </w:p>
    <w:p w14:paraId="3C97E269" w14:textId="77777777" w:rsidR="004770B7" w:rsidRDefault="00252518">
      <w:pPr>
        <w:spacing w:line="360" w:lineRule="auto"/>
        <w:ind w:left="720"/>
        <w:jc w:val="both"/>
        <w:rPr>
          <w:rtl/>
        </w:rPr>
      </w:pPr>
      <w:r>
        <w:rPr>
          <w:rtl/>
        </w:rPr>
        <w:t xml:space="preserve"> </w:t>
      </w:r>
    </w:p>
    <w:p w14:paraId="29D59B15" w14:textId="77777777" w:rsidR="004770B7" w:rsidRDefault="00252518">
      <w:pPr>
        <w:spacing w:line="360" w:lineRule="auto"/>
        <w:ind w:left="720" w:hanging="720"/>
        <w:jc w:val="both"/>
        <w:rPr>
          <w:rtl/>
        </w:rPr>
      </w:pPr>
      <w:r>
        <w:rPr>
          <w:rtl/>
        </w:rPr>
        <w:tab/>
        <w:t xml:space="preserve">* ביום 1.2.06,  הוחלט </w:t>
      </w:r>
      <w:r>
        <w:rPr>
          <w:b/>
          <w:bCs/>
          <w:u w:val="single"/>
          <w:rtl/>
        </w:rPr>
        <w:t>בבימ"ש עליון</w:t>
      </w:r>
      <w:r>
        <w:rPr>
          <w:rtl/>
        </w:rPr>
        <w:t xml:space="preserve"> להטיל על מערער </w:t>
      </w:r>
      <w:r>
        <w:rPr>
          <w:u w:val="single"/>
          <w:rtl/>
        </w:rPr>
        <w:t>600 שעות של"צ</w:t>
      </w:r>
      <w:r>
        <w:rPr>
          <w:rtl/>
        </w:rPr>
        <w:t xml:space="preserve"> </w:t>
      </w:r>
      <w:r>
        <w:rPr>
          <w:u w:val="single"/>
          <w:rtl/>
        </w:rPr>
        <w:t>ומבחן, במקביל להארכת מאסר על תנאי שהיה תלוי נגדו</w:t>
      </w:r>
      <w:r>
        <w:rPr>
          <w:rtl/>
        </w:rPr>
        <w:t xml:space="preserve"> – זאת במסגרת </w:t>
      </w:r>
      <w:hyperlink r:id="rId9" w:history="1">
        <w:r w:rsidRPr="00252518">
          <w:rPr>
            <w:rStyle w:val="Hyperlink"/>
            <w:rtl/>
          </w:rPr>
          <w:t>ע"פ 8087/03</w:t>
        </w:r>
      </w:hyperlink>
      <w:r>
        <w:rPr>
          <w:rtl/>
        </w:rPr>
        <w:t xml:space="preserve"> מיכאל כהן נ' מדינת ישראל. הנאשם הורשע בבימ"ש מחוזי תל אביב בעבירת </w:t>
      </w:r>
      <w:r>
        <w:rPr>
          <w:u w:val="single"/>
          <w:rtl/>
        </w:rPr>
        <w:t>שוד בצוותא</w:t>
      </w:r>
      <w:r>
        <w:rPr>
          <w:rtl/>
        </w:rPr>
        <w:t xml:space="preserve">, </w:t>
      </w:r>
      <w:r>
        <w:rPr>
          <w:u w:val="single"/>
          <w:rtl/>
        </w:rPr>
        <w:t>גניבות רכב, שבל"ר, הונאה, תקיפה לשם גניבה</w:t>
      </w:r>
      <w:r>
        <w:rPr>
          <w:rtl/>
        </w:rPr>
        <w:t xml:space="preserve"> ועבירות נוספות. הופעל נגדו מאסר על תנאי ובסה"כ </w:t>
      </w:r>
      <w:r>
        <w:rPr>
          <w:u w:val="single"/>
          <w:rtl/>
        </w:rPr>
        <w:t>הוטלו עליו בבימ"ש מחוזי 6 שנות מאסר לריצוי בפועל</w:t>
      </w:r>
      <w:r>
        <w:rPr>
          <w:rtl/>
        </w:rPr>
        <w:t xml:space="preserve">. </w:t>
      </w:r>
    </w:p>
    <w:p w14:paraId="02AB2C4E" w14:textId="77777777" w:rsidR="004770B7" w:rsidRDefault="00252518">
      <w:pPr>
        <w:spacing w:line="360" w:lineRule="auto"/>
        <w:ind w:left="720" w:hanging="720"/>
        <w:jc w:val="both"/>
        <w:rPr>
          <w:rtl/>
        </w:rPr>
      </w:pPr>
      <w:r>
        <w:rPr>
          <w:rtl/>
        </w:rPr>
        <w:tab/>
      </w:r>
      <w:r>
        <w:rPr>
          <w:u w:val="single"/>
          <w:rtl/>
        </w:rPr>
        <w:t>לנוכח התהליך הטיפולי והפן השיקומי</w:t>
      </w:r>
      <w:r>
        <w:rPr>
          <w:rtl/>
        </w:rPr>
        <w:t xml:space="preserve"> </w:t>
      </w:r>
      <w:r>
        <w:rPr>
          <w:u w:val="single"/>
          <w:rtl/>
        </w:rPr>
        <w:t>בוטל עונש המאסר</w:t>
      </w:r>
      <w:r>
        <w:rPr>
          <w:rtl/>
        </w:rPr>
        <w:t xml:space="preserve"> כליל ועל המערער הוטלו, כאמור, </w:t>
      </w:r>
      <w:r>
        <w:rPr>
          <w:u w:val="single"/>
          <w:rtl/>
        </w:rPr>
        <w:t>של"צ ומבחן וכן הוארך העונש המותנה שהיה תלוי נגדו</w:t>
      </w:r>
      <w:r>
        <w:rPr>
          <w:rtl/>
        </w:rPr>
        <w:t xml:space="preserve">. זאת למרות ריבוי העבירות, חומרתן ועברו הפלילי המכביד (הדגשות שלי, י.א.). </w:t>
      </w:r>
    </w:p>
    <w:p w14:paraId="7BCF5E3C" w14:textId="77777777" w:rsidR="004770B7" w:rsidRDefault="00252518">
      <w:pPr>
        <w:spacing w:line="360" w:lineRule="auto"/>
        <w:ind w:left="720"/>
        <w:jc w:val="both"/>
        <w:rPr>
          <w:rtl/>
        </w:rPr>
      </w:pPr>
      <w:r>
        <w:rPr>
          <w:rtl/>
        </w:rPr>
        <w:t xml:space="preserve"> </w:t>
      </w:r>
    </w:p>
    <w:p w14:paraId="5D5F22F3" w14:textId="77777777" w:rsidR="004770B7" w:rsidRDefault="00252518">
      <w:pPr>
        <w:spacing w:line="360" w:lineRule="auto"/>
        <w:ind w:left="720" w:hanging="720"/>
        <w:jc w:val="both"/>
        <w:rPr>
          <w:sz w:val="26"/>
          <w:rtl/>
        </w:rPr>
      </w:pPr>
      <w:r>
        <w:rPr>
          <w:sz w:val="26"/>
          <w:rtl/>
        </w:rPr>
        <w:t>8.</w:t>
      </w:r>
      <w:r>
        <w:rPr>
          <w:sz w:val="26"/>
          <w:rtl/>
        </w:rPr>
        <w:tab/>
        <w:t xml:space="preserve">בנסיבות אלה, בענייננו, ומכח קל וחומר, החלטתי על הטלת מאסר על תנאי, מבחן  והתחייבות. ענישה זו מהווה, לטעמי, מענה סביר למכלול האינטרסים במקרה זה. </w:t>
      </w:r>
    </w:p>
    <w:p w14:paraId="25CCBE7D" w14:textId="77777777" w:rsidR="004770B7" w:rsidRDefault="004770B7">
      <w:pPr>
        <w:spacing w:line="360" w:lineRule="auto"/>
        <w:ind w:left="720" w:hanging="720"/>
        <w:jc w:val="both"/>
        <w:rPr>
          <w:sz w:val="26"/>
          <w:rtl/>
        </w:rPr>
      </w:pPr>
    </w:p>
    <w:p w14:paraId="3AB47EB4" w14:textId="77777777" w:rsidR="004770B7" w:rsidRDefault="00252518">
      <w:pPr>
        <w:spacing w:line="360" w:lineRule="auto"/>
        <w:rPr>
          <w:rtl/>
        </w:rPr>
      </w:pPr>
      <w:r>
        <w:rPr>
          <w:rtl/>
        </w:rPr>
        <w:t xml:space="preserve">הסם יושמד. </w:t>
      </w:r>
    </w:p>
    <w:p w14:paraId="396D8932" w14:textId="77777777" w:rsidR="004770B7" w:rsidRDefault="00252518">
      <w:pPr>
        <w:spacing w:line="360" w:lineRule="auto"/>
        <w:rPr>
          <w:rtl/>
        </w:rPr>
      </w:pPr>
      <w:r>
        <w:rPr>
          <w:rtl/>
        </w:rPr>
        <w:t xml:space="preserve">יתר המוצגים – יושמדו. </w:t>
      </w:r>
    </w:p>
    <w:p w14:paraId="3A3519C8" w14:textId="77777777" w:rsidR="004770B7" w:rsidRDefault="00252518">
      <w:pPr>
        <w:spacing w:line="360" w:lineRule="auto"/>
        <w:ind w:left="720" w:hanging="720"/>
        <w:jc w:val="both"/>
        <w:rPr>
          <w:b/>
          <w:bCs/>
          <w:rtl/>
        </w:rPr>
      </w:pPr>
      <w:r>
        <w:rPr>
          <w:b/>
          <w:bCs/>
          <w:rtl/>
        </w:rPr>
        <w:t xml:space="preserve">זכות ערעור תוך 45 יום מהיום </w:t>
      </w:r>
    </w:p>
    <w:p w14:paraId="222AE699" w14:textId="77777777" w:rsidR="004770B7" w:rsidRDefault="004770B7">
      <w:pPr>
        <w:spacing w:line="360" w:lineRule="auto"/>
        <w:rPr>
          <w:b/>
          <w:bCs/>
          <w:rtl/>
        </w:rPr>
      </w:pPr>
    </w:p>
    <w:p w14:paraId="62DD465C" w14:textId="77777777" w:rsidR="004770B7" w:rsidRDefault="00252518">
      <w:pPr>
        <w:spacing w:line="360" w:lineRule="auto"/>
        <w:rPr>
          <w:b/>
          <w:bCs/>
          <w:u w:val="single"/>
          <w:rtl/>
        </w:rPr>
      </w:pPr>
      <w:r w:rsidRPr="00252518">
        <w:rPr>
          <w:b/>
          <w:bCs/>
          <w:color w:val="FFFFFF"/>
          <w:sz w:val="2"/>
          <w:szCs w:val="2"/>
          <w:u w:val="single"/>
          <w:rtl/>
        </w:rPr>
        <w:t>5129371</w:t>
      </w:r>
      <w:r>
        <w:rPr>
          <w:b/>
          <w:bCs/>
          <w:u w:val="single"/>
          <w:rtl/>
        </w:rPr>
        <w:t>מזכירות תשלח העתק</w:t>
      </w:r>
      <w:r>
        <w:rPr>
          <w:rFonts w:hint="cs"/>
          <w:b/>
          <w:bCs/>
          <w:u w:val="single"/>
          <w:rtl/>
        </w:rPr>
        <w:t xml:space="preserve"> גזר הדין</w:t>
      </w:r>
      <w:r>
        <w:rPr>
          <w:b/>
          <w:bCs/>
          <w:u w:val="single"/>
          <w:rtl/>
        </w:rPr>
        <w:t xml:space="preserve"> לשירות מבחן למבוגרים, למאשימה ולסנגור (עו"ד תומר גולדנברג).  </w:t>
      </w:r>
      <w:bookmarkStart w:id="4" w:name="_GoBack"/>
      <w:bookmarkEnd w:id="4"/>
    </w:p>
    <w:p w14:paraId="5DE11BE6" w14:textId="77777777" w:rsidR="004770B7" w:rsidRPr="00252518" w:rsidRDefault="00252518">
      <w:pPr>
        <w:rPr>
          <w:color w:val="FFFFFF"/>
          <w:sz w:val="2"/>
          <w:szCs w:val="2"/>
          <w:rtl/>
        </w:rPr>
      </w:pPr>
      <w:r w:rsidRPr="00252518">
        <w:rPr>
          <w:color w:val="FFFFFF"/>
          <w:sz w:val="2"/>
          <w:szCs w:val="2"/>
          <w:rtl/>
        </w:rPr>
        <w:t>54678313</w:t>
      </w:r>
    </w:p>
    <w:p w14:paraId="1FF836A6" w14:textId="77777777" w:rsidR="00252518" w:rsidRPr="00252518" w:rsidRDefault="00252518" w:rsidP="00252518">
      <w:pPr>
        <w:keepNext/>
        <w:rPr>
          <w:rFonts w:ascii="David" w:hAnsi="David"/>
          <w:color w:val="000000"/>
          <w:sz w:val="22"/>
          <w:szCs w:val="22"/>
          <w:rtl/>
        </w:rPr>
      </w:pPr>
    </w:p>
    <w:p w14:paraId="10554DF5" w14:textId="77777777" w:rsidR="00252518" w:rsidRPr="00252518" w:rsidRDefault="00252518" w:rsidP="00252518">
      <w:pPr>
        <w:keepNext/>
        <w:rPr>
          <w:rFonts w:ascii="David" w:hAnsi="David"/>
          <w:color w:val="000000"/>
          <w:sz w:val="22"/>
          <w:szCs w:val="22"/>
          <w:rtl/>
        </w:rPr>
      </w:pPr>
      <w:r w:rsidRPr="00252518">
        <w:rPr>
          <w:rFonts w:ascii="David" w:hAnsi="David"/>
          <w:color w:val="000000"/>
          <w:sz w:val="22"/>
          <w:szCs w:val="22"/>
          <w:rtl/>
        </w:rPr>
        <w:t>בכירה יעל אבירם 54678313</w:t>
      </w:r>
    </w:p>
    <w:p w14:paraId="339C66B4" w14:textId="77777777" w:rsidR="004770B7" w:rsidRDefault="00252518">
      <w:pPr>
        <w:jc w:val="center"/>
      </w:pPr>
      <w:r>
        <w:rPr>
          <w:rFonts w:ascii="Arial" w:hAnsi="Arial"/>
          <w:b/>
          <w:bCs/>
          <w:rtl/>
        </w:rPr>
        <w:t xml:space="preserve">ניתן היום,  כ"א אייר תשע"ג, 01 מאי 2013, בהעדר הצדדים. </w:t>
      </w: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121CD1CC" w14:textId="77777777" w:rsidR="00252518" w:rsidRDefault="00252518" w:rsidP="00252518">
      <w:r w:rsidRPr="00252518">
        <w:rPr>
          <w:color w:val="000000"/>
          <w:rtl/>
        </w:rPr>
        <w:t>נוסח מסמך זה כפוף לשינויי ניסוח ועריכה</w:t>
      </w:r>
    </w:p>
    <w:p w14:paraId="76A940BE" w14:textId="77777777" w:rsidR="00252518" w:rsidRDefault="00252518" w:rsidP="00252518">
      <w:pPr>
        <w:rPr>
          <w:rtl/>
        </w:rPr>
      </w:pPr>
    </w:p>
    <w:p w14:paraId="5625BDB8" w14:textId="77777777" w:rsidR="00252518" w:rsidRDefault="00252518" w:rsidP="00252518">
      <w:pPr>
        <w:jc w:val="center"/>
        <w:rPr>
          <w:color w:val="0000FF"/>
          <w:u w:val="single"/>
        </w:rPr>
      </w:pPr>
      <w:hyperlink r:id="rId10" w:history="1">
        <w:r>
          <w:rPr>
            <w:color w:val="0000FF"/>
            <w:u w:val="single"/>
            <w:rtl/>
          </w:rPr>
          <w:t>בעניין עריכה ושינויים במסמכי פסיקה, חקיקה ועוד באתר נבו – הקש כאן</w:t>
        </w:r>
      </w:hyperlink>
    </w:p>
    <w:p w14:paraId="00EC3010" w14:textId="77777777" w:rsidR="004770B7" w:rsidRPr="00252518" w:rsidRDefault="004770B7" w:rsidP="00252518">
      <w:pPr>
        <w:jc w:val="center"/>
        <w:rPr>
          <w:color w:val="0000FF"/>
          <w:u w:val="single"/>
        </w:rPr>
      </w:pPr>
    </w:p>
    <w:sectPr w:rsidR="004770B7" w:rsidRPr="00252518" w:rsidSect="00252518">
      <w:headerReference w:type="even" r:id="rId11"/>
      <w:headerReference w:type="default" r:id="rId12"/>
      <w:footerReference w:type="even" r:id="rId13"/>
      <w:footerReference w:type="default" r:id="rId1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271C36" w14:textId="77777777" w:rsidR="0034159E" w:rsidRDefault="0034159E">
      <w:r>
        <w:separator/>
      </w:r>
    </w:p>
  </w:endnote>
  <w:endnote w:type="continuationSeparator" w:id="0">
    <w:p w14:paraId="3393F4B5" w14:textId="77777777" w:rsidR="0034159E" w:rsidRDefault="003415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72DD67" w14:textId="77777777" w:rsidR="00252518" w:rsidRDefault="00252518" w:rsidP="00252518">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3</w:t>
    </w:r>
    <w:r>
      <w:rPr>
        <w:rFonts w:ascii="FrankRuehl" w:hAnsi="FrankRuehl" w:cs="FrankRuehl"/>
        <w:rtl/>
      </w:rPr>
      <w:fldChar w:fldCharType="end"/>
    </w:r>
  </w:p>
  <w:p w14:paraId="21A48034" w14:textId="77777777" w:rsidR="004770B7" w:rsidRPr="00252518" w:rsidRDefault="00252518" w:rsidP="00252518">
    <w:pPr>
      <w:pStyle w:val="a4"/>
      <w:pBdr>
        <w:top w:val="single" w:sz="4" w:space="1" w:color="auto"/>
        <w:between w:val="single" w:sz="4" w:space="0" w:color="auto"/>
      </w:pBdr>
      <w:spacing w:after="60"/>
      <w:jc w:val="center"/>
      <w:rPr>
        <w:rFonts w:ascii="FrankRuehl" w:hAnsi="FrankRuehl" w:cs="FrankRuehl"/>
        <w:color w:val="000000"/>
      </w:rPr>
    </w:pPr>
    <w:r w:rsidRPr="0025251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FA6D0B" w14:textId="77777777" w:rsidR="00252518" w:rsidRDefault="00252518" w:rsidP="00252518">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6330B">
      <w:rPr>
        <w:rFonts w:ascii="FrankRuehl" w:hAnsi="FrankRuehl" w:cs="FrankRuehl"/>
        <w:noProof/>
        <w:rtl/>
      </w:rPr>
      <w:t>1</w:t>
    </w:r>
    <w:r>
      <w:rPr>
        <w:rFonts w:ascii="FrankRuehl" w:hAnsi="FrankRuehl" w:cs="FrankRuehl"/>
        <w:rtl/>
      </w:rPr>
      <w:fldChar w:fldCharType="end"/>
    </w:r>
  </w:p>
  <w:p w14:paraId="1A362606" w14:textId="77777777" w:rsidR="004770B7" w:rsidRPr="00252518" w:rsidRDefault="00252518" w:rsidP="00252518">
    <w:pPr>
      <w:pStyle w:val="a4"/>
      <w:pBdr>
        <w:top w:val="single" w:sz="4" w:space="1" w:color="auto"/>
        <w:between w:val="single" w:sz="4" w:space="0" w:color="auto"/>
      </w:pBdr>
      <w:spacing w:after="60"/>
      <w:jc w:val="center"/>
      <w:rPr>
        <w:rFonts w:ascii="FrankRuehl" w:hAnsi="FrankRuehl" w:cs="FrankRuehl"/>
        <w:color w:val="000000"/>
      </w:rPr>
    </w:pPr>
    <w:r w:rsidRPr="00252518">
      <w:rPr>
        <w:rFonts w:ascii="FrankRuehl" w:hAnsi="FrankRuehl" w:cs="FrankRuehl"/>
        <w:color w:val="000000"/>
      </w:rPr>
      <w:pict w14:anchorId="617C0B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965FCB" w14:textId="77777777" w:rsidR="0034159E" w:rsidRDefault="0034159E">
      <w:r>
        <w:separator/>
      </w:r>
    </w:p>
  </w:footnote>
  <w:footnote w:type="continuationSeparator" w:id="0">
    <w:p w14:paraId="72111968" w14:textId="77777777" w:rsidR="0034159E" w:rsidRDefault="003415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AE393A" w14:textId="77777777" w:rsidR="00252518" w:rsidRPr="00252518" w:rsidRDefault="00252518" w:rsidP="0025251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19296-09-11</w:t>
    </w:r>
    <w:r>
      <w:rPr>
        <w:rFonts w:ascii="David" w:hAnsi="David"/>
        <w:color w:val="000000"/>
        <w:sz w:val="22"/>
        <w:szCs w:val="22"/>
        <w:rtl/>
      </w:rPr>
      <w:tab/>
      <w:t xml:space="preserve"> משטרת ישראל תביעות- שלוחת חיפה נ' סולי מנשה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2B0D27" w14:textId="77777777" w:rsidR="00252518" w:rsidRPr="00252518" w:rsidRDefault="00252518" w:rsidP="0025251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19296-09-11</w:t>
    </w:r>
    <w:r>
      <w:rPr>
        <w:rFonts w:ascii="David" w:hAnsi="David"/>
        <w:color w:val="000000"/>
        <w:sz w:val="22"/>
        <w:szCs w:val="22"/>
        <w:rtl/>
      </w:rPr>
      <w:tab/>
      <w:t xml:space="preserve"> משטרת ישראל תביעות- שלוחת חיפה נ' סולי מנשה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770B7"/>
    <w:rsid w:val="0016498C"/>
    <w:rsid w:val="00252518"/>
    <w:rsid w:val="0026330B"/>
    <w:rsid w:val="0034159E"/>
    <w:rsid w:val="004770B7"/>
    <w:rsid w:val="00A944B1"/>
    <w:rsid w:val="00FD369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59701AA7"/>
  <w15:chartTrackingRefBased/>
  <w15:docId w15:val="{BCC6DC51-6B6A-49A7-BBD1-6179C6F73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770B7"/>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4770B7"/>
    <w:pPr>
      <w:tabs>
        <w:tab w:val="center" w:pos="4153"/>
        <w:tab w:val="right" w:pos="8306"/>
      </w:tabs>
    </w:pPr>
  </w:style>
  <w:style w:type="paragraph" w:styleId="a4">
    <w:name w:val="footer"/>
    <w:basedOn w:val="a"/>
    <w:rsid w:val="004770B7"/>
    <w:pPr>
      <w:tabs>
        <w:tab w:val="center" w:pos="4153"/>
        <w:tab w:val="right" w:pos="8306"/>
      </w:tabs>
    </w:pPr>
  </w:style>
  <w:style w:type="character" w:styleId="a5">
    <w:name w:val="page number"/>
    <w:basedOn w:val="a0"/>
    <w:rsid w:val="004770B7"/>
  </w:style>
  <w:style w:type="character" w:styleId="Hyperlink">
    <w:name w:val="Hyperlink"/>
    <w:basedOn w:val="a0"/>
    <w:rsid w:val="002525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inks/psika/?link=&#1506;&#1508;%208092/04"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nevo.co.il/links/psika/?link=&#1506;&#1508;%204158/05" TargetMode="External"/><Relationship Id="rId12"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_html/law01/P170_001.htm"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inks/psika/?link=&#1506;&#1508;%208087/03"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819</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4909</CharactersWithSpaces>
  <SharedDoc>false</SharedDoc>
  <HLinks>
    <vt:vector size="30" baseType="variant">
      <vt:variant>
        <vt:i4>393283</vt:i4>
      </vt:variant>
      <vt:variant>
        <vt:i4>12</vt:i4>
      </vt:variant>
      <vt:variant>
        <vt:i4>0</vt:i4>
      </vt:variant>
      <vt:variant>
        <vt:i4>5</vt:i4>
      </vt:variant>
      <vt:variant>
        <vt:lpwstr>http://www.nevo.co.il/advertisements/nevo-100.doc</vt:lpwstr>
      </vt:variant>
      <vt:variant>
        <vt:lpwstr/>
      </vt:variant>
      <vt:variant>
        <vt:i4>99157434</vt:i4>
      </vt:variant>
      <vt:variant>
        <vt:i4>9</vt:i4>
      </vt:variant>
      <vt:variant>
        <vt:i4>0</vt:i4>
      </vt:variant>
      <vt:variant>
        <vt:i4>5</vt:i4>
      </vt:variant>
      <vt:variant>
        <vt:lpwstr>http://www.nevo.co.il/links/psika/?link=עפ 8087/03</vt:lpwstr>
      </vt:variant>
      <vt:variant>
        <vt:lpwstr/>
      </vt:variant>
      <vt:variant>
        <vt:i4>99550655</vt:i4>
      </vt:variant>
      <vt:variant>
        <vt:i4>6</vt:i4>
      </vt:variant>
      <vt:variant>
        <vt:i4>0</vt:i4>
      </vt:variant>
      <vt:variant>
        <vt:i4>5</vt:i4>
      </vt:variant>
      <vt:variant>
        <vt:lpwstr>http://www.nevo.co.il/links/psika/?link=עפ 8092/04</vt:lpwstr>
      </vt:variant>
      <vt:variant>
        <vt:lpwstr/>
      </vt:variant>
      <vt:variant>
        <vt:i4>99485108</vt:i4>
      </vt:variant>
      <vt:variant>
        <vt:i4>3</vt:i4>
      </vt:variant>
      <vt:variant>
        <vt:i4>0</vt:i4>
      </vt:variant>
      <vt:variant>
        <vt:i4>5</vt:i4>
      </vt:variant>
      <vt:variant>
        <vt:lpwstr>http://www.nevo.co.il/links/psika/?link=עפ 4158/05</vt:lpwstr>
      </vt:variant>
      <vt:variant>
        <vt:lpwstr/>
      </vt:variant>
      <vt:variant>
        <vt:i4>4849756</vt:i4>
      </vt:variant>
      <vt:variant>
        <vt:i4>0</vt:i4>
      </vt:variant>
      <vt:variant>
        <vt:i4>0</vt:i4>
      </vt:variant>
      <vt:variant>
        <vt:i4>5</vt:i4>
      </vt:variant>
      <vt:variant>
        <vt:lpwstr>http://www.nevo.co.il/law_html/law01/P170_001.htm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2025-04-22T21:39:00Z</dcterms:created>
  <dcterms:modified xsi:type="dcterms:W3CDTF">2025-04-22T21:39:00Z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19296</vt:lpwstr>
  </property>
  <property fmtid="{D5CDD505-2E9C-101B-9397-08002B2CF9AE}" pid="6" name="NEWPARTB">
    <vt:lpwstr>09</vt:lpwstr>
  </property>
  <property fmtid="{D5CDD505-2E9C-101B-9397-08002B2CF9AE}" pid="7" name="NEWPARTC">
    <vt:lpwstr>11</vt:lpwstr>
  </property>
  <property fmtid="{D5CDD505-2E9C-101B-9397-08002B2CF9AE}" pid="8" name="APPELLANT">
    <vt:lpwstr>משטרת ישראל תביעות- שלוחת חיפה</vt:lpwstr>
  </property>
  <property fmtid="{D5CDD505-2E9C-101B-9397-08002B2CF9AE}" pid="9" name="APPELLEE">
    <vt:lpwstr>סולי מנשה</vt:lpwstr>
  </property>
  <property fmtid="{D5CDD505-2E9C-101B-9397-08002B2CF9AE}" pid="10" name="LAWYER">
    <vt:lpwstr>תומר גולדנברג</vt:lpwstr>
  </property>
  <property fmtid="{D5CDD505-2E9C-101B-9397-08002B2CF9AE}" pid="11" name="JUDGE">
    <vt:lpwstr>בכירה יעל אבירם</vt:lpwstr>
  </property>
  <property fmtid="{D5CDD505-2E9C-101B-9397-08002B2CF9AE}" pid="12" name="CITY">
    <vt:lpwstr>חי'</vt:lpwstr>
  </property>
  <property fmtid="{D5CDD505-2E9C-101B-9397-08002B2CF9AE}" pid="13" name="DATE">
    <vt:lpwstr>20130501</vt:lpwstr>
  </property>
  <property fmtid="{D5CDD505-2E9C-101B-9397-08002B2CF9AE}" pid="14" name="TYPE_N_DATE">
    <vt:lpwstr>38020130501</vt:lpwstr>
  </property>
  <property fmtid="{D5CDD505-2E9C-101B-9397-08002B2CF9AE}" pid="15" name="WORDNUMPAGES">
    <vt:lpwstr>4</vt:lpwstr>
  </property>
  <property fmtid="{D5CDD505-2E9C-101B-9397-08002B2CF9AE}" pid="16" name="TYPE_ABS_DATE">
    <vt:lpwstr>380020130501</vt:lpwstr>
  </property>
</Properties>
</file>