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71D7A" w:rsidRPr="00E5331C" w14:paraId="4240345E" w14:textId="77777777">
        <w:trPr>
          <w:trHeight w:hRule="exact" w:val="418"/>
          <w:jc w:val="center"/>
        </w:trPr>
        <w:tc>
          <w:tcPr>
            <w:tcW w:w="8720" w:type="dxa"/>
            <w:gridSpan w:val="3"/>
          </w:tcPr>
          <w:p w14:paraId="52347A2F" w14:textId="77777777" w:rsidR="00C71D7A" w:rsidRPr="00E5331C" w:rsidRDefault="00E5331C">
            <w:pPr>
              <w:pStyle w:val="a4"/>
              <w:tabs>
                <w:tab w:val="clear" w:pos="8306"/>
              </w:tabs>
              <w:jc w:val="center"/>
              <w:rPr>
                <w:rFonts w:ascii="Tahoma" w:hAnsi="Tahoma" w:cs="Tahoma"/>
                <w:b/>
                <w:bCs/>
                <w:color w:val="000080"/>
                <w:sz w:val="20"/>
                <w:szCs w:val="20"/>
                <w:rtl/>
              </w:rPr>
            </w:pPr>
            <w:bookmarkStart w:id="0" w:name="LastJudge"/>
            <w:r w:rsidRPr="00E5331C">
              <w:rPr>
                <w:rFonts w:ascii="Tahoma" w:hAnsi="Tahoma" w:cs="Tahoma"/>
                <w:b/>
                <w:bCs/>
                <w:color w:val="000080"/>
                <w:sz w:val="20"/>
                <w:szCs w:val="20"/>
                <w:rtl/>
              </w:rPr>
              <w:t>בית משפט השלום בנתניה</w:t>
            </w:r>
          </w:p>
        </w:tc>
      </w:tr>
      <w:tr w:rsidR="00C71D7A" w:rsidRPr="00E5331C" w14:paraId="7A99C0D1" w14:textId="77777777">
        <w:trPr>
          <w:trHeight w:val="337"/>
          <w:jc w:val="center"/>
        </w:trPr>
        <w:tc>
          <w:tcPr>
            <w:tcW w:w="6396" w:type="dxa"/>
          </w:tcPr>
          <w:p w14:paraId="3425C514" w14:textId="77777777" w:rsidR="00C71D7A" w:rsidRPr="00E5331C" w:rsidRDefault="00E5331C">
            <w:pPr>
              <w:rPr>
                <w:b/>
                <w:bCs/>
                <w:sz w:val="26"/>
                <w:szCs w:val="26"/>
                <w:rtl/>
              </w:rPr>
            </w:pPr>
            <w:r w:rsidRPr="00E5331C">
              <w:rPr>
                <w:b/>
                <w:bCs/>
                <w:sz w:val="26"/>
                <w:szCs w:val="26"/>
                <w:rtl/>
              </w:rPr>
              <w:t>ת"פ</w:t>
            </w:r>
            <w:r w:rsidRPr="00E5331C">
              <w:rPr>
                <w:rFonts w:hint="cs"/>
                <w:b/>
                <w:bCs/>
                <w:sz w:val="26"/>
                <w:szCs w:val="26"/>
                <w:rtl/>
              </w:rPr>
              <w:t xml:space="preserve"> </w:t>
            </w:r>
            <w:r w:rsidRPr="00E5331C">
              <w:rPr>
                <w:b/>
                <w:bCs/>
                <w:sz w:val="26"/>
                <w:szCs w:val="26"/>
                <w:rtl/>
              </w:rPr>
              <w:t>49441-09-11</w:t>
            </w:r>
            <w:r w:rsidRPr="00E5331C">
              <w:rPr>
                <w:rFonts w:hint="cs"/>
                <w:b/>
                <w:bCs/>
                <w:sz w:val="26"/>
                <w:szCs w:val="26"/>
                <w:rtl/>
              </w:rPr>
              <w:t xml:space="preserve"> </w:t>
            </w:r>
            <w:r w:rsidRPr="00E5331C">
              <w:rPr>
                <w:b/>
                <w:bCs/>
                <w:sz w:val="26"/>
                <w:szCs w:val="26"/>
                <w:rtl/>
              </w:rPr>
              <w:t>מדינת ישראל נ' יעקב</w:t>
            </w:r>
          </w:p>
          <w:p w14:paraId="28065C52" w14:textId="77777777" w:rsidR="00C71D7A" w:rsidRPr="00E5331C" w:rsidRDefault="00C71D7A">
            <w:pPr>
              <w:rPr>
                <w:b/>
                <w:bCs/>
                <w:sz w:val="26"/>
                <w:szCs w:val="26"/>
                <w:rtl/>
              </w:rPr>
            </w:pPr>
          </w:p>
        </w:tc>
        <w:tc>
          <w:tcPr>
            <w:tcW w:w="236" w:type="dxa"/>
          </w:tcPr>
          <w:p w14:paraId="17107747" w14:textId="77777777" w:rsidR="00C71D7A" w:rsidRPr="00E5331C" w:rsidRDefault="00C71D7A">
            <w:pPr>
              <w:pStyle w:val="a4"/>
              <w:jc w:val="right"/>
              <w:rPr>
                <w:b/>
                <w:bCs/>
                <w:sz w:val="26"/>
                <w:szCs w:val="26"/>
                <w:rtl/>
              </w:rPr>
            </w:pPr>
          </w:p>
        </w:tc>
        <w:tc>
          <w:tcPr>
            <w:tcW w:w="2088" w:type="dxa"/>
          </w:tcPr>
          <w:p w14:paraId="6DBCAF30" w14:textId="77777777" w:rsidR="00C71D7A" w:rsidRPr="00E5331C" w:rsidRDefault="00E5331C">
            <w:pPr>
              <w:pStyle w:val="a4"/>
              <w:tabs>
                <w:tab w:val="clear" w:pos="4153"/>
              </w:tabs>
              <w:jc w:val="right"/>
              <w:rPr>
                <w:b/>
                <w:bCs/>
                <w:sz w:val="26"/>
                <w:szCs w:val="26"/>
                <w:rtl/>
              </w:rPr>
            </w:pPr>
            <w:r w:rsidRPr="00E5331C">
              <w:rPr>
                <w:b/>
                <w:bCs/>
                <w:sz w:val="26"/>
                <w:szCs w:val="26"/>
                <w:rtl/>
              </w:rPr>
              <w:t>09 יולי 2014</w:t>
            </w:r>
          </w:p>
        </w:tc>
      </w:tr>
    </w:tbl>
    <w:p w14:paraId="7786FFD8" w14:textId="77777777" w:rsidR="00C71D7A" w:rsidRPr="00E5331C" w:rsidRDefault="00C71D7A">
      <w:pPr>
        <w:pStyle w:val="a4"/>
        <w:jc w:val="center"/>
        <w:rPr>
          <w:rFonts w:ascii="Tahoma" w:hAnsi="Tahoma" w:cs="Tahoma"/>
          <w:b/>
          <w:bCs/>
          <w:color w:val="000080"/>
          <w:sz w:val="20"/>
          <w:szCs w:val="20"/>
          <w:rtl/>
        </w:rPr>
      </w:pPr>
    </w:p>
    <w:p w14:paraId="1111ED4B" w14:textId="77777777" w:rsidR="00C71D7A" w:rsidRPr="00E5331C" w:rsidRDefault="00C71D7A">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C71D7A" w:rsidRPr="00E5331C" w14:paraId="78BA3687" w14:textId="77777777">
        <w:trPr>
          <w:gridAfter w:val="1"/>
          <w:wAfter w:w="55" w:type="dxa"/>
        </w:trPr>
        <w:tc>
          <w:tcPr>
            <w:tcW w:w="8719" w:type="dxa"/>
            <w:gridSpan w:val="2"/>
          </w:tcPr>
          <w:p w14:paraId="77C91868" w14:textId="77777777" w:rsidR="00C71D7A" w:rsidRPr="00E5331C" w:rsidRDefault="00E5331C">
            <w:pPr>
              <w:spacing w:line="360" w:lineRule="auto"/>
              <w:rPr>
                <w:rFonts w:ascii="Times New Roman" w:eastAsia="Times New Roman" w:hAnsi="Times New Roman"/>
                <w:b/>
                <w:bCs/>
                <w:rtl/>
              </w:rPr>
            </w:pPr>
            <w:r w:rsidRPr="00E5331C">
              <w:rPr>
                <w:rFonts w:ascii="Times New Roman" w:eastAsia="Times New Roman" w:hAnsi="Times New Roman" w:hint="cs"/>
                <w:b/>
                <w:bCs/>
                <w:rtl/>
              </w:rPr>
              <w:t>בפני כב' ה</w:t>
            </w:r>
            <w:r w:rsidRPr="00E5331C">
              <w:rPr>
                <w:rFonts w:ascii="Times New Roman" w:eastAsia="Times New Roman" w:hAnsi="Times New Roman" w:hint="cs"/>
                <w:rtl/>
              </w:rPr>
              <w:t>שופטת גלית ציגלר</w:t>
            </w:r>
            <w:r w:rsidRPr="00E5331C">
              <w:rPr>
                <w:rStyle w:val="TimesNewRomanTimesNewRoman"/>
                <w:rFonts w:eastAsia="Times New Roman"/>
                <w:rtl/>
              </w:rPr>
              <w:t xml:space="preserve"> </w:t>
            </w:r>
          </w:p>
        </w:tc>
      </w:tr>
      <w:tr w:rsidR="00C71D7A" w:rsidRPr="00E5331C" w14:paraId="29B345B6" w14:textId="77777777">
        <w:tc>
          <w:tcPr>
            <w:tcW w:w="2880" w:type="dxa"/>
          </w:tcPr>
          <w:p w14:paraId="1ACAD6DA" w14:textId="77777777" w:rsidR="00C71D7A" w:rsidRPr="00E5331C" w:rsidRDefault="00E5331C">
            <w:pPr>
              <w:ind w:left="26"/>
              <w:rPr>
                <w:rFonts w:ascii="Times New Roman" w:eastAsia="Times New Roman" w:hAnsi="Times New Roman"/>
                <w:b/>
                <w:bCs/>
                <w:rtl/>
              </w:rPr>
            </w:pPr>
            <w:bookmarkStart w:id="1" w:name="FirstAppellant"/>
            <w:r w:rsidRPr="00E5331C">
              <w:rPr>
                <w:rFonts w:ascii="Times New Roman" w:eastAsia="Times New Roman" w:hAnsi="Times New Roman" w:hint="cs"/>
                <w:b/>
                <w:bCs/>
                <w:rtl/>
              </w:rPr>
              <w:t>ה</w:t>
            </w:r>
            <w:r w:rsidRPr="00E5331C">
              <w:rPr>
                <w:rFonts w:ascii="Times New Roman" w:eastAsia="Times New Roman" w:hAnsi="Times New Roman" w:hint="cs"/>
                <w:rtl/>
              </w:rPr>
              <w:t>מאשימה</w:t>
            </w:r>
          </w:p>
        </w:tc>
        <w:tc>
          <w:tcPr>
            <w:tcW w:w="5922" w:type="dxa"/>
            <w:gridSpan w:val="2"/>
          </w:tcPr>
          <w:p w14:paraId="72A11BC5" w14:textId="77777777" w:rsidR="00C71D7A" w:rsidRPr="00E5331C" w:rsidRDefault="00E5331C">
            <w:pPr>
              <w:rPr>
                <w:rFonts w:ascii="Times New Roman" w:eastAsia="Times New Roman" w:hAnsi="Times New Roman"/>
                <w:b/>
                <w:bCs/>
                <w:rtl/>
              </w:rPr>
            </w:pPr>
            <w:r w:rsidRPr="00E5331C">
              <w:rPr>
                <w:rFonts w:ascii="Times New Roman" w:eastAsia="Times New Roman" w:hAnsi="Times New Roman" w:hint="cs"/>
                <w:rtl/>
              </w:rPr>
              <w:t>מדינת ישראל</w:t>
            </w:r>
          </w:p>
        </w:tc>
      </w:tr>
      <w:bookmarkEnd w:id="1"/>
      <w:tr w:rsidR="00C71D7A" w:rsidRPr="00E5331C" w14:paraId="20E8A67A" w14:textId="77777777">
        <w:tc>
          <w:tcPr>
            <w:tcW w:w="8802" w:type="dxa"/>
            <w:gridSpan w:val="3"/>
          </w:tcPr>
          <w:p w14:paraId="5D861562" w14:textId="77777777" w:rsidR="00C71D7A" w:rsidRPr="00E5331C" w:rsidRDefault="00E5331C">
            <w:pPr>
              <w:jc w:val="center"/>
              <w:rPr>
                <w:rFonts w:ascii="Arial" w:eastAsia="Times New Roman" w:hAnsi="Arial"/>
                <w:b/>
                <w:bCs/>
                <w:rtl/>
              </w:rPr>
            </w:pPr>
            <w:r w:rsidRPr="00E5331C">
              <w:rPr>
                <w:rFonts w:ascii="Arial" w:eastAsia="Times New Roman" w:hAnsi="Arial"/>
                <w:b/>
                <w:bCs/>
                <w:rtl/>
              </w:rPr>
              <w:t>נגד</w:t>
            </w:r>
          </w:p>
          <w:p w14:paraId="7BEF2844" w14:textId="77777777" w:rsidR="00C71D7A" w:rsidRPr="00E5331C" w:rsidRDefault="00C71D7A">
            <w:pPr>
              <w:jc w:val="center"/>
              <w:rPr>
                <w:rFonts w:ascii="Arial" w:eastAsia="Times New Roman" w:hAnsi="Arial"/>
                <w:b/>
                <w:bCs/>
              </w:rPr>
            </w:pPr>
          </w:p>
        </w:tc>
      </w:tr>
      <w:tr w:rsidR="00C71D7A" w:rsidRPr="00E5331C" w14:paraId="55577024" w14:textId="77777777">
        <w:tc>
          <w:tcPr>
            <w:tcW w:w="2880" w:type="dxa"/>
          </w:tcPr>
          <w:p w14:paraId="18474DD8" w14:textId="77777777" w:rsidR="00C71D7A" w:rsidRPr="00E5331C" w:rsidRDefault="00E5331C">
            <w:pPr>
              <w:ind w:left="26"/>
              <w:rPr>
                <w:rFonts w:ascii="Times New Roman" w:eastAsia="Times New Roman" w:hAnsi="Times New Roman"/>
                <w:b/>
                <w:bCs/>
                <w:rtl/>
              </w:rPr>
            </w:pPr>
            <w:r w:rsidRPr="00E5331C">
              <w:rPr>
                <w:rFonts w:ascii="Times New Roman" w:eastAsia="Times New Roman" w:hAnsi="Times New Roman" w:hint="cs"/>
                <w:b/>
                <w:bCs/>
                <w:rtl/>
              </w:rPr>
              <w:t>ה</w:t>
            </w:r>
            <w:r w:rsidRPr="00E5331C">
              <w:rPr>
                <w:rFonts w:ascii="Times New Roman" w:eastAsia="Times New Roman" w:hAnsi="Times New Roman" w:hint="cs"/>
                <w:rtl/>
              </w:rPr>
              <w:t>נאשם</w:t>
            </w:r>
          </w:p>
        </w:tc>
        <w:tc>
          <w:tcPr>
            <w:tcW w:w="5922" w:type="dxa"/>
            <w:gridSpan w:val="2"/>
          </w:tcPr>
          <w:p w14:paraId="028221CD" w14:textId="77777777" w:rsidR="00C71D7A" w:rsidRPr="00E5331C" w:rsidRDefault="00E5331C">
            <w:pPr>
              <w:rPr>
                <w:rFonts w:ascii="Times New Roman" w:eastAsia="Times New Roman" w:hAnsi="Times New Roman"/>
                <w:b/>
                <w:bCs/>
                <w:rtl/>
              </w:rPr>
            </w:pPr>
            <w:r w:rsidRPr="00E5331C">
              <w:rPr>
                <w:rFonts w:ascii="Times New Roman" w:eastAsia="Times New Roman" w:hAnsi="Times New Roman" w:hint="cs"/>
                <w:rtl/>
              </w:rPr>
              <w:t>חן יעקב</w:t>
            </w:r>
          </w:p>
        </w:tc>
      </w:tr>
    </w:tbl>
    <w:p w14:paraId="1675F78A" w14:textId="77777777" w:rsidR="00C71D7A" w:rsidRPr="00E5331C" w:rsidRDefault="00C71D7A">
      <w:pPr>
        <w:spacing w:line="360" w:lineRule="auto"/>
        <w:jc w:val="both"/>
        <w:rPr>
          <w:rtl/>
        </w:rPr>
      </w:pPr>
    </w:p>
    <w:p w14:paraId="46A6272C" w14:textId="77777777" w:rsidR="00C71D7A" w:rsidRPr="00E5331C" w:rsidRDefault="00E5331C">
      <w:pPr>
        <w:spacing w:line="360" w:lineRule="auto"/>
        <w:jc w:val="both"/>
        <w:rPr>
          <w:rtl/>
        </w:rPr>
      </w:pPr>
      <w:r w:rsidRPr="00E5331C">
        <w:rPr>
          <w:rtl/>
        </w:rPr>
        <w:t>&lt;#1#&gt;</w:t>
      </w:r>
    </w:p>
    <w:p w14:paraId="6F39AC1B" w14:textId="77777777" w:rsidR="00C71D7A" w:rsidRPr="00E5331C" w:rsidRDefault="00E5331C">
      <w:pPr>
        <w:pStyle w:val="12"/>
        <w:rPr>
          <w:b w:val="0"/>
          <w:bCs w:val="0"/>
          <w:u w:val="none"/>
          <w:rtl/>
        </w:rPr>
      </w:pPr>
      <w:r w:rsidRPr="00E5331C">
        <w:rPr>
          <w:rFonts w:hint="cs"/>
          <w:b w:val="0"/>
          <w:bCs w:val="0"/>
          <w:u w:val="none"/>
          <w:rtl/>
        </w:rPr>
        <w:t>נוכחים:</w:t>
      </w:r>
    </w:p>
    <w:p w14:paraId="128C81F2" w14:textId="77777777" w:rsidR="00C71D7A" w:rsidRPr="00E5331C" w:rsidRDefault="00E5331C">
      <w:pPr>
        <w:pStyle w:val="12"/>
        <w:rPr>
          <w:b w:val="0"/>
          <w:bCs w:val="0"/>
          <w:u w:val="none"/>
          <w:rtl/>
        </w:rPr>
      </w:pPr>
      <w:bookmarkStart w:id="2" w:name="FirstLawyer"/>
      <w:r w:rsidRPr="00E5331C">
        <w:rPr>
          <w:rFonts w:hint="cs"/>
          <w:b w:val="0"/>
          <w:bCs w:val="0"/>
          <w:u w:val="none"/>
          <w:rtl/>
        </w:rPr>
        <w:t>ב"כ</w:t>
      </w:r>
      <w:bookmarkEnd w:id="2"/>
      <w:r w:rsidRPr="00E5331C">
        <w:rPr>
          <w:rFonts w:hint="cs"/>
          <w:b w:val="0"/>
          <w:bCs w:val="0"/>
          <w:u w:val="none"/>
          <w:rtl/>
        </w:rPr>
        <w:t xml:space="preserve"> המאשימה מתמחה מר רונן גינגולד</w:t>
      </w:r>
    </w:p>
    <w:p w14:paraId="3361D763" w14:textId="77777777" w:rsidR="00C71D7A" w:rsidRPr="00E5331C" w:rsidRDefault="00E5331C">
      <w:pPr>
        <w:pStyle w:val="12"/>
        <w:rPr>
          <w:b w:val="0"/>
          <w:bCs w:val="0"/>
          <w:u w:val="none"/>
          <w:rtl/>
        </w:rPr>
      </w:pPr>
      <w:r w:rsidRPr="00E5331C">
        <w:rPr>
          <w:rFonts w:hint="cs"/>
          <w:b w:val="0"/>
          <w:bCs w:val="0"/>
          <w:u w:val="none"/>
          <w:rtl/>
        </w:rPr>
        <w:t xml:space="preserve">הנאשם ובא כוחו עו"ד עזר מבורך </w:t>
      </w:r>
    </w:p>
    <w:p w14:paraId="4B90CCD4" w14:textId="77777777" w:rsidR="00C71D7A" w:rsidRPr="00E5331C" w:rsidRDefault="00C71D7A">
      <w:pPr>
        <w:pStyle w:val="12"/>
        <w:rPr>
          <w:b w:val="0"/>
          <w:bCs w:val="0"/>
          <w:u w:val="none"/>
          <w:rtl/>
        </w:rPr>
      </w:pPr>
    </w:p>
    <w:p w14:paraId="0D0EAF05" w14:textId="77777777" w:rsidR="00ED79FA" w:rsidRDefault="00E5331C">
      <w:pPr>
        <w:jc w:val="center"/>
        <w:rPr>
          <w:rFonts w:ascii="Arial" w:hAnsi="Arial"/>
          <w:color w:val="FF0000"/>
          <w:rtl/>
        </w:rPr>
      </w:pPr>
      <w:r w:rsidRPr="00E5331C">
        <w:rPr>
          <w:rFonts w:ascii="Arial" w:hAnsi="Arial"/>
          <w:b/>
          <w:color w:val="FF0000"/>
          <w:rtl/>
        </w:rPr>
        <w:t>במסמך זה הושמטו פרוטוקולים</w:t>
      </w:r>
      <w:bookmarkStart w:id="3" w:name="LawTable"/>
      <w:bookmarkEnd w:id="3"/>
    </w:p>
    <w:p w14:paraId="075D09AB" w14:textId="77777777" w:rsidR="00ED79FA" w:rsidRPr="00ED79FA" w:rsidRDefault="00ED79FA" w:rsidP="00ED79FA">
      <w:pPr>
        <w:spacing w:after="120" w:line="240" w:lineRule="exact"/>
        <w:ind w:left="283" w:hanging="283"/>
        <w:jc w:val="both"/>
        <w:rPr>
          <w:rFonts w:ascii="FrankRuehl" w:hAnsi="FrankRuehl" w:cs="FrankRuehl"/>
          <w:color w:val="FF0000"/>
          <w:rtl/>
        </w:rPr>
      </w:pPr>
    </w:p>
    <w:p w14:paraId="1748971A" w14:textId="77777777" w:rsidR="00ED79FA" w:rsidRPr="00ED79FA" w:rsidRDefault="00ED79FA" w:rsidP="00ED79FA">
      <w:pPr>
        <w:spacing w:after="120" w:line="240" w:lineRule="exact"/>
        <w:ind w:left="283" w:hanging="283"/>
        <w:jc w:val="both"/>
        <w:rPr>
          <w:rFonts w:ascii="FrankRuehl" w:hAnsi="FrankRuehl" w:cs="FrankRuehl"/>
          <w:rtl/>
        </w:rPr>
      </w:pPr>
      <w:r w:rsidRPr="00ED79FA">
        <w:rPr>
          <w:rFonts w:ascii="FrankRuehl" w:hAnsi="FrankRuehl" w:cs="FrankRuehl"/>
          <w:rtl/>
        </w:rPr>
        <w:t xml:space="preserve">חקיקה שאוזכרה: </w:t>
      </w:r>
    </w:p>
    <w:p w14:paraId="56D979D7" w14:textId="77777777" w:rsidR="00ED79FA" w:rsidRPr="00ED79FA" w:rsidRDefault="00ED79FA" w:rsidP="00ED79FA">
      <w:pPr>
        <w:spacing w:after="120" w:line="240" w:lineRule="exact"/>
        <w:ind w:left="283" w:hanging="283"/>
        <w:jc w:val="both"/>
        <w:rPr>
          <w:rFonts w:ascii="FrankRuehl" w:hAnsi="FrankRuehl" w:cs="FrankRuehl"/>
          <w:rtl/>
        </w:rPr>
      </w:pPr>
      <w:hyperlink r:id="rId6" w:history="1">
        <w:r w:rsidRPr="00ED79FA">
          <w:rPr>
            <w:rFonts w:ascii="FrankRuehl" w:hAnsi="FrankRuehl" w:cs="FrankRuehl"/>
            <w:color w:val="0000FF"/>
            <w:u w:val="single"/>
            <w:rtl/>
          </w:rPr>
          <w:t>פקודת הסמים המסוכנים [נוסח חדש], תשל"ג-1973</w:t>
        </w:r>
      </w:hyperlink>
      <w:r w:rsidRPr="00ED79FA">
        <w:rPr>
          <w:rFonts w:ascii="FrankRuehl" w:hAnsi="FrankRuehl" w:cs="FrankRuehl"/>
          <w:rtl/>
        </w:rPr>
        <w:t xml:space="preserve">: סע'  </w:t>
      </w:r>
      <w:hyperlink r:id="rId7" w:history="1">
        <w:r w:rsidRPr="00ED79FA">
          <w:rPr>
            <w:rFonts w:ascii="FrankRuehl" w:hAnsi="FrankRuehl" w:cs="FrankRuehl"/>
            <w:color w:val="0000FF"/>
            <w:u w:val="single"/>
            <w:rtl/>
          </w:rPr>
          <w:t>7(א)</w:t>
        </w:r>
      </w:hyperlink>
      <w:r w:rsidRPr="00ED79FA">
        <w:rPr>
          <w:rFonts w:ascii="FrankRuehl" w:hAnsi="FrankRuehl" w:cs="FrankRuehl"/>
          <w:rtl/>
        </w:rPr>
        <w:t xml:space="preserve">, </w:t>
      </w:r>
      <w:hyperlink r:id="rId8" w:history="1">
        <w:r w:rsidRPr="00ED79FA">
          <w:rPr>
            <w:rFonts w:ascii="FrankRuehl" w:hAnsi="FrankRuehl" w:cs="FrankRuehl"/>
            <w:color w:val="0000FF"/>
            <w:u w:val="single"/>
            <w:rtl/>
          </w:rPr>
          <w:t>(ג)</w:t>
        </w:r>
      </w:hyperlink>
    </w:p>
    <w:p w14:paraId="70240C30" w14:textId="77777777" w:rsidR="00ED79FA" w:rsidRPr="00ED79FA" w:rsidRDefault="00ED79FA" w:rsidP="00ED79FA">
      <w:pPr>
        <w:spacing w:after="120" w:line="240" w:lineRule="exact"/>
        <w:ind w:left="283" w:hanging="283"/>
        <w:jc w:val="both"/>
        <w:rPr>
          <w:rFonts w:ascii="FrankRuehl" w:hAnsi="FrankRuehl" w:cs="FrankRuehl"/>
          <w:rtl/>
        </w:rPr>
      </w:pPr>
      <w:hyperlink r:id="rId9" w:history="1">
        <w:r w:rsidRPr="00ED79FA">
          <w:rPr>
            <w:rFonts w:ascii="FrankRuehl" w:hAnsi="FrankRuehl" w:cs="FrankRuehl"/>
            <w:color w:val="0000FF"/>
            <w:u w:val="single"/>
            <w:rtl/>
          </w:rPr>
          <w:t>חוק העונשין, תשל"ז-1977</w:t>
        </w:r>
      </w:hyperlink>
      <w:r w:rsidRPr="00ED79FA">
        <w:rPr>
          <w:rFonts w:ascii="FrankRuehl" w:hAnsi="FrankRuehl" w:cs="FrankRuehl"/>
          <w:rtl/>
        </w:rPr>
        <w:t xml:space="preserve">: סע'  </w:t>
      </w:r>
      <w:hyperlink r:id="rId10" w:history="1">
        <w:r w:rsidRPr="00ED79FA">
          <w:rPr>
            <w:rFonts w:ascii="FrankRuehl" w:hAnsi="FrankRuehl" w:cs="FrankRuehl"/>
            <w:color w:val="0000FF"/>
            <w:u w:val="single"/>
            <w:rtl/>
          </w:rPr>
          <w:t>186(א)</w:t>
        </w:r>
      </w:hyperlink>
      <w:r w:rsidRPr="00ED79FA">
        <w:rPr>
          <w:rFonts w:ascii="FrankRuehl" w:hAnsi="FrankRuehl" w:cs="FrankRuehl"/>
          <w:rtl/>
        </w:rPr>
        <w:t xml:space="preserve">, </w:t>
      </w:r>
      <w:hyperlink r:id="rId11" w:history="1">
        <w:r w:rsidRPr="00ED79FA">
          <w:rPr>
            <w:rFonts w:ascii="FrankRuehl" w:hAnsi="FrankRuehl" w:cs="FrankRuehl"/>
            <w:color w:val="0000FF"/>
            <w:u w:val="single"/>
            <w:rtl/>
          </w:rPr>
          <w:t>40יג(ב)</w:t>
        </w:r>
      </w:hyperlink>
    </w:p>
    <w:p w14:paraId="31F47A89" w14:textId="77777777" w:rsidR="00ED79FA" w:rsidRPr="00ED79FA" w:rsidRDefault="00ED79FA" w:rsidP="00ED79FA">
      <w:pPr>
        <w:spacing w:after="120" w:line="240" w:lineRule="exact"/>
        <w:ind w:left="283" w:hanging="283"/>
        <w:jc w:val="both"/>
        <w:rPr>
          <w:rFonts w:ascii="FrankRuehl" w:hAnsi="FrankRuehl" w:cs="FrankRuehl"/>
          <w:rtl/>
        </w:rPr>
      </w:pPr>
    </w:p>
    <w:p w14:paraId="0B0D9F3B" w14:textId="77777777" w:rsidR="00E5331C" w:rsidRPr="00E5331C" w:rsidRDefault="00E5331C" w:rsidP="00E5331C">
      <w:pPr>
        <w:jc w:val="center"/>
        <w:rPr>
          <w:rFonts w:ascii="Arial" w:hAnsi="Arial"/>
          <w:b/>
          <w:bCs/>
          <w:u w:val="single"/>
          <w:rtl/>
        </w:rPr>
      </w:pPr>
      <w:bookmarkStart w:id="4" w:name="LawTable_End"/>
      <w:bookmarkStart w:id="5" w:name="PsakDin"/>
      <w:bookmarkEnd w:id="0"/>
      <w:bookmarkEnd w:id="4"/>
      <w:r w:rsidRPr="00E5331C">
        <w:rPr>
          <w:rFonts w:ascii="Arial" w:hAnsi="Arial"/>
          <w:b/>
          <w:bCs/>
          <w:u w:val="single"/>
          <w:rtl/>
        </w:rPr>
        <w:t>גזר דין</w:t>
      </w:r>
    </w:p>
    <w:bookmarkEnd w:id="5"/>
    <w:p w14:paraId="24A25C86" w14:textId="77777777" w:rsidR="00C71D7A" w:rsidRDefault="00C71D7A">
      <w:pPr>
        <w:rPr>
          <w:rFonts w:ascii="Arial" w:hAnsi="Arial"/>
        </w:rPr>
      </w:pPr>
    </w:p>
    <w:p w14:paraId="03C43C1A" w14:textId="77777777" w:rsidR="00C71D7A" w:rsidRDefault="00C71D7A">
      <w:pPr>
        <w:jc w:val="both"/>
        <w:rPr>
          <w:rFonts w:ascii="Times New Roman" w:hAnsi="Times New Roman"/>
          <w:rtl/>
        </w:rPr>
      </w:pPr>
    </w:p>
    <w:p w14:paraId="1A42667F" w14:textId="77777777" w:rsidR="00C71D7A" w:rsidRDefault="00E5331C">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הודה כי ביום 11.4.10 החזיק בעסק שבבעלותו  575 טבליות סם מסוג </w:t>
      </w:r>
      <w:r>
        <w:t>LSD</w:t>
      </w:r>
      <w:r>
        <w:rPr>
          <w:rFonts w:hint="cs"/>
          <w:rtl/>
        </w:rPr>
        <w:t xml:space="preserve">, והורשע בעבירה של החזקת סם מסוכן שלא לצריכה עצמית, לפי סעיף </w:t>
      </w:r>
      <w:hyperlink r:id="rId12" w:history="1">
        <w:r w:rsidR="00ED79FA" w:rsidRPr="00ED79FA">
          <w:rPr>
            <w:color w:val="0000FF"/>
            <w:u w:val="single"/>
            <w:rtl/>
          </w:rPr>
          <w:t>7(א)</w:t>
        </w:r>
      </w:hyperlink>
      <w:r>
        <w:rPr>
          <w:rFonts w:hint="cs"/>
          <w:rtl/>
        </w:rPr>
        <w:t>+</w:t>
      </w:r>
      <w:hyperlink r:id="rId13" w:history="1">
        <w:r w:rsidR="00ED79FA" w:rsidRPr="00ED79FA">
          <w:rPr>
            <w:color w:val="0000FF"/>
            <w:u w:val="single"/>
            <w:rtl/>
          </w:rPr>
          <w:t>(ג)</w:t>
        </w:r>
      </w:hyperlink>
      <w:r>
        <w:rPr>
          <w:rFonts w:hint="cs"/>
          <w:rtl/>
        </w:rPr>
        <w:t xml:space="preserve"> רישא ל</w:t>
      </w:r>
      <w:hyperlink r:id="rId14" w:history="1">
        <w:r w:rsidRPr="00E5331C">
          <w:rPr>
            <w:color w:val="0000FF"/>
            <w:u w:val="single"/>
            <w:rtl/>
          </w:rPr>
          <w:t>פקודת הסמים המסוכנים</w:t>
        </w:r>
      </w:hyperlink>
      <w:r>
        <w:rPr>
          <w:rFonts w:hint="cs"/>
          <w:rtl/>
        </w:rPr>
        <w:t xml:space="preserve">. </w:t>
      </w:r>
    </w:p>
    <w:p w14:paraId="0062E0B2" w14:textId="77777777" w:rsidR="00C71D7A" w:rsidRDefault="00E5331C">
      <w:pPr>
        <w:spacing w:line="360" w:lineRule="auto"/>
        <w:ind w:left="720"/>
        <w:jc w:val="both"/>
      </w:pPr>
      <w:bookmarkStart w:id="7" w:name="ABSTRACT_END"/>
      <w:bookmarkEnd w:id="7"/>
      <w:r>
        <w:rPr>
          <w:rFonts w:hint="cs"/>
          <w:rtl/>
        </w:rPr>
        <w:t xml:space="preserve">מלכתחילה כפר הנאשם בעובדות כתב האישום, אך לאחר מכן חזר בו, הודה בעבירה המיוחסת לו, ובהסכמת הצדדים נשלח לשירות המבחן על מנת לקבל תסקיר בעניינו. </w:t>
      </w:r>
    </w:p>
    <w:p w14:paraId="6C52B5DF" w14:textId="77777777" w:rsidR="00C71D7A" w:rsidRDefault="00C71D7A">
      <w:pPr>
        <w:spacing w:line="360" w:lineRule="auto"/>
        <w:ind w:firstLine="720"/>
        <w:jc w:val="both"/>
        <w:rPr>
          <w:b/>
          <w:bCs/>
          <w:u w:val="single"/>
        </w:rPr>
      </w:pPr>
    </w:p>
    <w:p w14:paraId="3C182878" w14:textId="77777777" w:rsidR="00C71D7A" w:rsidRDefault="00E5331C">
      <w:pPr>
        <w:spacing w:line="360" w:lineRule="auto"/>
        <w:ind w:firstLine="720"/>
        <w:jc w:val="both"/>
        <w:rPr>
          <w:b/>
          <w:bCs/>
          <w:u w:val="single"/>
          <w:rtl/>
        </w:rPr>
      </w:pPr>
      <w:r>
        <w:rPr>
          <w:rFonts w:hint="cs"/>
          <w:b/>
          <w:bCs/>
          <w:u w:val="single"/>
          <w:rtl/>
        </w:rPr>
        <w:t>תסקירי שירות המבחן</w:t>
      </w:r>
    </w:p>
    <w:p w14:paraId="05D56095" w14:textId="77777777" w:rsidR="00C71D7A" w:rsidRDefault="00C71D7A">
      <w:pPr>
        <w:spacing w:line="360" w:lineRule="auto"/>
        <w:jc w:val="both"/>
        <w:rPr>
          <w:rtl/>
        </w:rPr>
      </w:pPr>
    </w:p>
    <w:p w14:paraId="65E6F790" w14:textId="77777777" w:rsidR="00C71D7A" w:rsidRDefault="00E5331C">
      <w:pPr>
        <w:spacing w:line="360" w:lineRule="auto"/>
        <w:ind w:left="720" w:hanging="720"/>
        <w:jc w:val="both"/>
        <w:rPr>
          <w:rtl/>
        </w:rPr>
      </w:pPr>
      <w:r>
        <w:rPr>
          <w:rFonts w:hint="cs"/>
          <w:rtl/>
        </w:rPr>
        <w:t>2.</w:t>
      </w:r>
      <w:r>
        <w:rPr>
          <w:rFonts w:hint="cs"/>
          <w:rtl/>
        </w:rPr>
        <w:tab/>
        <w:t xml:space="preserve">הנאשם יליד 1981, ומהתסקיר הראשון שהתקבל עלה כי לא נוצר עמו קשר מסיבות שונות שהיו תלויות בנאשם, וניתנה לו הזדמנות נוספת (תסקיר מיום 17.9.13). </w:t>
      </w:r>
    </w:p>
    <w:p w14:paraId="68B43B6F" w14:textId="77777777" w:rsidR="00C71D7A" w:rsidRDefault="00E5331C">
      <w:pPr>
        <w:spacing w:line="360" w:lineRule="auto"/>
        <w:ind w:left="720"/>
        <w:jc w:val="both"/>
        <w:rPr>
          <w:rtl/>
        </w:rPr>
      </w:pPr>
      <w:r>
        <w:rPr>
          <w:rFonts w:hint="cs"/>
          <w:rtl/>
        </w:rPr>
        <w:t xml:space="preserve">מהתסקיר השני שהתקבל, עלה הרקע האישי והמשפחתי שלו, כשהוא אב לשלושה ילדים וחי עם בת זוגו. </w:t>
      </w:r>
    </w:p>
    <w:p w14:paraId="6558EF48" w14:textId="77777777" w:rsidR="00C71D7A" w:rsidRDefault="00E5331C">
      <w:pPr>
        <w:spacing w:line="360" w:lineRule="auto"/>
        <w:ind w:left="720"/>
        <w:jc w:val="both"/>
        <w:rPr>
          <w:rtl/>
        </w:rPr>
      </w:pPr>
      <w:r>
        <w:rPr>
          <w:rFonts w:hint="cs"/>
          <w:rtl/>
        </w:rPr>
        <w:t xml:space="preserve">בעת ביצוע העבירה היה הנאשם בעל עסק, אולם הוא כשל בעסקיו, צבר חובות וכיום עובד כמתקין מזגנים. </w:t>
      </w:r>
    </w:p>
    <w:p w14:paraId="1FE094D2" w14:textId="77777777" w:rsidR="00C71D7A" w:rsidRDefault="00E5331C">
      <w:pPr>
        <w:spacing w:line="360" w:lineRule="auto"/>
        <w:ind w:left="720"/>
        <w:jc w:val="both"/>
        <w:rPr>
          <w:rtl/>
        </w:rPr>
      </w:pPr>
      <w:r>
        <w:rPr>
          <w:rFonts w:hint="cs"/>
          <w:rtl/>
        </w:rPr>
        <w:t xml:space="preserve">עוד עלה מהתסקיר עברו הפלילי של הנאשם, אשר הורשע בעבירות אלימות, סמים ורכוש, ואף ריצה שני עונשי מאסר מאחורי סורג ובריח (ת/1). </w:t>
      </w:r>
    </w:p>
    <w:p w14:paraId="05B9F2D7" w14:textId="77777777" w:rsidR="00C71D7A" w:rsidRDefault="00E5331C">
      <w:pPr>
        <w:spacing w:line="360" w:lineRule="auto"/>
        <w:ind w:left="720"/>
        <w:jc w:val="both"/>
        <w:rPr>
          <w:rtl/>
        </w:rPr>
      </w:pPr>
      <w:r>
        <w:rPr>
          <w:rFonts w:hint="cs"/>
          <w:rtl/>
        </w:rPr>
        <w:lastRenderedPageBreak/>
        <w:t>בפני קצין המבחן לקח הנאשם אחריות חלקית על ביצוע העבירה, וההתרשמות היתה כי ללא טיפול מקיף בבעיותיו קיים סיכון להשנות התנהגות דומה גם בעתיד. הנאשם הביע נכונות להשתלב בהליך כזה וניתנה לו ההזדמנות, כשהדיון בעניינו נדחה (תסקיר מיום 16.2.14).</w:t>
      </w:r>
    </w:p>
    <w:p w14:paraId="49A5DE93" w14:textId="77777777" w:rsidR="00C71D7A" w:rsidRDefault="00E5331C">
      <w:pPr>
        <w:spacing w:line="360" w:lineRule="auto"/>
        <w:ind w:left="720"/>
        <w:jc w:val="both"/>
        <w:rPr>
          <w:rtl/>
        </w:rPr>
      </w:pPr>
      <w:r>
        <w:rPr>
          <w:rFonts w:hint="cs"/>
          <w:rtl/>
        </w:rPr>
        <w:t xml:space="preserve">תסקיר משלים נוסף שהתקבל העלה, כי הנאשם התקשה לעמוד בדרישות שהוצבו בפניו במסגרת הטיפול, הגיע לפגישה אחת בלבד ומאז לא יצר קשר. </w:t>
      </w:r>
    </w:p>
    <w:p w14:paraId="7B587747" w14:textId="77777777" w:rsidR="00C71D7A" w:rsidRDefault="00E5331C">
      <w:pPr>
        <w:spacing w:line="360" w:lineRule="auto"/>
        <w:ind w:left="720"/>
        <w:jc w:val="both"/>
        <w:rPr>
          <w:rtl/>
        </w:rPr>
      </w:pPr>
      <w:r>
        <w:rPr>
          <w:rFonts w:hint="cs"/>
          <w:rtl/>
        </w:rPr>
        <w:t xml:space="preserve">נסיונות שירות המבחן לרתום את הנאשם להליך טיפולי לא הועילו, ועל כן, מצא קצין המבחן כי אין בידו לבוא בהמלצה טיפולית (תסקיר מיום 20.5.14). </w:t>
      </w:r>
    </w:p>
    <w:p w14:paraId="0BE4E2BF" w14:textId="77777777" w:rsidR="00C71D7A" w:rsidRDefault="00C71D7A">
      <w:pPr>
        <w:spacing w:line="360" w:lineRule="auto"/>
        <w:ind w:left="720"/>
        <w:jc w:val="both"/>
        <w:rPr>
          <w:rtl/>
        </w:rPr>
      </w:pPr>
    </w:p>
    <w:p w14:paraId="66DB67EA" w14:textId="77777777" w:rsidR="00C71D7A" w:rsidRDefault="00E5331C">
      <w:pPr>
        <w:spacing w:line="360" w:lineRule="auto"/>
        <w:ind w:left="720"/>
        <w:jc w:val="both"/>
        <w:rPr>
          <w:rtl/>
        </w:rPr>
      </w:pPr>
      <w:r>
        <w:rPr>
          <w:rFonts w:hint="cs"/>
          <w:rtl/>
        </w:rPr>
        <w:t xml:space="preserve">ב"כ הנאשם ביקש לתת לו הזדמנות נוספת וזאת לאור בעיה רפואית שהייתה לנאשם באותה תקופה, כשהוא הציג אישורים רפואיים לגבי חלק ממנה, אלא שלאור פרק הזמן שחלף מאז ההרשעה ועד למועד שנקבע, עברו חודשים רבים, ניתנו לנאשם הזדמנויות ליצור את הקשר מעצמו אך הוא בחר שלא לעשות כן, ועל כן לא מצאתי כי יש מקום לקבל תסקיר נוסף. </w:t>
      </w:r>
    </w:p>
    <w:p w14:paraId="0A2E747F" w14:textId="77777777" w:rsidR="00C71D7A" w:rsidRDefault="00C71D7A">
      <w:pPr>
        <w:spacing w:line="360" w:lineRule="auto"/>
        <w:jc w:val="both"/>
        <w:rPr>
          <w:rtl/>
        </w:rPr>
      </w:pPr>
    </w:p>
    <w:p w14:paraId="3337E29C" w14:textId="77777777" w:rsidR="00C71D7A" w:rsidRDefault="00E5331C">
      <w:pPr>
        <w:spacing w:line="360" w:lineRule="auto"/>
        <w:ind w:left="720" w:hanging="720"/>
        <w:jc w:val="both"/>
        <w:rPr>
          <w:rtl/>
        </w:rPr>
      </w:pPr>
      <w:r>
        <w:rPr>
          <w:rFonts w:hint="cs"/>
          <w:rtl/>
        </w:rPr>
        <w:t>3.</w:t>
      </w:r>
      <w:r>
        <w:rPr>
          <w:rFonts w:hint="cs"/>
          <w:rtl/>
        </w:rPr>
        <w:tab/>
        <w:t>בנסיבות אלה ביקש ב"כ הנאשם לצרף תיק נוסף, שעניינו החזקת סכין למטרה בלתי כשרה, והנאשם הודה ו</w:t>
      </w:r>
      <w:r w:rsidR="00ED79FA">
        <w:rPr>
          <w:rFonts w:hint="cs"/>
          <w:rtl/>
        </w:rPr>
        <w:t xml:space="preserve">הורשע גם בעבירה זו לפי סעיף </w:t>
      </w:r>
      <w:hyperlink r:id="rId15" w:history="1">
        <w:r w:rsidR="00ED79FA" w:rsidRPr="00ED79FA">
          <w:rPr>
            <w:color w:val="0000FF"/>
            <w:u w:val="single"/>
            <w:rtl/>
          </w:rPr>
          <w:t>186(א)</w:t>
        </w:r>
      </w:hyperlink>
      <w:r>
        <w:rPr>
          <w:rFonts w:hint="cs"/>
          <w:rtl/>
        </w:rPr>
        <w:t xml:space="preserve"> ל</w:t>
      </w:r>
      <w:hyperlink r:id="rId16" w:history="1">
        <w:r w:rsidRPr="00E5331C">
          <w:rPr>
            <w:color w:val="0000FF"/>
            <w:u w:val="single"/>
            <w:rtl/>
          </w:rPr>
          <w:t>חוק העונשין</w:t>
        </w:r>
      </w:hyperlink>
      <w:r>
        <w:rPr>
          <w:rFonts w:hint="cs"/>
          <w:rtl/>
        </w:rPr>
        <w:t xml:space="preserve">. מדובר באירוע שהתרחש ביום 13.6.13 עת נמצא הסכין ברכבו של הנאשם (במ/ 1). </w:t>
      </w:r>
    </w:p>
    <w:p w14:paraId="01FD568A" w14:textId="77777777" w:rsidR="00C71D7A" w:rsidRDefault="00C71D7A">
      <w:pPr>
        <w:spacing w:line="360" w:lineRule="auto"/>
        <w:jc w:val="both"/>
        <w:rPr>
          <w:rtl/>
        </w:rPr>
      </w:pPr>
    </w:p>
    <w:p w14:paraId="6EED93C4" w14:textId="77777777" w:rsidR="00C71D7A" w:rsidRDefault="00E5331C">
      <w:pPr>
        <w:spacing w:line="360" w:lineRule="auto"/>
        <w:ind w:left="720" w:hanging="720"/>
        <w:jc w:val="both"/>
        <w:rPr>
          <w:rtl/>
        </w:rPr>
      </w:pPr>
      <w:r>
        <w:rPr>
          <w:rFonts w:hint="cs"/>
          <w:rtl/>
        </w:rPr>
        <w:t>4.</w:t>
      </w:r>
      <w:r>
        <w:rPr>
          <w:rFonts w:hint="cs"/>
          <w:rtl/>
        </w:rPr>
        <w:tab/>
        <w:t xml:space="preserve">ב"כ המאשימה טענה כי הנאשם החזיק בכמות של סם הנחשבת ככמות מסחרית, חזרה על עברו הפלילי של הנאשם, על האמור בתסקירים לגבי חוסר שיתוף הפעולה מצידו, ואף הצביעה על כך שהנאשם לא התייצב למספר דיונים באופן שהביא להתמשכות ההליכים בעניינו, ואילו היה צורך בשמיעת ראיות במהלך התקופה שחלפה, היה ההליך מסתיים זה מכבר. לאור זאת, טענה כי מתחם הענישה נע בין 15 ועד 24 חודשי מאסר בפועל, וביקשה להטיל על הנאשם ענישה ברף הגבוה של המתחם, בצירוף מאסר על תנאי, פסילת רישיון נהיגה וקנס כספי. </w:t>
      </w:r>
    </w:p>
    <w:p w14:paraId="2B4AC9C8" w14:textId="77777777" w:rsidR="00C71D7A" w:rsidRDefault="00E5331C">
      <w:pPr>
        <w:spacing w:line="360" w:lineRule="auto"/>
        <w:ind w:left="720"/>
        <w:jc w:val="both"/>
        <w:rPr>
          <w:rtl/>
        </w:rPr>
      </w:pPr>
      <w:r>
        <w:rPr>
          <w:rFonts w:hint="cs"/>
          <w:rtl/>
        </w:rPr>
        <w:t>ב"כ המאשימה ביקשה להוסיף עוד מספר חודשי מאסר בגין עבירת החזקת הסכין, ותמכה טענותיה בפסיקה שעניינה עבירות סמים, וממנה ניתן ללמוד על החומרה בה רואים בתי המשפט עבירות אלה (</w:t>
      </w:r>
      <w:hyperlink r:id="rId17" w:history="1">
        <w:r w:rsidRPr="00E5331C">
          <w:rPr>
            <w:color w:val="0000FF"/>
            <w:u w:val="single"/>
            <w:rtl/>
          </w:rPr>
          <w:t>ת"פ 3873/08</w:t>
        </w:r>
      </w:hyperlink>
      <w:r>
        <w:rPr>
          <w:rFonts w:hint="cs"/>
          <w:rtl/>
        </w:rPr>
        <w:t xml:space="preserve"> בית משפט נתניה, ו</w:t>
      </w:r>
      <w:hyperlink r:id="rId18" w:history="1">
        <w:r w:rsidRPr="00E5331C">
          <w:rPr>
            <w:color w:val="0000FF"/>
            <w:u w:val="single"/>
            <w:rtl/>
          </w:rPr>
          <w:t>רע"פ 5176/03</w:t>
        </w:r>
      </w:hyperlink>
      <w:r>
        <w:rPr>
          <w:rFonts w:hint="cs"/>
          <w:rtl/>
        </w:rPr>
        <w:t xml:space="preserve"> סוריאנו נ' מדינת ישראל). </w:t>
      </w:r>
    </w:p>
    <w:p w14:paraId="6F2BC6B5" w14:textId="77777777" w:rsidR="00C71D7A" w:rsidRDefault="00C71D7A">
      <w:pPr>
        <w:spacing w:line="360" w:lineRule="auto"/>
        <w:ind w:left="720"/>
        <w:jc w:val="both"/>
        <w:rPr>
          <w:rtl/>
        </w:rPr>
      </w:pPr>
    </w:p>
    <w:p w14:paraId="7D7311C6" w14:textId="77777777" w:rsidR="00C71D7A" w:rsidRDefault="00E5331C">
      <w:pPr>
        <w:spacing w:line="360" w:lineRule="auto"/>
        <w:ind w:left="720"/>
        <w:jc w:val="both"/>
        <w:rPr>
          <w:rtl/>
        </w:rPr>
      </w:pPr>
      <w:r>
        <w:rPr>
          <w:rFonts w:hint="cs"/>
          <w:rtl/>
        </w:rPr>
        <w:t xml:space="preserve">מנגד, טען ב"כ הנאשם כי למרות עברו ובמשך תקופה ארוכה מאז שוחרר מהכלא, ניסה הנאשם לחזור למוטב, הוא פתח עסק עצמאי, אך הדבר לא עלה יפה, הוא עבר תקופות קשות ואז החל לרכוש את הסם ולהשתמש בו לשימוש עצמי. </w:t>
      </w:r>
    </w:p>
    <w:p w14:paraId="427DDB3B" w14:textId="77777777" w:rsidR="00C71D7A" w:rsidRDefault="00E5331C">
      <w:pPr>
        <w:spacing w:line="360" w:lineRule="auto"/>
        <w:ind w:left="720"/>
        <w:jc w:val="both"/>
        <w:rPr>
          <w:rtl/>
        </w:rPr>
      </w:pPr>
      <w:r>
        <w:rPr>
          <w:rFonts w:hint="cs"/>
          <w:rtl/>
        </w:rPr>
        <w:t xml:space="preserve">לטענת הסנגור, כתב האישום הוגש לאחר חלוף זמן של כשנה וחצי, ובמהלך התקופה שחלפה מאז נתפס היה מעורב רק בעבירה של החזקת סכין, והדבר מלמד על ניסיונו להימנע מביצוע עבירות. </w:t>
      </w:r>
    </w:p>
    <w:p w14:paraId="71503B79" w14:textId="77777777" w:rsidR="00C71D7A" w:rsidRDefault="00E5331C">
      <w:pPr>
        <w:spacing w:line="360" w:lineRule="auto"/>
        <w:ind w:left="720"/>
        <w:jc w:val="both"/>
        <w:rPr>
          <w:rtl/>
        </w:rPr>
      </w:pPr>
      <w:r>
        <w:rPr>
          <w:rFonts w:hint="cs"/>
          <w:rtl/>
        </w:rPr>
        <w:lastRenderedPageBreak/>
        <w:t xml:space="preserve">הסנגור ביקש להתחשב בנסיבותיו האישיות של הנאשם, במצבו המשפחתי, בהתמדתו בעבודתו הנוכחית ולגזור את עונשו בצורה מתונה. </w:t>
      </w:r>
    </w:p>
    <w:p w14:paraId="2E069761" w14:textId="77777777" w:rsidR="00C71D7A" w:rsidRDefault="00C71D7A">
      <w:pPr>
        <w:spacing w:line="360" w:lineRule="auto"/>
        <w:jc w:val="both"/>
        <w:rPr>
          <w:rtl/>
        </w:rPr>
      </w:pPr>
    </w:p>
    <w:p w14:paraId="4DEA38FB" w14:textId="77777777" w:rsidR="00C71D7A" w:rsidRDefault="00E5331C">
      <w:pPr>
        <w:spacing w:line="360" w:lineRule="auto"/>
        <w:ind w:left="720" w:hanging="720"/>
        <w:jc w:val="both"/>
        <w:rPr>
          <w:rtl/>
        </w:rPr>
      </w:pPr>
      <w:r>
        <w:rPr>
          <w:rFonts w:hint="cs"/>
          <w:rtl/>
        </w:rPr>
        <w:t>5.</w:t>
      </w:r>
      <w:r>
        <w:rPr>
          <w:rFonts w:hint="cs"/>
          <w:rtl/>
        </w:rPr>
        <w:tab/>
        <w:t xml:space="preserve">אין ספור פעמים חזרו בתי המשפט על החומרה הרבה הטמונה בשימוש בסמים, הן למשתמש עצמו והן לחברה, כאשר פגיעתו הרעה של הסם ניכרת בכל תחום וגורמת נזקים ישירים ועקיפים לכל מי שבא איתו במגע. </w:t>
      </w:r>
    </w:p>
    <w:p w14:paraId="2D98DFBC" w14:textId="77777777" w:rsidR="00C71D7A" w:rsidRDefault="00E5331C">
      <w:pPr>
        <w:spacing w:line="360" w:lineRule="auto"/>
        <w:ind w:left="720"/>
        <w:jc w:val="both"/>
        <w:rPr>
          <w:rtl/>
        </w:rPr>
      </w:pPr>
      <w:r>
        <w:rPr>
          <w:rFonts w:hint="cs"/>
          <w:rtl/>
        </w:rPr>
        <w:t xml:space="preserve">מדובר בסם מסוג </w:t>
      </w:r>
      <w:r>
        <w:t>LSD</w:t>
      </w:r>
      <w:r>
        <w:rPr>
          <w:rFonts w:hint="cs"/>
          <w:rtl/>
        </w:rPr>
        <w:t xml:space="preserve"> שמסכן באופן מוחשי את המשתמש בו, ובמיוחד כך כשהכמות שנתפסה ברשותו של הנאשם היא כה גדולה - 575 טבליות, שזוהי כמות העולה פי כמה וכמה על הכמות המוכרת בפקודה לצריכה עצמית, של 3 יחידות בלבד. </w:t>
      </w:r>
    </w:p>
    <w:p w14:paraId="5CCBEE03" w14:textId="77777777" w:rsidR="00C71D7A" w:rsidRDefault="00C71D7A">
      <w:pPr>
        <w:spacing w:line="360" w:lineRule="auto"/>
        <w:ind w:left="720"/>
        <w:jc w:val="both"/>
        <w:rPr>
          <w:rtl/>
        </w:rPr>
      </w:pPr>
    </w:p>
    <w:p w14:paraId="1676C435" w14:textId="77777777" w:rsidR="00C71D7A" w:rsidRDefault="00E5331C">
      <w:pPr>
        <w:spacing w:line="360" w:lineRule="auto"/>
        <w:ind w:left="720"/>
        <w:jc w:val="both"/>
        <w:rPr>
          <w:rtl/>
        </w:rPr>
      </w:pPr>
      <w:r>
        <w:rPr>
          <w:rFonts w:hint="cs"/>
          <w:rtl/>
        </w:rPr>
        <w:t>באופן כמעט גורף קבעה הפסיקה כי מי שנתפס בביצוע עבירות סם, דינו למאסר מאחורי סורג ובריח: בעפ"ג 18377-08-10 מדינת ישראל נ' איברמיאן, נגזרו על מערער שנמצא ברשותו סם מסוג הרואין במשקל 13 גרם, 18 חודשי מאסר בפועל; ב</w:t>
      </w:r>
      <w:hyperlink r:id="rId19" w:history="1">
        <w:r w:rsidRPr="00E5331C">
          <w:rPr>
            <w:color w:val="0000FF"/>
            <w:u w:val="single"/>
            <w:rtl/>
          </w:rPr>
          <w:t>רע"פ 4862/10</w:t>
        </w:r>
      </w:hyperlink>
      <w:r>
        <w:rPr>
          <w:rFonts w:hint="cs"/>
          <w:rtl/>
        </w:rPr>
        <w:t xml:space="preserve"> אנקרי נ' מדינת ישראל, נגזרו על נאשם שהחזיק סם מסוג קוקאין במשקל 11 גרם, 20 חודשי מאסר בפועל, ובקשת רשות ערעור נדחתה; ב</w:t>
      </w:r>
      <w:hyperlink r:id="rId20" w:history="1">
        <w:r w:rsidRPr="00E5331C">
          <w:rPr>
            <w:color w:val="0000FF"/>
            <w:u w:val="single"/>
            <w:rtl/>
          </w:rPr>
          <w:t>רע"פ 5354/12</w:t>
        </w:r>
      </w:hyperlink>
      <w:r>
        <w:rPr>
          <w:rFonts w:hint="cs"/>
          <w:rtl/>
        </w:rPr>
        <w:t xml:space="preserve"> קובר נ' מדינת ישראל, נדון נאשם שהורשע בהחזקת קוקאין במשקל 38 גרם ל-14 חודשי מאסר בפועל, ובקשת רשות ערעור נדחתה. </w:t>
      </w:r>
    </w:p>
    <w:p w14:paraId="6551D3EF" w14:textId="77777777" w:rsidR="00C71D7A" w:rsidRDefault="00C71D7A">
      <w:pPr>
        <w:spacing w:line="360" w:lineRule="auto"/>
        <w:ind w:left="720"/>
        <w:jc w:val="both"/>
        <w:rPr>
          <w:rtl/>
        </w:rPr>
      </w:pPr>
    </w:p>
    <w:p w14:paraId="0F3C57E3" w14:textId="77777777" w:rsidR="00C71D7A" w:rsidRDefault="00E5331C">
      <w:pPr>
        <w:spacing w:line="360" w:lineRule="auto"/>
        <w:ind w:left="720"/>
        <w:jc w:val="both"/>
        <w:rPr>
          <w:rtl/>
        </w:rPr>
      </w:pPr>
      <w:r>
        <w:rPr>
          <w:rFonts w:hint="cs"/>
          <w:rtl/>
        </w:rPr>
        <w:t xml:space="preserve">בנסיבות אלה, בהן הכמות הייתה כה גדולה, והנזק הטמון בסמים כה משמעותי, אני סבורה כי מתחם העונש ההולם נע בין 12 חודשי מאסר ועד 24 חודשי מאסר בפועל. </w:t>
      </w:r>
    </w:p>
    <w:p w14:paraId="19044DB3" w14:textId="77777777" w:rsidR="00C71D7A" w:rsidRDefault="00C71D7A">
      <w:pPr>
        <w:spacing w:line="360" w:lineRule="auto"/>
        <w:ind w:left="720"/>
        <w:jc w:val="both"/>
        <w:rPr>
          <w:rtl/>
        </w:rPr>
      </w:pPr>
    </w:p>
    <w:p w14:paraId="55258246" w14:textId="77777777" w:rsidR="00C71D7A" w:rsidRDefault="00E5331C">
      <w:pPr>
        <w:spacing w:line="360" w:lineRule="auto"/>
        <w:ind w:left="720"/>
        <w:jc w:val="both"/>
        <w:rPr>
          <w:rtl/>
        </w:rPr>
      </w:pPr>
      <w:r>
        <w:rPr>
          <w:rFonts w:hint="cs"/>
          <w:rtl/>
        </w:rPr>
        <w:t xml:space="preserve">לעניין הסכין, מתחם הענישה נע בין מאסר על תנאי ועד לתקופת מאסר קצרה, אותה ניתן גם לרצות בעבודות שירות (ראה: </w:t>
      </w:r>
      <w:hyperlink r:id="rId21" w:history="1">
        <w:r w:rsidRPr="00E5331C">
          <w:rPr>
            <w:color w:val="0000FF"/>
            <w:u w:val="single"/>
            <w:rtl/>
          </w:rPr>
          <w:t>ת"פ 1108/09</w:t>
        </w:r>
      </w:hyperlink>
      <w:r>
        <w:rPr>
          <w:rFonts w:hint="cs"/>
          <w:rtl/>
        </w:rPr>
        <w:t xml:space="preserve"> מדינת ישראל נ' וורנין (30.4.14)). </w:t>
      </w:r>
    </w:p>
    <w:p w14:paraId="1B03A4C1" w14:textId="77777777" w:rsidR="00C71D7A" w:rsidRDefault="00C71D7A">
      <w:pPr>
        <w:spacing w:line="360" w:lineRule="auto"/>
        <w:jc w:val="both"/>
        <w:rPr>
          <w:rtl/>
        </w:rPr>
      </w:pPr>
    </w:p>
    <w:p w14:paraId="75D4341C" w14:textId="77777777" w:rsidR="00C71D7A" w:rsidRDefault="00E5331C">
      <w:pPr>
        <w:spacing w:line="360" w:lineRule="auto"/>
        <w:ind w:left="720" w:hanging="720"/>
        <w:jc w:val="both"/>
        <w:rPr>
          <w:rtl/>
        </w:rPr>
      </w:pPr>
      <w:r>
        <w:rPr>
          <w:rFonts w:hint="cs"/>
          <w:rtl/>
        </w:rPr>
        <w:t>6.</w:t>
      </w:r>
      <w:r>
        <w:rPr>
          <w:rFonts w:hint="cs"/>
          <w:rtl/>
        </w:rPr>
        <w:tab/>
        <w:t xml:space="preserve">כשאני בוחנת את השיקולים השונים הקשורים בענישה, דומה כי אלו הפועלים לחובת הנאשם רבים מאלו העומדים לזכותו. לנאשם ניתנה הזדמנות לפנות לשירות המבחן, להשתלב בהליך טיפולי, להוכיח כי הוא מסוגל לצאת ממעגל הסמים ולחיות באורח נורמטיבי, אולם הוא לא ניצל את ההזדמנות שניתנה לו, באופן שהאפיק השיקומי אינו רלוונטי לגביו. </w:t>
      </w:r>
    </w:p>
    <w:p w14:paraId="68E0189F" w14:textId="77777777" w:rsidR="00C71D7A" w:rsidRDefault="00E5331C">
      <w:pPr>
        <w:spacing w:line="360" w:lineRule="auto"/>
        <w:ind w:left="720" w:hanging="720"/>
        <w:jc w:val="both"/>
        <w:rPr>
          <w:rtl/>
        </w:rPr>
      </w:pPr>
      <w:r>
        <w:rPr>
          <w:rFonts w:hint="cs"/>
          <w:rtl/>
        </w:rPr>
        <w:tab/>
        <w:t xml:space="preserve">לנאשם עבר פלילי לא קל, והוא כבר ריצה עונשי מאסר מאחורי סורג ובריח, אך למרות זאת שב וביצע עבירה חמורה, תוך הבנה כי הוא עלול להישלח שוב לכלא. </w:t>
      </w:r>
    </w:p>
    <w:p w14:paraId="781D6EBD" w14:textId="77777777" w:rsidR="00C71D7A" w:rsidRDefault="00E5331C">
      <w:pPr>
        <w:spacing w:line="360" w:lineRule="auto"/>
        <w:ind w:left="720" w:hanging="720"/>
        <w:jc w:val="both"/>
        <w:rPr>
          <w:rtl/>
        </w:rPr>
      </w:pPr>
      <w:r>
        <w:rPr>
          <w:rFonts w:hint="cs"/>
          <w:rtl/>
        </w:rPr>
        <w:tab/>
        <w:t xml:space="preserve">במהלך התקופה בה התנהל התיק, שב הנאשם וביצע עבירה נוספת של החזקת סכין שלא כדין, עבירה שאף בה טמונה מסוכנות ואין לדעת מה הייתה מטרת ההחזקה באותן נסיבות. </w:t>
      </w:r>
    </w:p>
    <w:p w14:paraId="1C2E46D8" w14:textId="77777777" w:rsidR="00C71D7A" w:rsidRDefault="00C71D7A">
      <w:pPr>
        <w:spacing w:line="360" w:lineRule="auto"/>
        <w:ind w:left="720" w:hanging="720"/>
        <w:jc w:val="both"/>
        <w:rPr>
          <w:rtl/>
        </w:rPr>
      </w:pPr>
    </w:p>
    <w:p w14:paraId="36607B73" w14:textId="77777777" w:rsidR="00C71D7A" w:rsidRDefault="00E5331C">
      <w:pPr>
        <w:spacing w:line="360" w:lineRule="auto"/>
        <w:ind w:left="720" w:hanging="720"/>
        <w:jc w:val="both"/>
        <w:rPr>
          <w:rtl/>
        </w:rPr>
      </w:pPr>
      <w:r>
        <w:rPr>
          <w:rFonts w:hint="cs"/>
          <w:rtl/>
        </w:rPr>
        <w:t>7.</w:t>
      </w:r>
      <w:r>
        <w:rPr>
          <w:rFonts w:hint="cs"/>
          <w:rtl/>
        </w:rPr>
        <w:tab/>
        <w:t xml:space="preserve">מנגד, יש להביא בחשבון גם את השיקולים הנזקפים לזכותו של הנאשם, ובהם ההודיה – גם אם לא הייתה מיידית, לקיחת האחריות – גם אם הייתה חלקית, החיסכון המשמעותי בזמן יקר של הצדדים ושל העדים שהיו אמורים להישמע, וצירוף התיק הנוסף שהיה תלוי ועומד כנגדו. </w:t>
      </w:r>
    </w:p>
    <w:p w14:paraId="2E6CC059" w14:textId="77777777" w:rsidR="00C71D7A" w:rsidRDefault="00E5331C">
      <w:pPr>
        <w:spacing w:line="360" w:lineRule="auto"/>
        <w:ind w:left="720" w:hanging="720"/>
        <w:jc w:val="both"/>
        <w:rPr>
          <w:rtl/>
        </w:rPr>
      </w:pPr>
      <w:r>
        <w:rPr>
          <w:rFonts w:hint="cs"/>
          <w:rtl/>
        </w:rPr>
        <w:tab/>
        <w:t xml:space="preserve">הסנגור העלה את חלוף הזמן ואת השיהוי בהגשת כתב האישום כשיקול נוסף, אך יאמר כי אמנם חלפו מאז ביצוע העבירה כ-4 שנים, אולם פרק זמן ניכר חלף בשל דחיות מצידו של הנאשם, לחלק מהדיונים הוא לא התייצב, בחלקם העלה טענות שבסופו של דבר חזר בו מהן, וזמן נדרש גם לצורך קבלת התסקירים. כל אלו אינם מצדיקים להתחשב בפרק הזמן שחלף כשיקול לזכותו של הנאשם. </w:t>
      </w:r>
    </w:p>
    <w:p w14:paraId="1D1BDA72" w14:textId="77777777" w:rsidR="00C71D7A" w:rsidRDefault="00C71D7A">
      <w:pPr>
        <w:spacing w:line="360" w:lineRule="auto"/>
        <w:ind w:left="720" w:hanging="720"/>
        <w:jc w:val="both"/>
        <w:rPr>
          <w:rtl/>
        </w:rPr>
      </w:pPr>
    </w:p>
    <w:p w14:paraId="5097FF29" w14:textId="77777777" w:rsidR="00C71D7A" w:rsidRDefault="00E5331C">
      <w:pPr>
        <w:spacing w:line="360" w:lineRule="auto"/>
        <w:ind w:left="720" w:hanging="720"/>
        <w:jc w:val="both"/>
        <w:rPr>
          <w:rtl/>
        </w:rPr>
      </w:pPr>
      <w:r>
        <w:rPr>
          <w:rFonts w:hint="cs"/>
          <w:rtl/>
        </w:rPr>
        <w:t>8.</w:t>
      </w:r>
      <w:r>
        <w:rPr>
          <w:rFonts w:hint="cs"/>
          <w:rtl/>
        </w:rPr>
        <w:tab/>
        <w:t>לאור כל האמור לעיל, ולאחר שבחנתי את כלל השיקולים הקשורים בענישה כשמצד אחד חומרתה של העבירה והצורך בגמול הולם, ומנגד, ההודיה ולקיחת האחריות, אני סבורה כי יש מקום לגזור על הנאשם עונש כולל כא</w:t>
      </w:r>
      <w:r w:rsidR="00ED79FA">
        <w:rPr>
          <w:rFonts w:hint="cs"/>
          <w:rtl/>
        </w:rPr>
        <w:t xml:space="preserve">מור בסעיף </w:t>
      </w:r>
      <w:hyperlink r:id="rId22" w:history="1">
        <w:r w:rsidR="00ED79FA" w:rsidRPr="00ED79FA">
          <w:rPr>
            <w:color w:val="0000FF"/>
            <w:u w:val="single"/>
            <w:rtl/>
          </w:rPr>
          <w:t>40יג(ב),</w:t>
        </w:r>
      </w:hyperlink>
      <w:r>
        <w:rPr>
          <w:rFonts w:hint="cs"/>
          <w:rtl/>
        </w:rPr>
        <w:t xml:space="preserve"> ואני גוזרת עליו את העונשים הבאים:</w:t>
      </w:r>
    </w:p>
    <w:p w14:paraId="7224A720" w14:textId="77777777" w:rsidR="00C71D7A" w:rsidRDefault="00E5331C">
      <w:pPr>
        <w:spacing w:line="360" w:lineRule="auto"/>
        <w:ind w:left="1440" w:hanging="720"/>
        <w:jc w:val="both"/>
        <w:rPr>
          <w:rtl/>
        </w:rPr>
      </w:pPr>
      <w:r>
        <w:rPr>
          <w:rFonts w:hint="cs"/>
          <w:rtl/>
        </w:rPr>
        <w:tab/>
        <w:t xml:space="preserve">א. </w:t>
      </w:r>
      <w:r>
        <w:rPr>
          <w:rFonts w:hint="cs"/>
          <w:rtl/>
        </w:rPr>
        <w:tab/>
        <w:t>18 חודשי מאסר בפועל.</w:t>
      </w:r>
    </w:p>
    <w:p w14:paraId="032C71A9" w14:textId="77777777" w:rsidR="00C71D7A" w:rsidRDefault="00E5331C">
      <w:pPr>
        <w:spacing w:line="360" w:lineRule="auto"/>
        <w:ind w:left="1440" w:hanging="720"/>
        <w:jc w:val="both"/>
        <w:rPr>
          <w:rtl/>
        </w:rPr>
      </w:pPr>
      <w:r>
        <w:rPr>
          <w:rFonts w:hint="cs"/>
          <w:rtl/>
        </w:rPr>
        <w:tab/>
      </w:r>
      <w:r>
        <w:rPr>
          <w:rFonts w:hint="cs"/>
          <w:rtl/>
        </w:rPr>
        <w:tab/>
        <w:t xml:space="preserve">מתקופת המאסר יקוזזו ימי המעצר 11.4.10 ועד 15.4.10. </w:t>
      </w:r>
    </w:p>
    <w:p w14:paraId="5B111DC2" w14:textId="77777777" w:rsidR="00C71D7A" w:rsidRDefault="00C71D7A">
      <w:pPr>
        <w:spacing w:line="360" w:lineRule="auto"/>
        <w:ind w:left="2160" w:hanging="720"/>
        <w:jc w:val="both"/>
        <w:rPr>
          <w:rtl/>
        </w:rPr>
      </w:pPr>
    </w:p>
    <w:p w14:paraId="3AAF929E" w14:textId="77777777" w:rsidR="00C71D7A" w:rsidRDefault="00E5331C">
      <w:pPr>
        <w:spacing w:line="360" w:lineRule="auto"/>
        <w:ind w:left="2160" w:hanging="720"/>
        <w:jc w:val="both"/>
        <w:rPr>
          <w:rtl/>
        </w:rPr>
      </w:pPr>
      <w:r>
        <w:rPr>
          <w:rFonts w:hint="cs"/>
          <w:rtl/>
        </w:rPr>
        <w:t xml:space="preserve">ב. </w:t>
      </w:r>
      <w:r>
        <w:rPr>
          <w:rFonts w:hint="cs"/>
          <w:rtl/>
        </w:rPr>
        <w:tab/>
        <w:t xml:space="preserve">9 חודשי מאסר על תנאי לתקופה של 3 שנים, והתנאי הוא שהנאשם לא יעבור עבירה מסוג פשע על </w:t>
      </w:r>
      <w:hyperlink r:id="rId23" w:history="1">
        <w:r w:rsidRPr="00E5331C">
          <w:rPr>
            <w:color w:val="0000FF"/>
            <w:u w:val="single"/>
            <w:rtl/>
          </w:rPr>
          <w:t>פקודת הסמים המסוכנים</w:t>
        </w:r>
      </w:hyperlink>
      <w:r>
        <w:rPr>
          <w:rFonts w:hint="cs"/>
          <w:rtl/>
        </w:rPr>
        <w:t xml:space="preserve">. </w:t>
      </w:r>
    </w:p>
    <w:p w14:paraId="7C987A88" w14:textId="77777777" w:rsidR="00C71D7A" w:rsidRDefault="00C71D7A">
      <w:pPr>
        <w:spacing w:line="360" w:lineRule="auto"/>
        <w:ind w:left="2160" w:hanging="720"/>
        <w:jc w:val="both"/>
        <w:rPr>
          <w:rtl/>
        </w:rPr>
      </w:pPr>
    </w:p>
    <w:p w14:paraId="00A1AA06" w14:textId="77777777" w:rsidR="00C71D7A" w:rsidRDefault="00E5331C">
      <w:pPr>
        <w:spacing w:line="360" w:lineRule="auto"/>
        <w:ind w:left="2160" w:hanging="720"/>
        <w:jc w:val="both"/>
        <w:rPr>
          <w:rtl/>
        </w:rPr>
      </w:pPr>
      <w:r>
        <w:rPr>
          <w:rFonts w:hint="cs"/>
          <w:rtl/>
        </w:rPr>
        <w:t xml:space="preserve">ג. </w:t>
      </w:r>
      <w:r>
        <w:rPr>
          <w:rFonts w:hint="cs"/>
          <w:rtl/>
        </w:rPr>
        <w:tab/>
        <w:t xml:space="preserve">4 חודשי מאסר על תנאי לתקופה של 3 שנים, והתנאי הוא שהנאשם לא יעבור עבירה מסוג עוון על </w:t>
      </w:r>
      <w:hyperlink r:id="rId24" w:history="1">
        <w:r w:rsidRPr="00E5331C">
          <w:rPr>
            <w:color w:val="0000FF"/>
            <w:u w:val="single"/>
            <w:rtl/>
          </w:rPr>
          <w:t>פקודת הסמים המסוכנים</w:t>
        </w:r>
      </w:hyperlink>
      <w:r>
        <w:rPr>
          <w:rFonts w:hint="cs"/>
          <w:rtl/>
        </w:rPr>
        <w:t xml:space="preserve">, או עבירה של החזקת סכין למטרה בלתי כשרה. </w:t>
      </w:r>
    </w:p>
    <w:p w14:paraId="550449F9" w14:textId="77777777" w:rsidR="00C71D7A" w:rsidRDefault="00C71D7A">
      <w:pPr>
        <w:spacing w:line="360" w:lineRule="auto"/>
        <w:ind w:left="2160" w:hanging="720"/>
        <w:jc w:val="both"/>
        <w:rPr>
          <w:rtl/>
        </w:rPr>
      </w:pPr>
    </w:p>
    <w:p w14:paraId="2096AC3A" w14:textId="77777777" w:rsidR="00C71D7A" w:rsidRDefault="00E5331C">
      <w:pPr>
        <w:spacing w:line="360" w:lineRule="auto"/>
        <w:ind w:left="2160" w:hanging="720"/>
        <w:jc w:val="both"/>
        <w:rPr>
          <w:rtl/>
        </w:rPr>
      </w:pPr>
      <w:r>
        <w:rPr>
          <w:rFonts w:hint="cs"/>
          <w:rtl/>
        </w:rPr>
        <w:t xml:space="preserve">ד. </w:t>
      </w:r>
      <w:r>
        <w:rPr>
          <w:rFonts w:hint="cs"/>
          <w:rtl/>
        </w:rPr>
        <w:tab/>
        <w:t xml:space="preserve">אני פוסלת את הנאשם מלקבל או להחזיק רישיון נהיגה לתקופה של 5 חודשים. </w:t>
      </w:r>
    </w:p>
    <w:p w14:paraId="4F59F90C" w14:textId="77777777" w:rsidR="00C71D7A" w:rsidRDefault="00E5331C">
      <w:pPr>
        <w:spacing w:line="360" w:lineRule="auto"/>
        <w:ind w:left="720"/>
        <w:jc w:val="both"/>
        <w:rPr>
          <w:rtl/>
        </w:rPr>
      </w:pPr>
      <w:r>
        <w:rPr>
          <w:rFonts w:hint="cs"/>
          <w:rtl/>
        </w:rPr>
        <w:tab/>
      </w:r>
    </w:p>
    <w:p w14:paraId="49B4223E" w14:textId="77777777" w:rsidR="00C71D7A" w:rsidRDefault="00C71D7A">
      <w:pPr>
        <w:spacing w:line="360" w:lineRule="auto"/>
        <w:ind w:left="720"/>
        <w:jc w:val="both"/>
        <w:rPr>
          <w:rtl/>
        </w:rPr>
      </w:pPr>
    </w:p>
    <w:p w14:paraId="1E92790B" w14:textId="77777777" w:rsidR="00C71D7A" w:rsidRDefault="00E5331C">
      <w:pPr>
        <w:spacing w:line="360" w:lineRule="auto"/>
        <w:ind w:left="720"/>
        <w:jc w:val="both"/>
        <w:rPr>
          <w:rtl/>
        </w:rPr>
      </w:pPr>
      <w:r>
        <w:rPr>
          <w:rFonts w:hint="cs"/>
          <w:rtl/>
        </w:rPr>
        <w:t xml:space="preserve">ה. </w:t>
      </w:r>
      <w:r>
        <w:rPr>
          <w:rFonts w:hint="cs"/>
          <w:rtl/>
        </w:rPr>
        <w:tab/>
        <w:t>מורה על השמדת הסמים.</w:t>
      </w:r>
    </w:p>
    <w:p w14:paraId="743A70A3" w14:textId="77777777" w:rsidR="00C71D7A" w:rsidRDefault="00C71D7A">
      <w:pPr>
        <w:spacing w:line="360" w:lineRule="auto"/>
        <w:ind w:left="720"/>
        <w:jc w:val="both"/>
        <w:rPr>
          <w:rtl/>
        </w:rPr>
      </w:pPr>
    </w:p>
    <w:p w14:paraId="01000EA9" w14:textId="77777777" w:rsidR="00C71D7A" w:rsidRDefault="00E5331C">
      <w:pPr>
        <w:spacing w:line="360" w:lineRule="auto"/>
        <w:ind w:left="720"/>
        <w:jc w:val="both"/>
        <w:rPr>
          <w:b/>
          <w:bCs/>
          <w:u w:val="single"/>
          <w:rtl/>
        </w:rPr>
      </w:pPr>
      <w:r>
        <w:rPr>
          <w:rFonts w:hint="cs"/>
          <w:b/>
          <w:bCs/>
          <w:u w:val="single"/>
          <w:rtl/>
        </w:rPr>
        <w:t>זכות ערעור תוך 45 יום.</w:t>
      </w:r>
    </w:p>
    <w:p w14:paraId="7A3F1D2B" w14:textId="77777777" w:rsidR="00C71D7A" w:rsidRDefault="00C71D7A">
      <w:pPr>
        <w:spacing w:line="360" w:lineRule="auto"/>
        <w:ind w:left="720"/>
        <w:jc w:val="both"/>
        <w:rPr>
          <w:rtl/>
        </w:rPr>
      </w:pPr>
    </w:p>
    <w:p w14:paraId="624EE82A" w14:textId="77777777" w:rsidR="00C71D7A" w:rsidRDefault="00E5331C">
      <w:pPr>
        <w:spacing w:line="360" w:lineRule="auto"/>
        <w:ind w:left="720"/>
        <w:jc w:val="both"/>
        <w:rPr>
          <w:rtl/>
        </w:rPr>
      </w:pPr>
      <w:r>
        <w:rPr>
          <w:rtl/>
        </w:rPr>
        <w:t>&lt;#3#&gt;</w:t>
      </w:r>
    </w:p>
    <w:p w14:paraId="082D8E12" w14:textId="77777777" w:rsidR="00C71D7A" w:rsidRDefault="00C71D7A">
      <w:pPr>
        <w:jc w:val="right"/>
        <w:rPr>
          <w:rtl/>
        </w:rPr>
      </w:pPr>
    </w:p>
    <w:p w14:paraId="56AFF0D9" w14:textId="77777777" w:rsidR="00C71D7A" w:rsidRDefault="00E5331C">
      <w:pPr>
        <w:spacing w:line="360" w:lineRule="auto"/>
        <w:rPr>
          <w:rtl/>
        </w:rPr>
      </w:pPr>
      <w:r>
        <w:rPr>
          <w:rFonts w:hint="cs"/>
          <w:b/>
          <w:bCs/>
          <w:rtl/>
        </w:rPr>
        <w:t xml:space="preserve">ניתנה והודעה היום </w:t>
      </w:r>
      <w:r>
        <w:rPr>
          <w:rFonts w:hint="cs"/>
          <w:rtl/>
        </w:rPr>
        <w:t>י"א תמוז תשע"ד</w:t>
      </w:r>
      <w:r>
        <w:rPr>
          <w:rFonts w:hint="cs"/>
          <w:b/>
          <w:bCs/>
          <w:rtl/>
        </w:rPr>
        <w:t xml:space="preserve">, </w:t>
      </w:r>
      <w:r>
        <w:rPr>
          <w:rFonts w:hint="cs"/>
          <w:rtl/>
        </w:rPr>
        <w:t>09/07/2014</w:t>
      </w:r>
      <w:r>
        <w:rPr>
          <w:rFonts w:hint="cs"/>
          <w:b/>
          <w:bCs/>
          <w:rtl/>
        </w:rPr>
        <w:t xml:space="preserve"> במעמד הנוכחים.</w:t>
      </w:r>
    </w:p>
    <w:p w14:paraId="36B7AA65" w14:textId="77777777" w:rsidR="00C71D7A" w:rsidRDefault="00C71D7A">
      <w:pPr>
        <w:jc w:val="center"/>
        <w:rPr>
          <w:rtl/>
        </w:rPr>
      </w:pPr>
    </w:p>
    <w:p w14:paraId="3F10BE4E" w14:textId="77777777" w:rsidR="00C71D7A" w:rsidRDefault="00C71D7A">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71D7A" w14:paraId="068E43A7" w14:textId="77777777">
        <w:trPr>
          <w:trHeight w:val="364"/>
          <w:jc w:val="right"/>
        </w:trPr>
        <w:tc>
          <w:tcPr>
            <w:tcW w:w="3708" w:type="dxa"/>
          </w:tcPr>
          <w:p w14:paraId="00619978" w14:textId="77777777" w:rsidR="00C71D7A" w:rsidRDefault="00C71D7A">
            <w:pPr>
              <w:jc w:val="center"/>
              <w:rPr>
                <w:rFonts w:ascii="Times New Roman" w:eastAsia="Times New Roman" w:hAnsi="Times New Roman" w:cs="Times New Roman"/>
              </w:rPr>
            </w:pPr>
          </w:p>
          <w:p w14:paraId="3B494FFC" w14:textId="77777777" w:rsidR="00C71D7A" w:rsidRDefault="00C71D7A">
            <w:pPr>
              <w:jc w:val="center"/>
              <w:rPr>
                <w:rFonts w:ascii="Times New Roman" w:eastAsia="Times New Roman" w:hAnsi="Times New Roman" w:cs="Times New Roman"/>
                <w:rtl/>
              </w:rPr>
            </w:pPr>
          </w:p>
        </w:tc>
      </w:tr>
      <w:tr w:rsidR="00C71D7A" w14:paraId="3D2D575D" w14:textId="77777777">
        <w:trPr>
          <w:trHeight w:val="415"/>
          <w:jc w:val="right"/>
        </w:trPr>
        <w:tc>
          <w:tcPr>
            <w:tcW w:w="3708" w:type="dxa"/>
          </w:tcPr>
          <w:p w14:paraId="1AC61C03" w14:textId="77777777" w:rsidR="00C71D7A" w:rsidRDefault="00E5331C">
            <w:pPr>
              <w:jc w:val="center"/>
              <w:rPr>
                <w:rFonts w:ascii="Times New Roman" w:eastAsia="Times New Roman" w:hAnsi="Times New Roman"/>
                <w:b/>
                <w:bCs/>
                <w:rtl/>
              </w:rPr>
            </w:pPr>
            <w:r>
              <w:rPr>
                <w:rFonts w:ascii="Times New Roman" w:eastAsia="Times New Roman" w:hAnsi="Times New Roman" w:hint="cs"/>
                <w:rtl/>
              </w:rPr>
              <w:t>גלית</w:t>
            </w:r>
            <w:r>
              <w:rPr>
                <w:rFonts w:ascii="Times New Roman" w:eastAsia="Times New Roman" w:hAnsi="Times New Roman" w:hint="cs"/>
                <w:b/>
                <w:bCs/>
                <w:rtl/>
              </w:rPr>
              <w:t xml:space="preserve"> </w:t>
            </w:r>
            <w:r>
              <w:rPr>
                <w:rFonts w:ascii="Times New Roman" w:eastAsia="Times New Roman" w:hAnsi="Times New Roman" w:hint="cs"/>
                <w:rtl/>
              </w:rPr>
              <w:t>ציגלר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0F7D4E13" w14:textId="77777777" w:rsidR="00C71D7A" w:rsidRDefault="00E5331C">
      <w:pPr>
        <w:spacing w:line="360" w:lineRule="auto"/>
        <w:jc w:val="center"/>
        <w:rPr>
          <w:rFonts w:ascii="Arial" w:hAnsi="Arial"/>
          <w:b/>
          <w:bCs/>
          <w:u w:val="single"/>
          <w:rtl/>
        </w:rPr>
      </w:pPr>
      <w:r>
        <w:rPr>
          <w:rFonts w:ascii="Arial" w:hAnsi="Arial"/>
          <w:b/>
          <w:bCs/>
          <w:u w:val="single"/>
          <w:rtl/>
        </w:rPr>
        <w:t>החלטה</w:t>
      </w:r>
    </w:p>
    <w:p w14:paraId="5528E6B9" w14:textId="77777777" w:rsidR="00C71D7A" w:rsidRDefault="00C71D7A">
      <w:pPr>
        <w:spacing w:line="360" w:lineRule="auto"/>
        <w:jc w:val="both"/>
        <w:rPr>
          <w:rtl/>
        </w:rPr>
      </w:pPr>
    </w:p>
    <w:p w14:paraId="1D282D69" w14:textId="77777777" w:rsidR="00C71D7A" w:rsidRDefault="00E5331C">
      <w:pPr>
        <w:spacing w:line="360" w:lineRule="auto"/>
        <w:jc w:val="both"/>
        <w:rPr>
          <w:rtl/>
        </w:rPr>
      </w:pPr>
      <w:r>
        <w:rPr>
          <w:rFonts w:hint="cs"/>
          <w:rtl/>
        </w:rPr>
        <w:t>לבקשת הנאשם ובהסכמת התביעה אני מורה על עיכוב ביצוע גזר הדין, וזאת עד יום 10.8.14.</w:t>
      </w:r>
    </w:p>
    <w:p w14:paraId="2962E5B2" w14:textId="77777777" w:rsidR="00C71D7A" w:rsidRDefault="00E5331C">
      <w:pPr>
        <w:spacing w:line="360" w:lineRule="auto"/>
        <w:jc w:val="both"/>
        <w:rPr>
          <w:rtl/>
        </w:rPr>
      </w:pPr>
      <w:r>
        <w:rPr>
          <w:rFonts w:hint="cs"/>
          <w:rtl/>
        </w:rPr>
        <w:t>על הנאשם להתייצב במועד זה בימ"ר הדרים, בשעה 08:30, כאשר הוא רשאי לעשות מיון מוקדם על מנת להקל על קליטתו בכלא.</w:t>
      </w:r>
    </w:p>
    <w:p w14:paraId="52129B41" w14:textId="77777777" w:rsidR="00C71D7A" w:rsidRDefault="00C71D7A">
      <w:pPr>
        <w:spacing w:line="360" w:lineRule="auto"/>
        <w:jc w:val="both"/>
        <w:rPr>
          <w:rtl/>
        </w:rPr>
      </w:pPr>
    </w:p>
    <w:p w14:paraId="2EDAF24B" w14:textId="77777777" w:rsidR="00C71D7A" w:rsidRDefault="00E5331C">
      <w:pPr>
        <w:spacing w:line="360" w:lineRule="auto"/>
        <w:jc w:val="both"/>
        <w:rPr>
          <w:rtl/>
        </w:rPr>
      </w:pPr>
      <w:r>
        <w:rPr>
          <w:rFonts w:hint="cs"/>
          <w:rtl/>
        </w:rPr>
        <w:t>העיכוב כפוף לצו עיכוב יציאה מהארץ, חתימה על ערבות עצמית בסך 15,000 ₪ וערבות צד ג' של אישתו, גב' בתיה חן על סך 15,000 ₪ אשר יכול ותיחתם עד מחר 10.7.14 בשעה 12:00.</w:t>
      </w:r>
    </w:p>
    <w:p w14:paraId="208DED62" w14:textId="77777777" w:rsidR="00C71D7A" w:rsidRDefault="00C71D7A">
      <w:pPr>
        <w:spacing w:line="360" w:lineRule="auto"/>
        <w:jc w:val="both"/>
        <w:rPr>
          <w:rtl/>
        </w:rPr>
      </w:pPr>
    </w:p>
    <w:p w14:paraId="7FD87CAC" w14:textId="77777777" w:rsidR="00C71D7A" w:rsidRDefault="00E5331C">
      <w:pPr>
        <w:spacing w:line="360" w:lineRule="auto"/>
        <w:jc w:val="both"/>
        <w:rPr>
          <w:rtl/>
        </w:rPr>
      </w:pPr>
      <w:r>
        <w:rPr>
          <w:rFonts w:hint="cs"/>
          <w:rtl/>
        </w:rPr>
        <w:t>לא תיחתם הערבות יבוטל העיכוב.</w:t>
      </w:r>
    </w:p>
    <w:p w14:paraId="2F33DBE7" w14:textId="77777777" w:rsidR="00C71D7A" w:rsidRDefault="00E5331C">
      <w:pPr>
        <w:spacing w:line="360" w:lineRule="auto"/>
        <w:jc w:val="both"/>
        <w:rPr>
          <w:rtl/>
        </w:rPr>
      </w:pPr>
      <w:r>
        <w:rPr>
          <w:rtl/>
        </w:rPr>
        <w:t xml:space="preserve"> </w:t>
      </w:r>
    </w:p>
    <w:p w14:paraId="73880BD9" w14:textId="77777777" w:rsidR="00C71D7A" w:rsidRDefault="00E5331C">
      <w:pPr>
        <w:spacing w:line="360" w:lineRule="auto"/>
        <w:jc w:val="both"/>
        <w:rPr>
          <w:sz w:val="6"/>
          <w:szCs w:val="6"/>
          <w:rtl/>
        </w:rPr>
      </w:pPr>
      <w:r>
        <w:rPr>
          <w:sz w:val="6"/>
          <w:szCs w:val="6"/>
          <w:rtl/>
        </w:rPr>
        <w:t>&lt;#5#&gt;</w:t>
      </w:r>
    </w:p>
    <w:p w14:paraId="453B895B" w14:textId="77777777" w:rsidR="00C71D7A" w:rsidRDefault="00C71D7A">
      <w:pPr>
        <w:jc w:val="right"/>
        <w:rPr>
          <w:rtl/>
        </w:rPr>
      </w:pPr>
    </w:p>
    <w:p w14:paraId="181135E9" w14:textId="77777777" w:rsidR="00C71D7A" w:rsidRDefault="00E5331C">
      <w:pPr>
        <w:jc w:val="center"/>
        <w:rPr>
          <w:rFonts w:hint="cs"/>
          <w:rtl/>
        </w:rPr>
      </w:pPr>
      <w:r w:rsidRPr="00E5331C">
        <w:rPr>
          <w:b/>
          <w:bCs/>
          <w:color w:val="FFFFFF"/>
          <w:sz w:val="2"/>
          <w:szCs w:val="2"/>
          <w:rtl/>
        </w:rPr>
        <w:t>5129371</w:t>
      </w:r>
      <w:r>
        <w:rPr>
          <w:b/>
          <w:bCs/>
          <w:rtl/>
        </w:rPr>
        <w:t xml:space="preserve">ניתנה והודעה היום י"א תמוז תשע"ד, 09/07/2014 במעמד הנוכחים. </w:t>
      </w:r>
    </w:p>
    <w:p w14:paraId="674DFAEB" w14:textId="77777777" w:rsidR="00ED79FA" w:rsidRDefault="00ED79FA">
      <w:pPr>
        <w:jc w:val="center"/>
        <w:rPr>
          <w:rFonts w:hint="cs"/>
          <w:rtl/>
        </w:rPr>
      </w:pPr>
    </w:p>
    <w:p w14:paraId="359FE9F4" w14:textId="77777777" w:rsidR="00ED79FA" w:rsidRDefault="00ED79FA">
      <w:pPr>
        <w:jc w:val="center"/>
        <w:rPr>
          <w:rFonts w:hint="cs"/>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71D7A" w14:paraId="42250DE7" w14:textId="77777777">
        <w:trPr>
          <w:trHeight w:val="364"/>
          <w:jc w:val="right"/>
        </w:trPr>
        <w:tc>
          <w:tcPr>
            <w:tcW w:w="3708" w:type="dxa"/>
          </w:tcPr>
          <w:p w14:paraId="52DF14A6" w14:textId="77777777" w:rsidR="00C71D7A" w:rsidRPr="00E5331C" w:rsidRDefault="00E5331C">
            <w:pPr>
              <w:jc w:val="center"/>
              <w:rPr>
                <w:rFonts w:ascii="Times New Roman" w:eastAsia="Times New Roman" w:hAnsi="Times New Roman" w:cs="Times New Roman"/>
                <w:color w:val="FFFFFF"/>
                <w:sz w:val="2"/>
                <w:szCs w:val="2"/>
              </w:rPr>
            </w:pPr>
            <w:r w:rsidRPr="00E5331C">
              <w:rPr>
                <w:rFonts w:ascii="Times New Roman" w:eastAsia="Times New Roman" w:hAnsi="Times New Roman" w:cs="Times New Roman"/>
                <w:color w:val="FFFFFF"/>
                <w:sz w:val="2"/>
                <w:szCs w:val="2"/>
                <w:rtl/>
              </w:rPr>
              <w:t>54678313</w:t>
            </w:r>
          </w:p>
          <w:p w14:paraId="53280A6E" w14:textId="77777777" w:rsidR="00C71D7A" w:rsidRDefault="00C71D7A">
            <w:pPr>
              <w:jc w:val="center"/>
              <w:rPr>
                <w:rFonts w:ascii="Times New Roman" w:eastAsia="Times New Roman" w:hAnsi="Times New Roman" w:cs="Times New Roman"/>
                <w:rtl/>
              </w:rPr>
            </w:pPr>
          </w:p>
        </w:tc>
      </w:tr>
      <w:tr w:rsidR="00C71D7A" w14:paraId="05E47B95" w14:textId="77777777">
        <w:trPr>
          <w:trHeight w:val="415"/>
          <w:jc w:val="right"/>
        </w:trPr>
        <w:tc>
          <w:tcPr>
            <w:tcW w:w="3708" w:type="dxa"/>
          </w:tcPr>
          <w:p w14:paraId="22933EFF" w14:textId="77777777" w:rsidR="00C71D7A" w:rsidRDefault="00E5331C">
            <w:pPr>
              <w:jc w:val="center"/>
              <w:rPr>
                <w:rFonts w:ascii="Times New Roman" w:eastAsia="Times New Roman" w:hAnsi="Times New Roman"/>
                <w:b/>
                <w:bCs/>
                <w:rtl/>
              </w:rPr>
            </w:pPr>
            <w:r>
              <w:rPr>
                <w:rFonts w:ascii="Times New Roman" w:eastAsia="Times New Roman" w:hAnsi="Times New Roman" w:hint="cs"/>
                <w:rtl/>
              </w:rPr>
              <w:t>גלית</w:t>
            </w:r>
            <w:r>
              <w:rPr>
                <w:rFonts w:ascii="Times New Roman" w:eastAsia="Times New Roman" w:hAnsi="Times New Roman" w:hint="cs"/>
                <w:b/>
                <w:bCs/>
                <w:rtl/>
              </w:rPr>
              <w:t xml:space="preserve"> </w:t>
            </w:r>
            <w:r>
              <w:rPr>
                <w:rFonts w:ascii="Times New Roman" w:eastAsia="Times New Roman" w:hAnsi="Times New Roman" w:hint="cs"/>
                <w:rtl/>
              </w:rPr>
              <w:t>ציגלר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2965A66C" w14:textId="77777777" w:rsidR="00C71D7A" w:rsidRDefault="00C71D7A">
      <w:pPr>
        <w:jc w:val="right"/>
        <w:rPr>
          <w:rtl/>
        </w:rPr>
      </w:pPr>
    </w:p>
    <w:p w14:paraId="3BAE45EA" w14:textId="77777777" w:rsidR="00C71D7A" w:rsidRDefault="00C71D7A">
      <w:pPr>
        <w:jc w:val="center"/>
        <w:rPr>
          <w:rtl/>
        </w:rPr>
      </w:pPr>
    </w:p>
    <w:p w14:paraId="27BD0331" w14:textId="77777777" w:rsidR="00C71D7A" w:rsidRDefault="00C71D7A">
      <w:pPr>
        <w:spacing w:line="360" w:lineRule="auto"/>
        <w:jc w:val="center"/>
        <w:rPr>
          <w:rtl/>
        </w:rPr>
      </w:pPr>
    </w:p>
    <w:p w14:paraId="193038D5" w14:textId="77777777" w:rsidR="00C71D7A" w:rsidRDefault="00E5331C">
      <w:pPr>
        <w:spacing w:line="360" w:lineRule="auto"/>
        <w:jc w:val="both"/>
        <w:rPr>
          <w:rtl/>
        </w:rPr>
      </w:pPr>
      <w:bookmarkStart w:id="8" w:name="_GoBack"/>
      <w:bookmarkEnd w:id="8"/>
      <w:r>
        <w:rPr>
          <w:rtl/>
        </w:rPr>
        <w:t xml:space="preserve"> </w:t>
      </w:r>
    </w:p>
    <w:p w14:paraId="6A010889" w14:textId="77777777" w:rsidR="00C71D7A" w:rsidRDefault="00E5331C">
      <w:r>
        <w:rPr>
          <w:rtl/>
        </w:rPr>
        <w:t>הוקלד</w:t>
      </w:r>
      <w:r>
        <w:t xml:space="preserve"> </w:t>
      </w:r>
      <w:r>
        <w:rPr>
          <w:rtl/>
        </w:rPr>
        <w:t>על</w:t>
      </w:r>
      <w:r>
        <w:t xml:space="preserve"> </w:t>
      </w:r>
      <w:r>
        <w:rPr>
          <w:rtl/>
        </w:rPr>
        <w:t>ידי</w:t>
      </w:r>
      <w:r>
        <w:t xml:space="preserve"> </w:t>
      </w:r>
      <w:r>
        <w:rPr>
          <w:rtl/>
        </w:rPr>
        <w:t>אורית</w:t>
      </w:r>
      <w:r>
        <w:t xml:space="preserve"> </w:t>
      </w:r>
      <w:r>
        <w:rPr>
          <w:rtl/>
        </w:rPr>
        <w:t>זיתוני</w:t>
      </w:r>
    </w:p>
    <w:p w14:paraId="44B162B6" w14:textId="77777777" w:rsidR="00E5331C" w:rsidRPr="00E5331C" w:rsidRDefault="00E5331C" w:rsidP="00E5331C">
      <w:pPr>
        <w:keepNext/>
        <w:rPr>
          <w:color w:val="000000"/>
          <w:sz w:val="22"/>
          <w:szCs w:val="22"/>
          <w:rtl/>
        </w:rPr>
      </w:pPr>
    </w:p>
    <w:p w14:paraId="6424AC05" w14:textId="77777777" w:rsidR="00E5331C" w:rsidRPr="00E5331C" w:rsidRDefault="00E5331C" w:rsidP="00E5331C">
      <w:pPr>
        <w:keepNext/>
        <w:rPr>
          <w:color w:val="000000"/>
          <w:sz w:val="22"/>
          <w:szCs w:val="22"/>
          <w:rtl/>
        </w:rPr>
      </w:pPr>
      <w:r w:rsidRPr="00E5331C">
        <w:rPr>
          <w:color w:val="000000"/>
          <w:sz w:val="22"/>
          <w:szCs w:val="22"/>
          <w:rtl/>
        </w:rPr>
        <w:t>גלית ציגלר 54678313</w:t>
      </w:r>
    </w:p>
    <w:p w14:paraId="6DE815BA" w14:textId="77777777" w:rsidR="00E5331C" w:rsidRDefault="00E5331C" w:rsidP="00E5331C">
      <w:r w:rsidRPr="00E5331C">
        <w:rPr>
          <w:color w:val="000000"/>
          <w:rtl/>
        </w:rPr>
        <w:t>נוסח מסמך זה כפוף לשינויי ניסוח ועריכה</w:t>
      </w:r>
    </w:p>
    <w:p w14:paraId="7B967F92" w14:textId="77777777" w:rsidR="00E5331C" w:rsidRDefault="00E5331C" w:rsidP="00E5331C">
      <w:pPr>
        <w:rPr>
          <w:rtl/>
        </w:rPr>
      </w:pPr>
    </w:p>
    <w:p w14:paraId="57A8FFBF" w14:textId="77777777" w:rsidR="00E5331C" w:rsidRDefault="00E5331C" w:rsidP="00E5331C">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9681809" w14:textId="77777777" w:rsidR="00C71D7A" w:rsidRPr="00E5331C" w:rsidRDefault="00C71D7A" w:rsidP="00E5331C">
      <w:pPr>
        <w:jc w:val="center"/>
        <w:rPr>
          <w:color w:val="0000FF"/>
          <w:u w:val="single"/>
        </w:rPr>
      </w:pPr>
    </w:p>
    <w:sectPr w:rsidR="00C71D7A" w:rsidRPr="00E5331C" w:rsidSect="00E5331C">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13177" w14:textId="77777777" w:rsidR="00AE6007" w:rsidRDefault="00AE6007">
      <w:r>
        <w:separator/>
      </w:r>
    </w:p>
  </w:endnote>
  <w:endnote w:type="continuationSeparator" w:id="0">
    <w:p w14:paraId="7A937320" w14:textId="77777777" w:rsidR="00AE6007" w:rsidRDefault="00AE6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832CC" w14:textId="77777777" w:rsidR="00E5331C" w:rsidRDefault="00E5331C" w:rsidP="00E5331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29</w:t>
    </w:r>
    <w:r>
      <w:rPr>
        <w:rFonts w:ascii="FrankRuehl" w:hAnsi="FrankRuehl" w:cs="FrankRuehl"/>
        <w:rtl/>
      </w:rPr>
      <w:fldChar w:fldCharType="end"/>
    </w:r>
  </w:p>
  <w:p w14:paraId="0C9181B9" w14:textId="77777777" w:rsidR="00C71D7A" w:rsidRPr="00E5331C" w:rsidRDefault="00E5331C" w:rsidP="00E5331C">
    <w:pPr>
      <w:pStyle w:val="a6"/>
      <w:pBdr>
        <w:top w:val="single" w:sz="4" w:space="1" w:color="auto"/>
        <w:between w:val="single" w:sz="4" w:space="0" w:color="auto"/>
      </w:pBdr>
      <w:spacing w:after="60"/>
      <w:jc w:val="center"/>
      <w:rPr>
        <w:rFonts w:ascii="FrankRuehl" w:hAnsi="FrankRuehl" w:cs="FrankRuehl"/>
        <w:color w:val="000000"/>
      </w:rPr>
    </w:pPr>
    <w:r w:rsidRPr="00E533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10131" w14:textId="77777777" w:rsidR="00E5331C" w:rsidRDefault="00E5331C" w:rsidP="00E5331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55D5">
      <w:rPr>
        <w:rFonts w:ascii="FrankRuehl" w:hAnsi="FrankRuehl" w:cs="FrankRuehl"/>
        <w:noProof/>
        <w:rtl/>
      </w:rPr>
      <w:t>5</w:t>
    </w:r>
    <w:r>
      <w:rPr>
        <w:rFonts w:ascii="FrankRuehl" w:hAnsi="FrankRuehl" w:cs="FrankRuehl"/>
        <w:rtl/>
      </w:rPr>
      <w:fldChar w:fldCharType="end"/>
    </w:r>
  </w:p>
  <w:p w14:paraId="52F76A99" w14:textId="77777777" w:rsidR="00C71D7A" w:rsidRPr="00E5331C" w:rsidRDefault="00E5331C" w:rsidP="00E5331C">
    <w:pPr>
      <w:pStyle w:val="a6"/>
      <w:pBdr>
        <w:top w:val="single" w:sz="4" w:space="1" w:color="auto"/>
        <w:between w:val="single" w:sz="4" w:space="0" w:color="auto"/>
      </w:pBdr>
      <w:spacing w:after="60"/>
      <w:jc w:val="center"/>
      <w:rPr>
        <w:rFonts w:ascii="FrankRuehl" w:hAnsi="FrankRuehl" w:cs="FrankRuehl"/>
        <w:color w:val="000000"/>
      </w:rPr>
    </w:pPr>
    <w:r w:rsidRPr="00E5331C">
      <w:rPr>
        <w:rFonts w:ascii="FrankRuehl" w:hAnsi="FrankRuehl" w:cs="FrankRuehl"/>
        <w:color w:val="000000"/>
      </w:rPr>
      <w:pict w14:anchorId="6CF43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85E8A" w14:textId="77777777" w:rsidR="00AE6007" w:rsidRDefault="00AE6007">
      <w:r>
        <w:separator/>
      </w:r>
    </w:p>
  </w:footnote>
  <w:footnote w:type="continuationSeparator" w:id="0">
    <w:p w14:paraId="52C27341" w14:textId="77777777" w:rsidR="00AE6007" w:rsidRDefault="00AE6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62147" w14:textId="77777777" w:rsidR="00E5331C" w:rsidRPr="00E5331C" w:rsidRDefault="00E5331C" w:rsidP="00E5331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49441-09-11</w:t>
    </w:r>
    <w:r>
      <w:rPr>
        <w:color w:val="000000"/>
        <w:sz w:val="22"/>
        <w:szCs w:val="22"/>
        <w:rtl/>
      </w:rPr>
      <w:tab/>
      <w:t xml:space="preserve"> מדינת ישראל נ' חן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AE2F8" w14:textId="77777777" w:rsidR="00E5331C" w:rsidRPr="00E5331C" w:rsidRDefault="00E5331C" w:rsidP="00E5331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49441-09-11</w:t>
    </w:r>
    <w:r>
      <w:rPr>
        <w:color w:val="000000"/>
        <w:sz w:val="22"/>
        <w:szCs w:val="22"/>
        <w:rtl/>
      </w:rPr>
      <w:tab/>
      <w:t xml:space="preserve"> מדינת ישראל נ' חן יעקב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1D7A"/>
    <w:rsid w:val="003955D5"/>
    <w:rsid w:val="00A1422F"/>
    <w:rsid w:val="00A54515"/>
    <w:rsid w:val="00AE6007"/>
    <w:rsid w:val="00C71D7A"/>
    <w:rsid w:val="00E5331C"/>
    <w:rsid w:val="00ED79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8215BF"/>
  <w15:chartTrackingRefBased/>
  <w15:docId w15:val="{6F566AD2-81A0-4D12-B517-46A738D5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1D7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71D7A"/>
  </w:style>
  <w:style w:type="paragraph" w:styleId="a4">
    <w:name w:val="header"/>
    <w:basedOn w:val="a"/>
    <w:link w:val="a5"/>
    <w:rsid w:val="00C71D7A"/>
    <w:pPr>
      <w:tabs>
        <w:tab w:val="center" w:pos="4153"/>
        <w:tab w:val="right" w:pos="8306"/>
      </w:tabs>
    </w:pPr>
  </w:style>
  <w:style w:type="paragraph" w:styleId="a6">
    <w:name w:val="footer"/>
    <w:basedOn w:val="a"/>
    <w:rsid w:val="00C71D7A"/>
    <w:pPr>
      <w:tabs>
        <w:tab w:val="center" w:pos="4153"/>
        <w:tab w:val="right" w:pos="8306"/>
      </w:tabs>
    </w:pPr>
  </w:style>
  <w:style w:type="character" w:styleId="a7">
    <w:name w:val="page number"/>
    <w:basedOn w:val="a0"/>
    <w:rsid w:val="00C71D7A"/>
  </w:style>
  <w:style w:type="character" w:customStyle="1" w:styleId="TimesNewRomanTimesNewRoman">
    <w:name w:val="סגנון (לטיני) Times New Roman (עברית ושפות אחרות) Times New Roman..."/>
    <w:basedOn w:val="a0"/>
    <w:rsid w:val="00C71D7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C71D7A"/>
    <w:rPr>
      <w:rFonts w:ascii="Times New Roman" w:eastAsia="Times New Roman" w:hAnsi="Times New Roman"/>
      <w:b/>
      <w:bCs/>
      <w:u w:val="single"/>
    </w:rPr>
  </w:style>
  <w:style w:type="character" w:customStyle="1" w:styleId="a5">
    <w:name w:val="כותרת עליונה תו"/>
    <w:basedOn w:val="a0"/>
    <w:link w:val="a4"/>
    <w:rsid w:val="00C71D7A"/>
    <w:rPr>
      <w:rFonts w:ascii="David" w:eastAsia="David" w:hAnsi="David" w:cs="David"/>
      <w:sz w:val="24"/>
      <w:szCs w:val="24"/>
      <w:lang w:val="en-US" w:eastAsia="en-US" w:bidi="he-IL"/>
    </w:rPr>
  </w:style>
  <w:style w:type="character" w:styleId="Hyperlink">
    <w:name w:val="Hyperlink"/>
    <w:basedOn w:val="a0"/>
    <w:rsid w:val="00E533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5997858"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inks/psika/?link=&#1514;&#1508;%201108/09"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 TargetMode="External"/><Relationship Id="rId17" Type="http://schemas.openxmlformats.org/officeDocument/2006/relationships/hyperlink" Target="http://www.nevo.co.il/links/psika/?link=&#1514;&#1508;%203873/08"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590169"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c.b" TargetMode="External"/><Relationship Id="rId24"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law/70301/186.a"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70301/186.a" TargetMode="External"/><Relationship Id="rId19" Type="http://schemas.openxmlformats.org/officeDocument/2006/relationships/hyperlink" Target="http://www.nevo.co.il/case/5980328"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jc.b"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8278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6553637</vt:i4>
      </vt:variant>
      <vt:variant>
        <vt:i4>48</vt:i4>
      </vt:variant>
      <vt:variant>
        <vt:i4>0</vt:i4>
      </vt:variant>
      <vt:variant>
        <vt:i4>5</vt:i4>
      </vt:variant>
      <vt:variant>
        <vt:lpwstr>http://www.nevo.co.il/law/70301/40jc.b</vt:lpwstr>
      </vt:variant>
      <vt:variant>
        <vt:lpwstr/>
      </vt:variant>
      <vt:variant>
        <vt:i4>98698684</vt:i4>
      </vt:variant>
      <vt:variant>
        <vt:i4>45</vt:i4>
      </vt:variant>
      <vt:variant>
        <vt:i4>0</vt:i4>
      </vt:variant>
      <vt:variant>
        <vt:i4>5</vt:i4>
      </vt:variant>
      <vt:variant>
        <vt:lpwstr>http://www.nevo.co.il/links/psika/?link=תפ 1108/09</vt:lpwstr>
      </vt:variant>
      <vt:variant>
        <vt:lpwstr/>
      </vt:variant>
      <vt:variant>
        <vt:i4>3407991</vt:i4>
      </vt:variant>
      <vt:variant>
        <vt:i4>42</vt:i4>
      </vt:variant>
      <vt:variant>
        <vt:i4>0</vt:i4>
      </vt:variant>
      <vt:variant>
        <vt:i4>5</vt:i4>
      </vt:variant>
      <vt:variant>
        <vt:lpwstr>http://www.nevo.co.il/case/5590169</vt:lpwstr>
      </vt:variant>
      <vt:variant>
        <vt:lpwstr/>
      </vt:variant>
      <vt:variant>
        <vt:i4>3539071</vt:i4>
      </vt:variant>
      <vt:variant>
        <vt:i4>39</vt:i4>
      </vt:variant>
      <vt:variant>
        <vt:i4>0</vt:i4>
      </vt:variant>
      <vt:variant>
        <vt:i4>5</vt:i4>
      </vt:variant>
      <vt:variant>
        <vt:lpwstr>http://www.nevo.co.il/case/5980328</vt:lpwstr>
      </vt:variant>
      <vt:variant>
        <vt:lpwstr/>
      </vt:variant>
      <vt:variant>
        <vt:i4>3932287</vt:i4>
      </vt:variant>
      <vt:variant>
        <vt:i4>36</vt:i4>
      </vt:variant>
      <vt:variant>
        <vt:i4>0</vt:i4>
      </vt:variant>
      <vt:variant>
        <vt:i4>5</vt:i4>
      </vt:variant>
      <vt:variant>
        <vt:lpwstr>http://www.nevo.co.il/case/5997858</vt:lpwstr>
      </vt:variant>
      <vt:variant>
        <vt:lpwstr/>
      </vt:variant>
      <vt:variant>
        <vt:i4>98960830</vt:i4>
      </vt:variant>
      <vt:variant>
        <vt:i4>33</vt:i4>
      </vt:variant>
      <vt:variant>
        <vt:i4>0</vt:i4>
      </vt:variant>
      <vt:variant>
        <vt:i4>5</vt:i4>
      </vt:variant>
      <vt:variant>
        <vt:lpwstr>http://www.nevo.co.il/links/psika/?link=תפ 3873/08</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49441</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חן יעקב</vt:lpwstr>
  </property>
  <property fmtid="{D5CDD505-2E9C-101B-9397-08002B2CF9AE}" pid="10" name="LAWYER">
    <vt:lpwstr>רונן גינגולד;עזר מבורך</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20140709</vt:lpwstr>
  </property>
  <property fmtid="{D5CDD505-2E9C-101B-9397-08002B2CF9AE}" pid="14" name="TYPE_N_DATE">
    <vt:lpwstr>38020140709</vt:lpwstr>
  </property>
  <property fmtid="{D5CDD505-2E9C-101B-9397-08002B2CF9AE}" pid="15" name="CASESLISTTMP1">
    <vt:lpwstr>5997858;5980328;5590169</vt:lpwstr>
  </property>
  <property fmtid="{D5CDD505-2E9C-101B-9397-08002B2CF9AE}" pid="16" name="CASENOTES1">
    <vt:lpwstr>ProcID=135&amp;PartA=18377&amp;PartB=08&amp;PartC=10</vt:lpwstr>
  </property>
  <property fmtid="{D5CDD505-2E9C-101B-9397-08002B2CF9AE}" pid="17" name="CASENOTES2">
    <vt:lpwstr>ProcID=209&amp;PartA=3873&amp;PartC=08</vt:lpwstr>
  </property>
  <property fmtid="{D5CDD505-2E9C-101B-9397-08002B2CF9AE}" pid="18" name="CASENOTES3">
    <vt:lpwstr>ProcID=209&amp;PartA=1108&amp;PartC=09</vt:lpwstr>
  </property>
  <property fmtid="{D5CDD505-2E9C-101B-9397-08002B2CF9AE}" pid="19" name="WORDNUMPAGES">
    <vt:lpwstr>5</vt:lpwstr>
  </property>
  <property fmtid="{D5CDD505-2E9C-101B-9397-08002B2CF9AE}" pid="20" name="TYPE_ABS_DATE">
    <vt:lpwstr>380020140709</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vt:lpwstr>
  </property>
  <property fmtid="{D5CDD505-2E9C-101B-9397-08002B2CF9AE}" pid="39" name="LAWLISTTMP2">
    <vt:lpwstr>70301/186.a;40jc.b</vt:lpwstr>
  </property>
  <property fmtid="{D5CDD505-2E9C-101B-9397-08002B2CF9AE}" pid="40" name="ISABSTRACT">
    <vt:lpwstr>Y</vt:lpwstr>
  </property>
</Properties>
</file>