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C78C7" w:rsidRPr="00641B6E" w14:paraId="00250635" w14:textId="77777777">
        <w:trPr>
          <w:trHeight w:hRule="exact" w:val="418"/>
          <w:jc w:val="center"/>
        </w:trPr>
        <w:tc>
          <w:tcPr>
            <w:tcW w:w="8720" w:type="dxa"/>
            <w:gridSpan w:val="3"/>
          </w:tcPr>
          <w:p w14:paraId="1313F830" w14:textId="77777777" w:rsidR="002C78C7" w:rsidRPr="00641B6E" w:rsidRDefault="00641B6E">
            <w:pPr>
              <w:pStyle w:val="a3"/>
              <w:tabs>
                <w:tab w:val="clear" w:pos="8306"/>
              </w:tabs>
              <w:jc w:val="center"/>
              <w:rPr>
                <w:rFonts w:ascii="Tahoma" w:hAnsi="Tahoma" w:cs="Tahoma"/>
                <w:b/>
                <w:bCs/>
                <w:color w:val="000080"/>
                <w:sz w:val="20"/>
                <w:szCs w:val="20"/>
                <w:rtl/>
              </w:rPr>
            </w:pPr>
            <w:bookmarkStart w:id="0" w:name="LastJudge"/>
            <w:r w:rsidRPr="00641B6E">
              <w:rPr>
                <w:rFonts w:ascii="Tahoma" w:hAnsi="Tahoma" w:cs="Tahoma"/>
                <w:b/>
                <w:bCs/>
                <w:color w:val="000080"/>
                <w:sz w:val="20"/>
                <w:szCs w:val="20"/>
                <w:rtl/>
              </w:rPr>
              <w:t>בית משפט השלום בנתניה</w:t>
            </w:r>
          </w:p>
        </w:tc>
      </w:tr>
      <w:tr w:rsidR="002C78C7" w:rsidRPr="00641B6E" w14:paraId="31C9152F" w14:textId="77777777">
        <w:trPr>
          <w:trHeight w:val="337"/>
          <w:jc w:val="center"/>
        </w:trPr>
        <w:tc>
          <w:tcPr>
            <w:tcW w:w="6396" w:type="dxa"/>
          </w:tcPr>
          <w:p w14:paraId="276BDEA5" w14:textId="77777777" w:rsidR="002C78C7" w:rsidRPr="00641B6E" w:rsidRDefault="00641B6E">
            <w:pPr>
              <w:rPr>
                <w:b/>
                <w:bCs/>
                <w:sz w:val="26"/>
                <w:szCs w:val="26"/>
                <w:rtl/>
              </w:rPr>
            </w:pPr>
            <w:r w:rsidRPr="00641B6E">
              <w:rPr>
                <w:b/>
                <w:bCs/>
                <w:sz w:val="26"/>
                <w:szCs w:val="26"/>
                <w:rtl/>
              </w:rPr>
              <w:t>ת"פ</w:t>
            </w:r>
            <w:r w:rsidRPr="00641B6E">
              <w:rPr>
                <w:rFonts w:hint="cs"/>
                <w:b/>
                <w:bCs/>
                <w:sz w:val="26"/>
                <w:szCs w:val="26"/>
                <w:rtl/>
              </w:rPr>
              <w:t xml:space="preserve"> </w:t>
            </w:r>
            <w:r w:rsidRPr="00641B6E">
              <w:rPr>
                <w:b/>
                <w:bCs/>
                <w:sz w:val="26"/>
                <w:szCs w:val="26"/>
                <w:rtl/>
              </w:rPr>
              <w:t>40152-10-11</w:t>
            </w:r>
            <w:r w:rsidRPr="00641B6E">
              <w:rPr>
                <w:rFonts w:hint="cs"/>
                <w:b/>
                <w:bCs/>
                <w:sz w:val="26"/>
                <w:szCs w:val="26"/>
                <w:rtl/>
              </w:rPr>
              <w:t xml:space="preserve"> </w:t>
            </w:r>
            <w:r w:rsidRPr="00641B6E">
              <w:rPr>
                <w:b/>
                <w:bCs/>
                <w:sz w:val="26"/>
                <w:szCs w:val="26"/>
                <w:rtl/>
              </w:rPr>
              <w:t>מדינת ישראל נ' מנגיסטו</w:t>
            </w:r>
          </w:p>
          <w:p w14:paraId="70492D0B" w14:textId="77777777" w:rsidR="002C78C7" w:rsidRPr="00641B6E" w:rsidRDefault="00641B6E">
            <w:pPr>
              <w:rPr>
                <w:b/>
                <w:bCs/>
                <w:sz w:val="26"/>
                <w:szCs w:val="26"/>
                <w:rtl/>
              </w:rPr>
            </w:pPr>
            <w:r w:rsidRPr="00641B6E">
              <w:rPr>
                <w:rFonts w:hint="cs"/>
                <w:b/>
                <w:bCs/>
                <w:sz w:val="26"/>
                <w:szCs w:val="26"/>
                <w:rtl/>
              </w:rPr>
              <w:t>ת"פ 33516-04-11</w:t>
            </w:r>
          </w:p>
          <w:p w14:paraId="4251E3B3" w14:textId="77777777" w:rsidR="002C78C7" w:rsidRPr="00641B6E" w:rsidRDefault="00641B6E">
            <w:pPr>
              <w:rPr>
                <w:b/>
                <w:bCs/>
                <w:sz w:val="26"/>
                <w:szCs w:val="26"/>
                <w:rtl/>
              </w:rPr>
            </w:pPr>
            <w:r w:rsidRPr="00641B6E">
              <w:rPr>
                <w:rFonts w:hint="cs"/>
                <w:b/>
                <w:bCs/>
                <w:sz w:val="26"/>
                <w:szCs w:val="26"/>
                <w:rtl/>
              </w:rPr>
              <w:t>ת"פ 7152-04-10</w:t>
            </w:r>
          </w:p>
        </w:tc>
        <w:tc>
          <w:tcPr>
            <w:tcW w:w="236" w:type="dxa"/>
          </w:tcPr>
          <w:p w14:paraId="5A9928A9" w14:textId="77777777" w:rsidR="002C78C7" w:rsidRPr="00641B6E" w:rsidRDefault="002C78C7">
            <w:pPr>
              <w:pStyle w:val="a3"/>
              <w:jc w:val="right"/>
              <w:rPr>
                <w:b/>
                <w:bCs/>
                <w:sz w:val="26"/>
                <w:szCs w:val="26"/>
                <w:rtl/>
              </w:rPr>
            </w:pPr>
          </w:p>
        </w:tc>
        <w:tc>
          <w:tcPr>
            <w:tcW w:w="2088" w:type="dxa"/>
          </w:tcPr>
          <w:p w14:paraId="40B9C50B" w14:textId="77777777" w:rsidR="002C78C7" w:rsidRPr="00641B6E" w:rsidRDefault="00641B6E">
            <w:pPr>
              <w:pStyle w:val="a3"/>
              <w:tabs>
                <w:tab w:val="clear" w:pos="4153"/>
              </w:tabs>
              <w:jc w:val="right"/>
              <w:rPr>
                <w:b/>
                <w:bCs/>
                <w:sz w:val="26"/>
                <w:szCs w:val="26"/>
                <w:rtl/>
              </w:rPr>
            </w:pPr>
            <w:r w:rsidRPr="00641B6E">
              <w:rPr>
                <w:b/>
                <w:bCs/>
                <w:sz w:val="26"/>
                <w:szCs w:val="26"/>
                <w:rtl/>
              </w:rPr>
              <w:t>16 ספטמבר 2013</w:t>
            </w:r>
          </w:p>
        </w:tc>
      </w:tr>
    </w:tbl>
    <w:p w14:paraId="0A3E6BEB" w14:textId="77777777" w:rsidR="002C78C7" w:rsidRPr="00641B6E" w:rsidRDefault="002C78C7">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2C78C7" w:rsidRPr="00641B6E" w14:paraId="0BEDEB8B" w14:textId="77777777">
        <w:trPr>
          <w:gridAfter w:val="1"/>
          <w:wAfter w:w="83" w:type="dxa"/>
        </w:trPr>
        <w:tc>
          <w:tcPr>
            <w:tcW w:w="8719" w:type="dxa"/>
            <w:gridSpan w:val="2"/>
          </w:tcPr>
          <w:p w14:paraId="17BEC08F" w14:textId="77777777" w:rsidR="002C78C7" w:rsidRPr="00641B6E" w:rsidRDefault="00641B6E">
            <w:pPr>
              <w:spacing w:line="360" w:lineRule="auto"/>
              <w:rPr>
                <w:rFonts w:ascii="Times New Roman" w:eastAsia="Times New Roman" w:hAnsi="Times New Roman"/>
                <w:b/>
                <w:bCs/>
                <w:sz w:val="26"/>
                <w:szCs w:val="26"/>
                <w:rtl/>
              </w:rPr>
            </w:pPr>
            <w:r w:rsidRPr="00641B6E">
              <w:rPr>
                <w:rFonts w:ascii="Times New Roman" w:eastAsia="Times New Roman" w:hAnsi="Times New Roman" w:hint="cs"/>
                <w:b/>
                <w:bCs/>
                <w:sz w:val="26"/>
                <w:szCs w:val="26"/>
                <w:rtl/>
              </w:rPr>
              <w:t>בפני כב' ה</w:t>
            </w:r>
            <w:r w:rsidRPr="00641B6E">
              <w:rPr>
                <w:rFonts w:ascii="Times New Roman" w:eastAsia="Times New Roman" w:hAnsi="Times New Roman" w:hint="cs"/>
                <w:sz w:val="26"/>
                <w:szCs w:val="26"/>
                <w:rtl/>
              </w:rPr>
              <w:t>שופטת גלית ציגלר</w:t>
            </w:r>
            <w:r w:rsidRPr="00641B6E">
              <w:rPr>
                <w:rStyle w:val="TimesNewRomanTimesNewRoman"/>
                <w:rFonts w:eastAsia="Times New Roman"/>
                <w:rtl/>
              </w:rPr>
              <w:t xml:space="preserve"> </w:t>
            </w:r>
          </w:p>
        </w:tc>
      </w:tr>
      <w:tr w:rsidR="002C78C7" w:rsidRPr="00641B6E" w14:paraId="2E2DC680" w14:textId="77777777">
        <w:tc>
          <w:tcPr>
            <w:tcW w:w="2880" w:type="dxa"/>
          </w:tcPr>
          <w:p w14:paraId="4171F2D0" w14:textId="77777777" w:rsidR="002C78C7" w:rsidRPr="00641B6E" w:rsidRDefault="00641B6E">
            <w:pPr>
              <w:ind w:left="26"/>
              <w:rPr>
                <w:rFonts w:ascii="Times New Roman" w:eastAsia="Times New Roman" w:hAnsi="Times New Roman"/>
                <w:b/>
                <w:bCs/>
                <w:sz w:val="26"/>
                <w:szCs w:val="26"/>
                <w:rtl/>
              </w:rPr>
            </w:pPr>
            <w:bookmarkStart w:id="1" w:name="FirstAppellant"/>
            <w:r w:rsidRPr="00641B6E">
              <w:rPr>
                <w:rFonts w:ascii="Times New Roman" w:eastAsia="Times New Roman" w:hAnsi="Times New Roman" w:hint="cs"/>
                <w:b/>
                <w:bCs/>
                <w:sz w:val="26"/>
                <w:szCs w:val="26"/>
                <w:rtl/>
              </w:rPr>
              <w:t>ה</w:t>
            </w:r>
            <w:r w:rsidRPr="00641B6E">
              <w:rPr>
                <w:rFonts w:ascii="Times New Roman" w:eastAsia="Times New Roman" w:hAnsi="Times New Roman" w:hint="cs"/>
                <w:sz w:val="26"/>
                <w:szCs w:val="26"/>
                <w:rtl/>
              </w:rPr>
              <w:t>מאשימה</w:t>
            </w:r>
          </w:p>
        </w:tc>
        <w:tc>
          <w:tcPr>
            <w:tcW w:w="5922" w:type="dxa"/>
            <w:gridSpan w:val="2"/>
          </w:tcPr>
          <w:p w14:paraId="4B7CDBB2" w14:textId="77777777" w:rsidR="002C78C7" w:rsidRPr="00641B6E" w:rsidRDefault="00641B6E">
            <w:pPr>
              <w:rPr>
                <w:rFonts w:ascii="Times New Roman" w:eastAsia="Times New Roman" w:hAnsi="Times New Roman"/>
                <w:b/>
                <w:bCs/>
                <w:sz w:val="26"/>
                <w:szCs w:val="26"/>
                <w:rtl/>
              </w:rPr>
            </w:pPr>
            <w:r w:rsidRPr="00641B6E">
              <w:rPr>
                <w:rFonts w:ascii="Times New Roman" w:eastAsia="Times New Roman" w:hAnsi="Times New Roman" w:hint="cs"/>
                <w:sz w:val="26"/>
                <w:szCs w:val="26"/>
                <w:rtl/>
              </w:rPr>
              <w:t>מדינת ישראל</w:t>
            </w:r>
          </w:p>
          <w:p w14:paraId="1005161B" w14:textId="77777777" w:rsidR="002C78C7" w:rsidRPr="00641B6E" w:rsidRDefault="002C78C7">
            <w:pPr>
              <w:rPr>
                <w:rFonts w:ascii="Times New Roman" w:eastAsia="Times New Roman" w:hAnsi="Times New Roman"/>
                <w:b/>
                <w:bCs/>
                <w:sz w:val="26"/>
                <w:szCs w:val="26"/>
                <w:rtl/>
              </w:rPr>
            </w:pPr>
          </w:p>
        </w:tc>
      </w:tr>
      <w:bookmarkEnd w:id="1"/>
      <w:tr w:rsidR="002C78C7" w:rsidRPr="00641B6E" w14:paraId="0FBBB0C3" w14:textId="77777777">
        <w:tc>
          <w:tcPr>
            <w:tcW w:w="8802" w:type="dxa"/>
            <w:gridSpan w:val="3"/>
          </w:tcPr>
          <w:p w14:paraId="2D24FB49" w14:textId="77777777" w:rsidR="002C78C7" w:rsidRPr="00641B6E" w:rsidRDefault="002C78C7">
            <w:pPr>
              <w:jc w:val="both"/>
              <w:rPr>
                <w:rFonts w:ascii="Arial" w:eastAsia="Times New Roman" w:hAnsi="Arial"/>
                <w:b/>
                <w:bCs/>
                <w:sz w:val="26"/>
                <w:szCs w:val="26"/>
                <w:rtl/>
              </w:rPr>
            </w:pPr>
          </w:p>
          <w:p w14:paraId="7EC8F0BD" w14:textId="77777777" w:rsidR="002C78C7" w:rsidRPr="00641B6E" w:rsidRDefault="00641B6E">
            <w:pPr>
              <w:jc w:val="center"/>
              <w:rPr>
                <w:rFonts w:ascii="Arial" w:eastAsia="Times New Roman" w:hAnsi="Arial"/>
                <w:b/>
                <w:bCs/>
                <w:sz w:val="26"/>
                <w:szCs w:val="26"/>
                <w:rtl/>
              </w:rPr>
            </w:pPr>
            <w:r w:rsidRPr="00641B6E">
              <w:rPr>
                <w:rFonts w:ascii="Arial" w:eastAsia="Times New Roman" w:hAnsi="Arial"/>
                <w:b/>
                <w:bCs/>
                <w:sz w:val="26"/>
                <w:szCs w:val="26"/>
                <w:rtl/>
              </w:rPr>
              <w:t>נגד</w:t>
            </w:r>
          </w:p>
          <w:p w14:paraId="7DC87EF6" w14:textId="77777777" w:rsidR="002C78C7" w:rsidRPr="00641B6E" w:rsidRDefault="002C78C7">
            <w:pPr>
              <w:jc w:val="center"/>
              <w:rPr>
                <w:rFonts w:ascii="Arial" w:eastAsia="Times New Roman" w:hAnsi="Arial"/>
                <w:b/>
                <w:bCs/>
                <w:sz w:val="26"/>
                <w:szCs w:val="26"/>
              </w:rPr>
            </w:pPr>
          </w:p>
        </w:tc>
      </w:tr>
      <w:tr w:rsidR="002C78C7" w:rsidRPr="00641B6E" w14:paraId="7474F81C" w14:textId="77777777">
        <w:tc>
          <w:tcPr>
            <w:tcW w:w="2880" w:type="dxa"/>
          </w:tcPr>
          <w:p w14:paraId="2E78D307" w14:textId="77777777" w:rsidR="002C78C7" w:rsidRPr="00641B6E" w:rsidRDefault="00641B6E">
            <w:pPr>
              <w:ind w:left="26"/>
              <w:rPr>
                <w:rFonts w:ascii="Times New Roman" w:eastAsia="Times New Roman" w:hAnsi="Times New Roman"/>
                <w:b/>
                <w:bCs/>
                <w:sz w:val="26"/>
                <w:szCs w:val="26"/>
                <w:rtl/>
              </w:rPr>
            </w:pPr>
            <w:r w:rsidRPr="00641B6E">
              <w:rPr>
                <w:rFonts w:ascii="Times New Roman" w:eastAsia="Times New Roman" w:hAnsi="Times New Roman" w:hint="cs"/>
                <w:b/>
                <w:bCs/>
                <w:sz w:val="26"/>
                <w:szCs w:val="26"/>
                <w:rtl/>
              </w:rPr>
              <w:t>ה</w:t>
            </w:r>
            <w:r w:rsidRPr="00641B6E">
              <w:rPr>
                <w:rFonts w:ascii="Times New Roman" w:eastAsia="Times New Roman" w:hAnsi="Times New Roman" w:hint="cs"/>
                <w:sz w:val="26"/>
                <w:szCs w:val="26"/>
                <w:rtl/>
              </w:rPr>
              <w:t>נאשם</w:t>
            </w:r>
          </w:p>
        </w:tc>
        <w:tc>
          <w:tcPr>
            <w:tcW w:w="5922" w:type="dxa"/>
            <w:gridSpan w:val="2"/>
          </w:tcPr>
          <w:p w14:paraId="6C447122" w14:textId="77777777" w:rsidR="002C78C7" w:rsidRPr="00641B6E" w:rsidRDefault="00641B6E">
            <w:pPr>
              <w:rPr>
                <w:rFonts w:ascii="Times New Roman" w:eastAsia="Times New Roman" w:hAnsi="Times New Roman"/>
                <w:b/>
                <w:bCs/>
                <w:sz w:val="26"/>
                <w:szCs w:val="26"/>
                <w:rtl/>
              </w:rPr>
            </w:pPr>
            <w:r w:rsidRPr="00641B6E">
              <w:rPr>
                <w:rFonts w:ascii="Times New Roman" w:eastAsia="Times New Roman" w:hAnsi="Times New Roman" w:hint="cs"/>
                <w:sz w:val="26"/>
                <w:szCs w:val="26"/>
                <w:rtl/>
              </w:rPr>
              <w:t>אביב מנגיסטו</w:t>
            </w:r>
          </w:p>
          <w:p w14:paraId="18B50B08" w14:textId="77777777" w:rsidR="002C78C7" w:rsidRPr="00641B6E" w:rsidRDefault="002C78C7">
            <w:pPr>
              <w:rPr>
                <w:rFonts w:ascii="Times New Roman" w:eastAsia="Times New Roman" w:hAnsi="Times New Roman"/>
                <w:b/>
                <w:bCs/>
                <w:sz w:val="26"/>
                <w:szCs w:val="26"/>
                <w:rtl/>
              </w:rPr>
            </w:pPr>
          </w:p>
        </w:tc>
      </w:tr>
    </w:tbl>
    <w:p w14:paraId="465F51F1" w14:textId="77777777" w:rsidR="002C78C7" w:rsidRPr="00641B6E" w:rsidRDefault="00641B6E">
      <w:pPr>
        <w:spacing w:line="360" w:lineRule="auto"/>
        <w:jc w:val="both"/>
        <w:rPr>
          <w:sz w:val="26"/>
          <w:szCs w:val="26"/>
          <w:rtl/>
        </w:rPr>
      </w:pPr>
      <w:r w:rsidRPr="00641B6E">
        <w:rPr>
          <w:sz w:val="26"/>
          <w:szCs w:val="26"/>
          <w:rtl/>
        </w:rPr>
        <w:t>&lt;#2#&gt;</w:t>
      </w:r>
    </w:p>
    <w:p w14:paraId="51D7697C" w14:textId="77777777" w:rsidR="002C78C7" w:rsidRPr="00641B6E" w:rsidRDefault="00641B6E">
      <w:pPr>
        <w:pStyle w:val="12"/>
        <w:rPr>
          <w:sz w:val="26"/>
          <w:szCs w:val="26"/>
          <w:u w:val="none"/>
          <w:rtl/>
        </w:rPr>
      </w:pPr>
      <w:r w:rsidRPr="00641B6E">
        <w:rPr>
          <w:rFonts w:hint="cs"/>
          <w:sz w:val="26"/>
          <w:szCs w:val="26"/>
          <w:u w:val="none"/>
          <w:rtl/>
        </w:rPr>
        <w:t>נוכחים:</w:t>
      </w:r>
    </w:p>
    <w:p w14:paraId="4FF69935" w14:textId="77777777" w:rsidR="002C78C7" w:rsidRPr="00641B6E" w:rsidRDefault="00641B6E">
      <w:pPr>
        <w:rPr>
          <w:sz w:val="26"/>
          <w:szCs w:val="26"/>
          <w:rtl/>
        </w:rPr>
      </w:pPr>
      <w:bookmarkStart w:id="2" w:name="FirstLawyer"/>
      <w:r w:rsidRPr="00641B6E">
        <w:rPr>
          <w:sz w:val="26"/>
          <w:szCs w:val="26"/>
          <w:rtl/>
        </w:rPr>
        <w:t>ב"כ</w:t>
      </w:r>
      <w:bookmarkEnd w:id="2"/>
      <w:r w:rsidRPr="00641B6E">
        <w:rPr>
          <w:sz w:val="26"/>
          <w:szCs w:val="26"/>
          <w:rtl/>
        </w:rPr>
        <w:t xml:space="preserve"> המאשימה עוה"ד ליאת שפיר</w:t>
      </w:r>
    </w:p>
    <w:p w14:paraId="426053F4" w14:textId="77777777" w:rsidR="002C78C7" w:rsidRPr="00641B6E" w:rsidRDefault="00641B6E">
      <w:pPr>
        <w:rPr>
          <w:sz w:val="26"/>
          <w:szCs w:val="26"/>
        </w:rPr>
      </w:pPr>
      <w:r w:rsidRPr="00641B6E">
        <w:rPr>
          <w:sz w:val="26"/>
          <w:szCs w:val="26"/>
          <w:rtl/>
        </w:rPr>
        <w:t xml:space="preserve">הנאשם בעצמו וב"כ עו"ד </w:t>
      </w:r>
      <w:r w:rsidRPr="00641B6E">
        <w:rPr>
          <w:rFonts w:hint="cs"/>
          <w:sz w:val="26"/>
          <w:szCs w:val="26"/>
          <w:rtl/>
        </w:rPr>
        <w:t>אלי בניה</w:t>
      </w:r>
    </w:p>
    <w:p w14:paraId="04819F58" w14:textId="77777777" w:rsidR="002C78C7" w:rsidRPr="00641B6E" w:rsidRDefault="002C78C7">
      <w:pPr>
        <w:pStyle w:val="12"/>
        <w:rPr>
          <w:b w:val="0"/>
          <w:bCs w:val="0"/>
          <w:sz w:val="26"/>
          <w:szCs w:val="26"/>
          <w:u w:val="none"/>
          <w:rtl/>
        </w:rPr>
      </w:pPr>
    </w:p>
    <w:p w14:paraId="7BCAB56D" w14:textId="77777777" w:rsidR="002C78C7" w:rsidRPr="00641B6E" w:rsidRDefault="00641B6E">
      <w:pPr>
        <w:spacing w:line="360" w:lineRule="auto"/>
        <w:jc w:val="center"/>
        <w:rPr>
          <w:rFonts w:ascii="Arial" w:hAnsi="Arial"/>
          <w:b/>
          <w:bCs/>
          <w:sz w:val="26"/>
          <w:szCs w:val="26"/>
          <w:rtl/>
        </w:rPr>
      </w:pPr>
      <w:r w:rsidRPr="00641B6E">
        <w:rPr>
          <w:rFonts w:ascii="Arial" w:hAnsi="Arial"/>
          <w:b/>
          <w:color w:val="FF0000"/>
          <w:sz w:val="26"/>
          <w:rtl/>
        </w:rPr>
        <w:t>במסמך זה הושמטו פרוטוקולים</w:t>
      </w:r>
    </w:p>
    <w:p w14:paraId="2A9F1B39" w14:textId="77777777" w:rsidR="00641B6E" w:rsidRPr="00641B6E" w:rsidRDefault="00641B6E">
      <w:pPr>
        <w:spacing w:line="360" w:lineRule="auto"/>
        <w:jc w:val="center"/>
        <w:rPr>
          <w:rFonts w:ascii="Arial" w:hAnsi="Arial"/>
          <w:b/>
          <w:bCs/>
          <w:sz w:val="26"/>
          <w:szCs w:val="26"/>
          <w:rtl/>
        </w:rPr>
      </w:pPr>
    </w:p>
    <w:p w14:paraId="34E420AA" w14:textId="77777777" w:rsidR="00641B6E" w:rsidRPr="00641B6E" w:rsidRDefault="00641B6E" w:rsidP="00641B6E">
      <w:pPr>
        <w:spacing w:line="360" w:lineRule="auto"/>
        <w:jc w:val="center"/>
        <w:rPr>
          <w:rFonts w:ascii="Arial" w:hAnsi="Arial"/>
          <w:b/>
          <w:bCs/>
          <w:sz w:val="26"/>
          <w:szCs w:val="26"/>
          <w:u w:val="single"/>
          <w:rtl/>
        </w:rPr>
      </w:pPr>
      <w:bookmarkStart w:id="3" w:name="PsakDin"/>
      <w:bookmarkEnd w:id="0"/>
      <w:r w:rsidRPr="00641B6E">
        <w:rPr>
          <w:rFonts w:ascii="Arial" w:hAnsi="Arial"/>
          <w:b/>
          <w:bCs/>
          <w:sz w:val="26"/>
          <w:szCs w:val="26"/>
          <w:u w:val="single"/>
          <w:rtl/>
        </w:rPr>
        <w:t>גזר דין</w:t>
      </w:r>
    </w:p>
    <w:bookmarkEnd w:id="3"/>
    <w:p w14:paraId="2EC5F41F" w14:textId="77777777" w:rsidR="002C78C7" w:rsidRDefault="002C78C7">
      <w:pPr>
        <w:spacing w:line="360" w:lineRule="auto"/>
        <w:jc w:val="center"/>
        <w:rPr>
          <w:rFonts w:ascii="Arial" w:hAnsi="Arial"/>
          <w:b/>
          <w:bCs/>
          <w:sz w:val="26"/>
          <w:szCs w:val="26"/>
          <w:u w:val="single"/>
          <w:rtl/>
        </w:rPr>
      </w:pPr>
    </w:p>
    <w:p w14:paraId="7B332558" w14:textId="77777777" w:rsidR="002C78C7" w:rsidRDefault="00641B6E">
      <w:pPr>
        <w:spacing w:line="360" w:lineRule="auto"/>
        <w:jc w:val="both"/>
        <w:rPr>
          <w:sz w:val="26"/>
          <w:szCs w:val="26"/>
          <w:rtl/>
        </w:rPr>
      </w:pPr>
      <w:bookmarkStart w:id="4" w:name="ABSTRACT_START"/>
      <w:bookmarkEnd w:id="4"/>
      <w:r>
        <w:rPr>
          <w:sz w:val="26"/>
          <w:szCs w:val="26"/>
          <w:rtl/>
        </w:rPr>
        <w:t xml:space="preserve">הנאשם הודה והורשע בשלושה תיקים שהיו פתוחים כנגדו, האחד עניינו בנסיון גניבת רכב בצוותא משנת 2009 (תיק נוער), ושני תיקים נוספים שעניינם עבירת סמים לצריכה עצמית, היזק לרכב במזיד ואיומים כלפי נהג מונית ושוטרים, הכל בנסיבות שפורטו בטיעוני ב"כ המאשימה ובכתבי האישום שבפני. </w:t>
      </w:r>
    </w:p>
    <w:p w14:paraId="742CAA3C" w14:textId="77777777" w:rsidR="002C78C7" w:rsidRDefault="002C78C7">
      <w:pPr>
        <w:spacing w:line="360" w:lineRule="auto"/>
        <w:jc w:val="both"/>
        <w:rPr>
          <w:sz w:val="26"/>
          <w:szCs w:val="26"/>
          <w:rtl/>
        </w:rPr>
      </w:pPr>
      <w:bookmarkStart w:id="5" w:name="ABSTRACT_END"/>
      <w:bookmarkEnd w:id="5"/>
    </w:p>
    <w:p w14:paraId="708BB701" w14:textId="77777777" w:rsidR="002C78C7" w:rsidRDefault="00641B6E">
      <w:pPr>
        <w:spacing w:line="360" w:lineRule="auto"/>
        <w:jc w:val="both"/>
        <w:rPr>
          <w:sz w:val="26"/>
          <w:szCs w:val="26"/>
          <w:rtl/>
        </w:rPr>
      </w:pPr>
      <w:r>
        <w:rPr>
          <w:sz w:val="26"/>
          <w:szCs w:val="26"/>
          <w:rtl/>
        </w:rPr>
        <w:t xml:space="preserve">הודית הנאשם הגיעה במסגרת הסדר טיעון לפיו נשלח לשרות המבחן לצורך קבלת תסקיר, כאשר בסיום ההליך הודיעו הצדדים על הסכמה לרכיבי ענישה בדמות מאסר על תנאי, חתימה על התחייבות לצד מבחן לתקופה של שנה, כאשר התביעה ביקשה להוסיף רכיב עונשי של עבודות של"צ, בעוד שהסנגור ביקש להמנע מכך. </w:t>
      </w:r>
    </w:p>
    <w:p w14:paraId="3AF8A144" w14:textId="77777777" w:rsidR="002C78C7" w:rsidRDefault="002C78C7">
      <w:pPr>
        <w:spacing w:line="360" w:lineRule="auto"/>
        <w:jc w:val="both"/>
        <w:rPr>
          <w:sz w:val="26"/>
          <w:szCs w:val="26"/>
          <w:rtl/>
        </w:rPr>
      </w:pPr>
    </w:p>
    <w:p w14:paraId="6F4F89F0" w14:textId="77777777" w:rsidR="002C78C7" w:rsidRDefault="00641B6E">
      <w:pPr>
        <w:spacing w:line="360" w:lineRule="auto"/>
        <w:jc w:val="both"/>
        <w:rPr>
          <w:sz w:val="26"/>
          <w:szCs w:val="26"/>
          <w:rtl/>
        </w:rPr>
      </w:pPr>
      <w:r>
        <w:rPr>
          <w:sz w:val="26"/>
          <w:szCs w:val="26"/>
          <w:rtl/>
        </w:rPr>
        <w:t xml:space="preserve">אין ספק כי צרופם של התיקים וצירוף העבירות הינו חמור ומדובר במי שבתקופה קצרה, בהיותו בגיל צעיר פעל לעבור עבירות בתחומים שונים של רכוש, סמים ואלימות. </w:t>
      </w:r>
    </w:p>
    <w:p w14:paraId="596BAD07" w14:textId="77777777" w:rsidR="002C78C7" w:rsidRDefault="002C78C7">
      <w:pPr>
        <w:spacing w:line="360" w:lineRule="auto"/>
        <w:jc w:val="both"/>
        <w:rPr>
          <w:sz w:val="26"/>
          <w:szCs w:val="26"/>
          <w:rtl/>
        </w:rPr>
      </w:pPr>
    </w:p>
    <w:p w14:paraId="12D9D4AA" w14:textId="77777777" w:rsidR="002C78C7" w:rsidRDefault="00641B6E">
      <w:pPr>
        <w:spacing w:line="360" w:lineRule="auto"/>
        <w:jc w:val="both"/>
        <w:rPr>
          <w:sz w:val="26"/>
          <w:szCs w:val="26"/>
          <w:rtl/>
        </w:rPr>
      </w:pPr>
      <w:r>
        <w:rPr>
          <w:sz w:val="26"/>
          <w:szCs w:val="26"/>
          <w:rtl/>
        </w:rPr>
        <w:t xml:space="preserve">הענישה בד"כ בגין עבירות אלה היא ענישה מחמירה, ועתירת הצדדים היא יוצאת דופן בנושא העונש, כאשר מדובר בעונש קל יחסית. </w:t>
      </w:r>
    </w:p>
    <w:p w14:paraId="49C03F8B" w14:textId="77777777" w:rsidR="002C78C7" w:rsidRDefault="002C78C7">
      <w:pPr>
        <w:spacing w:line="360" w:lineRule="auto"/>
        <w:jc w:val="both"/>
        <w:rPr>
          <w:sz w:val="26"/>
          <w:szCs w:val="26"/>
          <w:rtl/>
        </w:rPr>
      </w:pPr>
    </w:p>
    <w:p w14:paraId="6F52A3C4" w14:textId="77777777" w:rsidR="002C78C7" w:rsidRDefault="00641B6E">
      <w:pPr>
        <w:spacing w:line="360" w:lineRule="auto"/>
        <w:jc w:val="both"/>
        <w:rPr>
          <w:sz w:val="26"/>
          <w:szCs w:val="26"/>
          <w:rtl/>
        </w:rPr>
      </w:pPr>
      <w:r>
        <w:rPr>
          <w:sz w:val="26"/>
          <w:szCs w:val="26"/>
          <w:rtl/>
        </w:rPr>
        <w:lastRenderedPageBreak/>
        <w:t>ב"כ הצדדים הסבירו את ההסדר בגילו של הנאשם, בעובדה שצירף את כל תיקיו, הודה בהם וחסך זמן יקר. אולם עיקר הנימוקים התמקדו בהליך השיקום שעבר הנאשם מאז עבר את העבירות, כאשר במשך תקופה של שנתיים, גם אם מלכתחילה לא היה שיתוף פעולה מלא, הרי שבהמשך הבין הנאשם את חומרת מעשיו, את הצורך בטיפול, החל לשתף פעולה, מצא עבודה ומתפקד היום באורח תקין, כאשר תסקיר שרות המבחן שהתקבל מבטא את כל האמור לעיל.</w:t>
      </w:r>
    </w:p>
    <w:p w14:paraId="50618219" w14:textId="77777777" w:rsidR="002C78C7" w:rsidRDefault="002C78C7">
      <w:pPr>
        <w:spacing w:line="360" w:lineRule="auto"/>
        <w:jc w:val="both"/>
        <w:rPr>
          <w:sz w:val="26"/>
          <w:szCs w:val="26"/>
          <w:rtl/>
        </w:rPr>
      </w:pPr>
    </w:p>
    <w:p w14:paraId="47C8E880" w14:textId="77777777" w:rsidR="002C78C7" w:rsidRDefault="00641B6E">
      <w:pPr>
        <w:spacing w:line="360" w:lineRule="auto"/>
        <w:jc w:val="both"/>
        <w:rPr>
          <w:sz w:val="26"/>
          <w:szCs w:val="26"/>
          <w:rtl/>
        </w:rPr>
      </w:pPr>
      <w:r>
        <w:rPr>
          <w:sz w:val="26"/>
          <w:szCs w:val="26"/>
          <w:rtl/>
        </w:rPr>
        <w:t>זאת ועוד, מאז צירוף התיקים לא נפתחו כנגד הנאשם תיקים נוס</w:t>
      </w:r>
      <w:r>
        <w:rPr>
          <w:rFonts w:hint="cs"/>
          <w:sz w:val="26"/>
          <w:szCs w:val="26"/>
          <w:rtl/>
        </w:rPr>
        <w:t>פים</w:t>
      </w:r>
      <w:r>
        <w:rPr>
          <w:sz w:val="26"/>
          <w:szCs w:val="26"/>
          <w:rtl/>
        </w:rPr>
        <w:t xml:space="preserve"> ואף עובדה זו נזקפת לזכותו ומלמדת על השינוי שעבר. </w:t>
      </w:r>
    </w:p>
    <w:p w14:paraId="018C542A" w14:textId="77777777" w:rsidR="002C78C7" w:rsidRDefault="002C78C7">
      <w:pPr>
        <w:spacing w:line="360" w:lineRule="auto"/>
        <w:jc w:val="both"/>
        <w:rPr>
          <w:sz w:val="26"/>
          <w:szCs w:val="26"/>
          <w:rtl/>
        </w:rPr>
      </w:pPr>
    </w:p>
    <w:p w14:paraId="7F8584AE" w14:textId="77777777" w:rsidR="002C78C7" w:rsidRDefault="00641B6E">
      <w:pPr>
        <w:spacing w:line="360" w:lineRule="auto"/>
        <w:jc w:val="both"/>
        <w:rPr>
          <w:sz w:val="26"/>
          <w:szCs w:val="26"/>
          <w:rtl/>
        </w:rPr>
      </w:pPr>
      <w:r>
        <w:rPr>
          <w:sz w:val="26"/>
          <w:szCs w:val="26"/>
          <w:rtl/>
        </w:rPr>
        <w:t xml:space="preserve">הסנגור טען כי בנסיבות אלה ולנוכח גילו הצעיר בזמן ביצוע העבירות, יליד 1992, ניתן היה אף לשקול בנסיבות אלה אי הרשעה, אולם לטעמי צירופן של העבירות והתמקדותן בתחומים עבריינים שונים אינה מאפשרת זאת, </w:t>
      </w:r>
      <w:r>
        <w:rPr>
          <w:rFonts w:hint="cs"/>
          <w:sz w:val="26"/>
          <w:szCs w:val="26"/>
          <w:rtl/>
        </w:rPr>
        <w:t xml:space="preserve">אולם מנגד </w:t>
      </w:r>
      <w:r>
        <w:rPr>
          <w:sz w:val="26"/>
          <w:szCs w:val="26"/>
          <w:rtl/>
        </w:rPr>
        <w:t>יש מקום לשיקולים לקולא כפי שהוצגו.</w:t>
      </w:r>
    </w:p>
    <w:p w14:paraId="403FF49C" w14:textId="77777777" w:rsidR="002C78C7" w:rsidRDefault="002C78C7">
      <w:pPr>
        <w:spacing w:line="360" w:lineRule="auto"/>
        <w:jc w:val="both"/>
        <w:rPr>
          <w:sz w:val="26"/>
          <w:szCs w:val="26"/>
          <w:rtl/>
        </w:rPr>
      </w:pPr>
    </w:p>
    <w:p w14:paraId="7097CB2D" w14:textId="77777777" w:rsidR="002C78C7" w:rsidRDefault="00641B6E">
      <w:pPr>
        <w:spacing w:line="360" w:lineRule="auto"/>
        <w:jc w:val="both"/>
        <w:rPr>
          <w:sz w:val="26"/>
          <w:szCs w:val="26"/>
          <w:rtl/>
        </w:rPr>
      </w:pPr>
      <w:r>
        <w:rPr>
          <w:sz w:val="26"/>
          <w:szCs w:val="26"/>
          <w:rtl/>
        </w:rPr>
        <w:t xml:space="preserve">ציינתי כי הענישה המתבקשת מקלה, אולם לנוכח השיקום, ולנוכח הזמן שחלף במהלכו עבר הנאשם דרך שהוליכה אותו לאורח חיים נורמטיבי על פניו, יש מקום להעתר לבקשת הצדדים, ליתן לנאשם את ההזדמנות באופן שאני מכבדת את ההסדר. </w:t>
      </w:r>
    </w:p>
    <w:p w14:paraId="0A5A7AA2" w14:textId="77777777" w:rsidR="002C78C7" w:rsidRDefault="002C78C7">
      <w:pPr>
        <w:spacing w:line="360" w:lineRule="auto"/>
        <w:jc w:val="both"/>
        <w:rPr>
          <w:sz w:val="26"/>
          <w:szCs w:val="26"/>
          <w:rtl/>
        </w:rPr>
      </w:pPr>
    </w:p>
    <w:p w14:paraId="4C1F40F0" w14:textId="77777777" w:rsidR="002C78C7" w:rsidRDefault="00641B6E">
      <w:pPr>
        <w:spacing w:line="360" w:lineRule="auto"/>
        <w:jc w:val="both"/>
        <w:rPr>
          <w:sz w:val="26"/>
          <w:szCs w:val="26"/>
          <w:rtl/>
        </w:rPr>
      </w:pPr>
      <w:r>
        <w:rPr>
          <w:sz w:val="26"/>
          <w:szCs w:val="26"/>
          <w:rtl/>
        </w:rPr>
        <w:t xml:space="preserve">לעניין עבודות השל"צ, התביעה הסבירה את העתירה בכך שיש צורך בענישה קונקרטית חינוכית שתתווסף לרכיבים האחרים, בעוד שהסנגור ביקש להסתפק במה שהוסכם משום שענישה נוספת עלולה לפגוע בנאשם ושרות המבחן הבין זאת ולכן לא המליץ על כך. </w:t>
      </w:r>
    </w:p>
    <w:p w14:paraId="660B17D8" w14:textId="77777777" w:rsidR="002C78C7" w:rsidRDefault="002C78C7">
      <w:pPr>
        <w:spacing w:line="360" w:lineRule="auto"/>
        <w:jc w:val="both"/>
        <w:rPr>
          <w:sz w:val="26"/>
          <w:szCs w:val="26"/>
          <w:rtl/>
        </w:rPr>
      </w:pPr>
    </w:p>
    <w:p w14:paraId="529E9F72" w14:textId="77777777" w:rsidR="002C78C7" w:rsidRDefault="00641B6E">
      <w:pPr>
        <w:spacing w:line="360" w:lineRule="auto"/>
        <w:jc w:val="both"/>
        <w:rPr>
          <w:sz w:val="26"/>
          <w:szCs w:val="26"/>
          <w:rtl/>
        </w:rPr>
      </w:pPr>
      <w:r>
        <w:rPr>
          <w:sz w:val="26"/>
          <w:szCs w:val="26"/>
          <w:rtl/>
        </w:rPr>
        <w:t xml:space="preserve">אני סבורה כי </w:t>
      </w:r>
      <w:r>
        <w:rPr>
          <w:rFonts w:hint="cs"/>
          <w:sz w:val="26"/>
          <w:szCs w:val="26"/>
          <w:rtl/>
        </w:rPr>
        <w:t xml:space="preserve">אם </w:t>
      </w:r>
      <w:r>
        <w:rPr>
          <w:sz w:val="26"/>
          <w:szCs w:val="26"/>
          <w:rtl/>
        </w:rPr>
        <w:t>ניתנת לנאשם ההזדמנות, יש להתחשב בו ולא להכביד יתר על המידה ואולם בשיקלול כלל הגורמים אותם ציינו הצדדים, נראה לי לנכון לצרף רכיב נוסף כדלקמן:</w:t>
      </w:r>
    </w:p>
    <w:p w14:paraId="2A57BA6C" w14:textId="77777777" w:rsidR="002C78C7" w:rsidRDefault="002C78C7">
      <w:pPr>
        <w:spacing w:line="360" w:lineRule="auto"/>
        <w:jc w:val="both"/>
        <w:rPr>
          <w:sz w:val="26"/>
          <w:szCs w:val="26"/>
          <w:rtl/>
        </w:rPr>
      </w:pPr>
    </w:p>
    <w:p w14:paraId="02978B31" w14:textId="77777777" w:rsidR="002C78C7" w:rsidRDefault="00641B6E">
      <w:pPr>
        <w:numPr>
          <w:ilvl w:val="0"/>
          <w:numId w:val="1"/>
        </w:numPr>
        <w:spacing w:line="360" w:lineRule="auto"/>
        <w:jc w:val="both"/>
        <w:rPr>
          <w:sz w:val="26"/>
          <w:szCs w:val="26"/>
          <w:rtl/>
        </w:rPr>
      </w:pPr>
      <w:r>
        <w:rPr>
          <w:sz w:val="26"/>
          <w:szCs w:val="26"/>
          <w:rtl/>
        </w:rPr>
        <w:t>8 חודשי מאסר על תנאי לתקופה של 3 שנים והתנאי הוא שהנאשם לא יעבור כל עבירה כנגד רכוש למעט סעיף 413  ל</w:t>
      </w:r>
      <w:hyperlink r:id="rId7" w:history="1">
        <w:r w:rsidRPr="00641B6E">
          <w:rPr>
            <w:color w:val="0000FF"/>
            <w:sz w:val="26"/>
            <w:szCs w:val="26"/>
            <w:u w:val="single"/>
            <w:rtl/>
          </w:rPr>
          <w:t>חוק העונשין</w:t>
        </w:r>
      </w:hyperlink>
      <w:r>
        <w:rPr>
          <w:sz w:val="26"/>
          <w:szCs w:val="26"/>
          <w:rtl/>
        </w:rPr>
        <w:t>.</w:t>
      </w:r>
    </w:p>
    <w:p w14:paraId="0AC394FF" w14:textId="77777777" w:rsidR="002C78C7" w:rsidRDefault="002C78C7">
      <w:pPr>
        <w:spacing w:line="360" w:lineRule="auto"/>
        <w:jc w:val="both"/>
        <w:rPr>
          <w:sz w:val="26"/>
          <w:szCs w:val="26"/>
          <w:rtl/>
        </w:rPr>
      </w:pPr>
    </w:p>
    <w:p w14:paraId="0C37A4FA" w14:textId="77777777" w:rsidR="002C78C7" w:rsidRDefault="00641B6E">
      <w:pPr>
        <w:numPr>
          <w:ilvl w:val="0"/>
          <w:numId w:val="1"/>
        </w:numPr>
        <w:spacing w:line="360" w:lineRule="auto"/>
        <w:jc w:val="both"/>
        <w:rPr>
          <w:sz w:val="26"/>
          <w:szCs w:val="26"/>
          <w:rtl/>
        </w:rPr>
      </w:pPr>
      <w:r>
        <w:rPr>
          <w:sz w:val="26"/>
          <w:szCs w:val="26"/>
          <w:rtl/>
        </w:rPr>
        <w:t xml:space="preserve">4 חודשי מאסר על תנאי לתקופה של 3 שנים והתנאי הוא שהנאשם לא יעבור עבירה של איומים או עבירה על </w:t>
      </w:r>
      <w:hyperlink r:id="rId8" w:history="1">
        <w:r w:rsidRPr="00641B6E">
          <w:rPr>
            <w:color w:val="0000FF"/>
            <w:sz w:val="26"/>
            <w:szCs w:val="26"/>
            <w:u w:val="single"/>
            <w:rtl/>
          </w:rPr>
          <w:t>פקודת הסמים המסוכנים</w:t>
        </w:r>
      </w:hyperlink>
      <w:r>
        <w:rPr>
          <w:sz w:val="26"/>
          <w:szCs w:val="26"/>
          <w:rtl/>
        </w:rPr>
        <w:t>.</w:t>
      </w:r>
    </w:p>
    <w:p w14:paraId="4DC0C6FA" w14:textId="77777777" w:rsidR="002C78C7" w:rsidRDefault="002C78C7">
      <w:pPr>
        <w:spacing w:line="360" w:lineRule="auto"/>
        <w:jc w:val="both"/>
        <w:rPr>
          <w:sz w:val="26"/>
          <w:szCs w:val="26"/>
          <w:rtl/>
        </w:rPr>
      </w:pPr>
    </w:p>
    <w:p w14:paraId="779E504B" w14:textId="77777777" w:rsidR="002C78C7" w:rsidRDefault="00641B6E">
      <w:pPr>
        <w:numPr>
          <w:ilvl w:val="0"/>
          <w:numId w:val="1"/>
        </w:numPr>
        <w:spacing w:line="360" w:lineRule="auto"/>
        <w:jc w:val="both"/>
        <w:rPr>
          <w:sz w:val="26"/>
          <w:szCs w:val="26"/>
        </w:rPr>
      </w:pPr>
      <w:r>
        <w:rPr>
          <w:sz w:val="26"/>
          <w:szCs w:val="26"/>
          <w:rtl/>
        </w:rPr>
        <w:t xml:space="preserve">הנאשם יחתום על התחייבות בסך 2500 ₪ שלא יעבור איזה מהעבירות בהן הורשע או כל עבירת אלימות או כל עבירה על </w:t>
      </w:r>
      <w:hyperlink r:id="rId9" w:history="1">
        <w:r w:rsidRPr="00641B6E">
          <w:rPr>
            <w:color w:val="0000FF"/>
            <w:sz w:val="26"/>
            <w:szCs w:val="26"/>
            <w:u w:val="single"/>
            <w:rtl/>
          </w:rPr>
          <w:t>פקודת הסמים המסוכנים</w:t>
        </w:r>
      </w:hyperlink>
      <w:r>
        <w:rPr>
          <w:sz w:val="26"/>
          <w:szCs w:val="26"/>
          <w:rtl/>
        </w:rPr>
        <w:t>.</w:t>
      </w:r>
    </w:p>
    <w:p w14:paraId="0F7B40A4" w14:textId="77777777" w:rsidR="002C78C7" w:rsidRDefault="00641B6E">
      <w:pPr>
        <w:spacing w:line="360" w:lineRule="auto"/>
        <w:ind w:left="720"/>
        <w:jc w:val="both"/>
        <w:rPr>
          <w:sz w:val="26"/>
          <w:szCs w:val="26"/>
          <w:rtl/>
        </w:rPr>
      </w:pPr>
      <w:r>
        <w:rPr>
          <w:sz w:val="26"/>
          <w:szCs w:val="26"/>
          <w:rtl/>
        </w:rPr>
        <w:lastRenderedPageBreak/>
        <w:t>תוקף ההתחייבות לשנתיים.</w:t>
      </w:r>
    </w:p>
    <w:p w14:paraId="066B7C91" w14:textId="77777777" w:rsidR="002C78C7" w:rsidRDefault="00641B6E">
      <w:pPr>
        <w:spacing w:line="360" w:lineRule="auto"/>
        <w:ind w:left="720"/>
        <w:jc w:val="both"/>
        <w:rPr>
          <w:sz w:val="26"/>
          <w:szCs w:val="26"/>
          <w:rtl/>
        </w:rPr>
      </w:pPr>
      <w:r>
        <w:rPr>
          <w:sz w:val="26"/>
          <w:szCs w:val="26"/>
          <w:rtl/>
        </w:rPr>
        <w:t>לא תחתם ההתחייבות ירצה הנאשם 25 ימי מאסר תמורתם.</w:t>
      </w:r>
    </w:p>
    <w:p w14:paraId="649687DD" w14:textId="77777777" w:rsidR="002C78C7" w:rsidRDefault="002C78C7">
      <w:pPr>
        <w:rPr>
          <w:sz w:val="26"/>
          <w:szCs w:val="26"/>
          <w:rtl/>
        </w:rPr>
      </w:pPr>
    </w:p>
    <w:p w14:paraId="7DE7042B" w14:textId="77777777" w:rsidR="002C78C7" w:rsidRDefault="00641B6E">
      <w:pPr>
        <w:numPr>
          <w:ilvl w:val="0"/>
          <w:numId w:val="1"/>
        </w:numPr>
        <w:spacing w:line="360" w:lineRule="auto"/>
        <w:rPr>
          <w:sz w:val="26"/>
          <w:szCs w:val="26"/>
        </w:rPr>
      </w:pPr>
      <w:r>
        <w:rPr>
          <w:sz w:val="26"/>
          <w:szCs w:val="26"/>
          <w:rtl/>
        </w:rPr>
        <w:t>הנאשם ישלם פיצוי למתלונן שרכבו נפגע בסך 1000 ₪ אשר יופקדו בקופת בית המשפט עד ליום 1/11/13.</w:t>
      </w:r>
    </w:p>
    <w:p w14:paraId="2297F27D" w14:textId="77777777" w:rsidR="002C78C7" w:rsidRDefault="002C78C7">
      <w:pPr>
        <w:spacing w:line="360" w:lineRule="auto"/>
        <w:ind w:left="360"/>
        <w:rPr>
          <w:sz w:val="26"/>
          <w:szCs w:val="26"/>
          <w:rtl/>
        </w:rPr>
      </w:pPr>
    </w:p>
    <w:p w14:paraId="3A3E6B78" w14:textId="77777777" w:rsidR="002C78C7" w:rsidRDefault="00641B6E">
      <w:pPr>
        <w:numPr>
          <w:ilvl w:val="0"/>
          <w:numId w:val="1"/>
        </w:numPr>
        <w:spacing w:line="360" w:lineRule="auto"/>
        <w:rPr>
          <w:sz w:val="26"/>
          <w:szCs w:val="26"/>
        </w:rPr>
      </w:pPr>
      <w:r>
        <w:rPr>
          <w:sz w:val="26"/>
          <w:szCs w:val="26"/>
          <w:rtl/>
        </w:rPr>
        <w:t>ניתן בזה צו מבחן לתקופה של 12 חודשים. על הנאשם לשתף פעולה עם שירות המבחן בכל עת שיידרש.</w:t>
      </w:r>
    </w:p>
    <w:p w14:paraId="07ADAE11" w14:textId="77777777" w:rsidR="002C78C7" w:rsidRDefault="00641B6E">
      <w:pPr>
        <w:spacing w:line="360" w:lineRule="auto"/>
        <w:ind w:left="720"/>
        <w:rPr>
          <w:sz w:val="26"/>
          <w:szCs w:val="26"/>
          <w:rtl/>
        </w:rPr>
      </w:pPr>
      <w:r>
        <w:rPr>
          <w:sz w:val="26"/>
          <w:szCs w:val="26"/>
          <w:rtl/>
        </w:rPr>
        <w:t>שירות המבחן יודיע לביהמ"ש עם סיום התקופה או בכל עת שיתעורר צורך.</w:t>
      </w:r>
    </w:p>
    <w:p w14:paraId="2CFB82FE" w14:textId="77777777" w:rsidR="002C78C7" w:rsidRDefault="002C78C7">
      <w:pPr>
        <w:rPr>
          <w:sz w:val="26"/>
          <w:szCs w:val="26"/>
          <w:rtl/>
        </w:rPr>
      </w:pPr>
    </w:p>
    <w:p w14:paraId="47DD0252" w14:textId="77777777" w:rsidR="002C78C7" w:rsidRDefault="00641B6E">
      <w:pPr>
        <w:numPr>
          <w:ilvl w:val="0"/>
          <w:numId w:val="1"/>
        </w:numPr>
        <w:rPr>
          <w:sz w:val="26"/>
          <w:szCs w:val="26"/>
          <w:rtl/>
        </w:rPr>
      </w:pPr>
      <w:r>
        <w:rPr>
          <w:sz w:val="26"/>
          <w:szCs w:val="26"/>
          <w:rtl/>
        </w:rPr>
        <w:t>אני מורה על השמדת המוצגים.</w:t>
      </w:r>
    </w:p>
    <w:p w14:paraId="04AED889" w14:textId="77777777" w:rsidR="002C78C7" w:rsidRDefault="002C78C7">
      <w:pPr>
        <w:ind w:left="360"/>
        <w:rPr>
          <w:sz w:val="26"/>
          <w:szCs w:val="26"/>
          <w:rtl/>
        </w:rPr>
      </w:pPr>
    </w:p>
    <w:p w14:paraId="42B5C3F4" w14:textId="77777777" w:rsidR="002C78C7" w:rsidRDefault="002C78C7">
      <w:pPr>
        <w:ind w:left="360"/>
        <w:rPr>
          <w:sz w:val="26"/>
          <w:szCs w:val="26"/>
          <w:rtl/>
        </w:rPr>
      </w:pPr>
    </w:p>
    <w:p w14:paraId="522B4CB8" w14:textId="77777777" w:rsidR="002C78C7" w:rsidRDefault="00641B6E">
      <w:pPr>
        <w:spacing w:line="360" w:lineRule="auto"/>
        <w:rPr>
          <w:b/>
          <w:bCs/>
          <w:sz w:val="26"/>
          <w:szCs w:val="26"/>
          <w:u w:val="single"/>
        </w:rPr>
      </w:pPr>
      <w:r>
        <w:rPr>
          <w:b/>
          <w:bCs/>
          <w:sz w:val="26"/>
          <w:szCs w:val="26"/>
          <w:u w:val="single"/>
          <w:rtl/>
        </w:rPr>
        <w:t>זכות ערעור תוך 45 יום.</w:t>
      </w:r>
    </w:p>
    <w:p w14:paraId="622B09F4" w14:textId="77777777" w:rsidR="002C78C7" w:rsidRDefault="00641B6E">
      <w:pPr>
        <w:spacing w:line="360" w:lineRule="auto"/>
        <w:rPr>
          <w:b/>
          <w:bCs/>
          <w:sz w:val="6"/>
          <w:szCs w:val="6"/>
          <w:rtl/>
        </w:rPr>
      </w:pPr>
      <w:r>
        <w:rPr>
          <w:b/>
          <w:bCs/>
          <w:sz w:val="6"/>
          <w:szCs w:val="6"/>
          <w:rtl/>
        </w:rPr>
        <w:t>&lt;#6#&gt;</w:t>
      </w:r>
    </w:p>
    <w:p w14:paraId="2829D10D" w14:textId="77777777" w:rsidR="002C78C7" w:rsidRDefault="002C78C7">
      <w:pPr>
        <w:jc w:val="right"/>
        <w:rPr>
          <w:rtl/>
        </w:rPr>
      </w:pPr>
    </w:p>
    <w:p w14:paraId="6745996A" w14:textId="77777777" w:rsidR="002C78C7" w:rsidRDefault="00641B6E">
      <w:pPr>
        <w:jc w:val="center"/>
        <w:rPr>
          <w:rtl/>
        </w:rPr>
      </w:pPr>
      <w:r w:rsidRPr="00641B6E">
        <w:rPr>
          <w:b/>
          <w:bCs/>
          <w:color w:val="FFFFFF"/>
          <w:sz w:val="2"/>
          <w:szCs w:val="2"/>
          <w:rtl/>
        </w:rPr>
        <w:t>5129371</w:t>
      </w:r>
      <w:r>
        <w:rPr>
          <w:b/>
          <w:bCs/>
          <w:rtl/>
        </w:rPr>
        <w:t xml:space="preserve">ניתנה והודעה היום י"ב תשרי תשע"ד, 16/09/2013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C78C7" w14:paraId="7E4FF46C" w14:textId="77777777">
        <w:trPr>
          <w:trHeight w:val="364"/>
          <w:jc w:val="right"/>
        </w:trPr>
        <w:tc>
          <w:tcPr>
            <w:tcW w:w="3708" w:type="dxa"/>
          </w:tcPr>
          <w:p w14:paraId="741B7276" w14:textId="77777777" w:rsidR="002C78C7" w:rsidRPr="00641B6E" w:rsidRDefault="00641B6E">
            <w:pPr>
              <w:jc w:val="center"/>
              <w:rPr>
                <w:rFonts w:ascii="Times New Roman" w:eastAsia="Times New Roman" w:hAnsi="Times New Roman" w:cs="Times New Roman"/>
                <w:color w:val="FFFFFF"/>
                <w:sz w:val="2"/>
                <w:szCs w:val="2"/>
              </w:rPr>
            </w:pPr>
            <w:r w:rsidRPr="00641B6E">
              <w:rPr>
                <w:rFonts w:ascii="Times New Roman" w:eastAsia="Times New Roman" w:hAnsi="Times New Roman" w:cs="Times New Roman"/>
                <w:color w:val="FFFFFF"/>
                <w:sz w:val="2"/>
                <w:szCs w:val="2"/>
                <w:rtl/>
              </w:rPr>
              <w:t>54678313</w:t>
            </w:r>
          </w:p>
          <w:p w14:paraId="5C031BD7" w14:textId="77777777" w:rsidR="002C78C7" w:rsidRDefault="002C78C7">
            <w:pPr>
              <w:jc w:val="center"/>
              <w:rPr>
                <w:rFonts w:ascii="Times New Roman" w:eastAsia="Times New Roman" w:hAnsi="Times New Roman" w:cs="Times New Roman"/>
                <w:rtl/>
              </w:rPr>
            </w:pPr>
          </w:p>
        </w:tc>
      </w:tr>
      <w:tr w:rsidR="002C78C7" w14:paraId="09B0609C" w14:textId="77777777">
        <w:trPr>
          <w:trHeight w:val="415"/>
          <w:jc w:val="right"/>
        </w:trPr>
        <w:tc>
          <w:tcPr>
            <w:tcW w:w="3708" w:type="dxa"/>
          </w:tcPr>
          <w:p w14:paraId="5C60D3F6" w14:textId="77777777" w:rsidR="002C78C7" w:rsidRDefault="00641B6E">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E76E4C9" w14:textId="77777777" w:rsidR="002C78C7" w:rsidRDefault="002C78C7">
      <w:pPr>
        <w:jc w:val="right"/>
        <w:rPr>
          <w:rtl/>
        </w:rPr>
      </w:pPr>
    </w:p>
    <w:p w14:paraId="4233E1FD" w14:textId="77777777" w:rsidR="002C78C7" w:rsidRDefault="002C78C7">
      <w:pPr>
        <w:jc w:val="center"/>
        <w:rPr>
          <w:rtl/>
        </w:rPr>
      </w:pPr>
    </w:p>
    <w:p w14:paraId="5B71811F" w14:textId="77777777" w:rsidR="002C78C7" w:rsidRDefault="002C78C7">
      <w:pPr>
        <w:spacing w:line="360" w:lineRule="auto"/>
        <w:jc w:val="center"/>
        <w:rPr>
          <w:rtl/>
        </w:rPr>
      </w:pPr>
    </w:p>
    <w:p w14:paraId="2C7376C7" w14:textId="77777777" w:rsidR="002C78C7" w:rsidRDefault="00641B6E">
      <w:pPr>
        <w:spacing w:line="360" w:lineRule="auto"/>
        <w:jc w:val="both"/>
        <w:rPr>
          <w:rtl/>
        </w:rPr>
      </w:pPr>
      <w:r>
        <w:rPr>
          <w:rtl/>
        </w:rPr>
        <w:t xml:space="preserve"> </w:t>
      </w:r>
      <w:bookmarkStart w:id="6" w:name="_GoBack"/>
      <w:bookmarkEnd w:id="6"/>
    </w:p>
    <w:p w14:paraId="64A07513" w14:textId="77777777" w:rsidR="002C78C7" w:rsidRDefault="00641B6E">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7AB8505C" w14:textId="77777777" w:rsidR="00641B6E" w:rsidRPr="00641B6E" w:rsidRDefault="00641B6E" w:rsidP="00641B6E">
      <w:pPr>
        <w:keepNext/>
        <w:rPr>
          <w:color w:val="000000"/>
          <w:sz w:val="22"/>
          <w:szCs w:val="22"/>
          <w:rtl/>
        </w:rPr>
      </w:pPr>
    </w:p>
    <w:p w14:paraId="0BEFE04C" w14:textId="77777777" w:rsidR="00641B6E" w:rsidRPr="00641B6E" w:rsidRDefault="00641B6E" w:rsidP="00641B6E">
      <w:pPr>
        <w:keepNext/>
        <w:rPr>
          <w:color w:val="000000"/>
          <w:sz w:val="22"/>
          <w:szCs w:val="22"/>
          <w:rtl/>
        </w:rPr>
      </w:pPr>
      <w:r w:rsidRPr="00641B6E">
        <w:rPr>
          <w:color w:val="000000"/>
          <w:sz w:val="22"/>
          <w:szCs w:val="22"/>
          <w:rtl/>
        </w:rPr>
        <w:t>גלית ציגלר 54678313</w:t>
      </w:r>
    </w:p>
    <w:p w14:paraId="0C7C754A" w14:textId="77777777" w:rsidR="00641B6E" w:rsidRDefault="00641B6E" w:rsidP="00641B6E">
      <w:r w:rsidRPr="00641B6E">
        <w:rPr>
          <w:color w:val="000000"/>
          <w:rtl/>
        </w:rPr>
        <w:t>נוסח מסמך זה כפוף לשינויי ניסוח ועריכה</w:t>
      </w:r>
    </w:p>
    <w:p w14:paraId="1DAC5BC5" w14:textId="77777777" w:rsidR="00641B6E" w:rsidRDefault="00641B6E" w:rsidP="00641B6E">
      <w:pPr>
        <w:rPr>
          <w:rtl/>
        </w:rPr>
      </w:pPr>
    </w:p>
    <w:p w14:paraId="78495DC5" w14:textId="77777777" w:rsidR="00641B6E" w:rsidRDefault="00641B6E" w:rsidP="00641B6E">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19F3A2A" w14:textId="77777777" w:rsidR="002C78C7" w:rsidRPr="00641B6E" w:rsidRDefault="002C78C7" w:rsidP="00641B6E">
      <w:pPr>
        <w:jc w:val="center"/>
        <w:rPr>
          <w:color w:val="0000FF"/>
          <w:u w:val="single"/>
        </w:rPr>
      </w:pPr>
    </w:p>
    <w:sectPr w:rsidR="002C78C7" w:rsidRPr="00641B6E" w:rsidSect="00641B6E">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05F03" w14:textId="77777777" w:rsidR="00477AC0" w:rsidRPr="00A60E04" w:rsidRDefault="00477AC0">
      <w:pPr>
        <w:rPr>
          <w:rFonts w:cs="Arial"/>
          <w:szCs w:val="20"/>
        </w:rPr>
      </w:pPr>
      <w:r>
        <w:separator/>
      </w:r>
    </w:p>
  </w:endnote>
  <w:endnote w:type="continuationSeparator" w:id="0">
    <w:p w14:paraId="1F63ABEB" w14:textId="77777777" w:rsidR="00477AC0" w:rsidRPr="00A60E04" w:rsidRDefault="00477AC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13412" w14:textId="77777777" w:rsidR="00641B6E" w:rsidRDefault="00641B6E" w:rsidP="00641B6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55C77420" w14:textId="77777777" w:rsidR="002C78C7" w:rsidRPr="00641B6E" w:rsidRDefault="00641B6E" w:rsidP="00641B6E">
    <w:pPr>
      <w:pStyle w:val="a4"/>
      <w:pBdr>
        <w:top w:val="single" w:sz="4" w:space="1" w:color="auto"/>
        <w:between w:val="single" w:sz="4" w:space="0" w:color="auto"/>
      </w:pBdr>
      <w:spacing w:after="60"/>
      <w:jc w:val="center"/>
      <w:rPr>
        <w:rFonts w:ascii="FrankRuehl" w:hAnsi="FrankRuehl" w:cs="FrankRuehl"/>
        <w:color w:val="000000"/>
      </w:rPr>
    </w:pPr>
    <w:r w:rsidRPr="00641B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31491" w14:textId="77777777" w:rsidR="00641B6E" w:rsidRDefault="00641B6E" w:rsidP="00641B6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7273">
      <w:rPr>
        <w:rFonts w:ascii="FrankRuehl" w:hAnsi="FrankRuehl" w:cs="FrankRuehl"/>
        <w:noProof/>
        <w:rtl/>
      </w:rPr>
      <w:t>3</w:t>
    </w:r>
    <w:r>
      <w:rPr>
        <w:rFonts w:ascii="FrankRuehl" w:hAnsi="FrankRuehl" w:cs="FrankRuehl"/>
        <w:rtl/>
      </w:rPr>
      <w:fldChar w:fldCharType="end"/>
    </w:r>
  </w:p>
  <w:p w14:paraId="23B8DFA3" w14:textId="77777777" w:rsidR="002C78C7" w:rsidRPr="00641B6E" w:rsidRDefault="00641B6E" w:rsidP="00641B6E">
    <w:pPr>
      <w:pStyle w:val="a4"/>
      <w:pBdr>
        <w:top w:val="single" w:sz="4" w:space="1" w:color="auto"/>
        <w:between w:val="single" w:sz="4" w:space="0" w:color="auto"/>
      </w:pBdr>
      <w:spacing w:after="60"/>
      <w:jc w:val="center"/>
      <w:rPr>
        <w:rFonts w:ascii="FrankRuehl" w:hAnsi="FrankRuehl" w:cs="FrankRuehl"/>
        <w:color w:val="000000"/>
      </w:rPr>
    </w:pPr>
    <w:r w:rsidRPr="00641B6E">
      <w:rPr>
        <w:rFonts w:ascii="FrankRuehl" w:hAnsi="FrankRuehl" w:cs="FrankRuehl"/>
        <w:color w:val="000000"/>
      </w:rPr>
      <w:pict w14:anchorId="500E5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8169F" w14:textId="77777777" w:rsidR="00477AC0" w:rsidRPr="00A60E04" w:rsidRDefault="00477AC0">
      <w:pPr>
        <w:rPr>
          <w:rFonts w:cs="Arial"/>
          <w:szCs w:val="20"/>
        </w:rPr>
      </w:pPr>
      <w:r>
        <w:separator/>
      </w:r>
    </w:p>
  </w:footnote>
  <w:footnote w:type="continuationSeparator" w:id="0">
    <w:p w14:paraId="506D860E" w14:textId="77777777" w:rsidR="00477AC0" w:rsidRPr="00A60E04" w:rsidRDefault="00477AC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EFBF2" w14:textId="77777777" w:rsidR="00641B6E" w:rsidRPr="00641B6E" w:rsidRDefault="00641B6E" w:rsidP="00641B6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40152-10-11</w:t>
    </w:r>
    <w:r>
      <w:rPr>
        <w:color w:val="000000"/>
        <w:sz w:val="22"/>
        <w:szCs w:val="22"/>
        <w:rtl/>
      </w:rPr>
      <w:tab/>
      <w:t xml:space="preserve"> מדינת ישראל נ' אביב מנגיסטו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96650" w14:textId="77777777" w:rsidR="00641B6E" w:rsidRPr="00641B6E" w:rsidRDefault="00641B6E" w:rsidP="00641B6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40152-10-11</w:t>
    </w:r>
    <w:r>
      <w:rPr>
        <w:color w:val="000000"/>
        <w:sz w:val="22"/>
        <w:szCs w:val="22"/>
        <w:rtl/>
      </w:rPr>
      <w:tab/>
      <w:t xml:space="preserve"> מדינת ישראל נ' אביב מנגיסטו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7510"/>
    <w:multiLevelType w:val="hybridMultilevel"/>
    <w:tmpl w:val="4DC85328"/>
    <w:lvl w:ilvl="0" w:tplc="2368963E">
      <w:start w:val="1"/>
      <w:numFmt w:val="hebrew1"/>
      <w:lvlText w:val="%1."/>
      <w:lvlJc w:val="left"/>
      <w:pPr>
        <w:tabs>
          <w:tab w:val="num" w:pos="720"/>
        </w:tabs>
        <w:ind w:left="720" w:hanging="36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6069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78C7"/>
    <w:rsid w:val="002842A5"/>
    <w:rsid w:val="002C78C7"/>
    <w:rsid w:val="00477AC0"/>
    <w:rsid w:val="00571CA4"/>
    <w:rsid w:val="00641B6E"/>
    <w:rsid w:val="00917E60"/>
    <w:rsid w:val="00D97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282B52"/>
  <w15:chartTrackingRefBased/>
  <w15:docId w15:val="{E26DA120-24B6-47A0-AD78-32C180EF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78C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C78C7"/>
    <w:pPr>
      <w:tabs>
        <w:tab w:val="center" w:pos="4153"/>
        <w:tab w:val="right" w:pos="8306"/>
      </w:tabs>
    </w:pPr>
  </w:style>
  <w:style w:type="paragraph" w:styleId="a4">
    <w:name w:val="footer"/>
    <w:basedOn w:val="a"/>
    <w:rsid w:val="002C78C7"/>
    <w:pPr>
      <w:tabs>
        <w:tab w:val="center" w:pos="4153"/>
        <w:tab w:val="right" w:pos="8306"/>
      </w:tabs>
    </w:pPr>
  </w:style>
  <w:style w:type="character" w:styleId="a5">
    <w:name w:val="page number"/>
    <w:basedOn w:val="a0"/>
    <w:rsid w:val="002C78C7"/>
  </w:style>
  <w:style w:type="character" w:customStyle="1" w:styleId="TimesNewRomanTimesNewRoman">
    <w:name w:val="סגנון (לטיני) Times New Roman (עברית ושפות אחרות) Times New Roman..."/>
    <w:basedOn w:val="a0"/>
    <w:rsid w:val="002C78C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C78C7"/>
    <w:rPr>
      <w:rFonts w:ascii="Times New Roman" w:eastAsia="Times New Roman" w:hAnsi="Times New Roman"/>
      <w:b/>
      <w:bCs/>
      <w:u w:val="single"/>
    </w:rPr>
  </w:style>
  <w:style w:type="character" w:styleId="a6">
    <w:name w:val="line number"/>
    <w:basedOn w:val="a0"/>
    <w:rsid w:val="002C78C7"/>
  </w:style>
  <w:style w:type="character" w:styleId="Hyperlink">
    <w:name w:val="Hyperlink"/>
    <w:basedOn w:val="a0"/>
    <w:rsid w:val="00641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html/law01/073_002.ht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html/law01/P170_001.ht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3685</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40152;33516;7152</vt:lpwstr>
  </property>
  <property fmtid="{D5CDD505-2E9C-101B-9397-08002B2CF9AE}" pid="6" name="NEWPARTB">
    <vt:lpwstr>10;04;04</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אביב מנגיסטו</vt:lpwstr>
  </property>
  <property fmtid="{D5CDD505-2E9C-101B-9397-08002B2CF9AE}" pid="10" name="LAWYER">
    <vt:lpwstr>ליאת שפיר;ו אלי בניה</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20130916</vt:lpwstr>
  </property>
  <property fmtid="{D5CDD505-2E9C-101B-9397-08002B2CF9AE}" pid="14" name="TYPE_N_DATE">
    <vt:lpwstr>38020130916</vt:lpwstr>
  </property>
  <property fmtid="{D5CDD505-2E9C-101B-9397-08002B2CF9AE}" pid="15" name="WORDNUMPAGES">
    <vt:lpwstr>3</vt:lpwstr>
  </property>
  <property fmtid="{D5CDD505-2E9C-101B-9397-08002B2CF9AE}" pid="16" name="TYPE_ABS_DATE">
    <vt:lpwstr>380020130916</vt:lpwstr>
  </property>
  <property fmtid="{D5CDD505-2E9C-101B-9397-08002B2CF9AE}" pid="17" name="ISABSTRACT">
    <vt:lpwstr>Y</vt:lpwstr>
  </property>
</Properties>
</file>