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221F3A" w:rsidRPr="00432C3F" w14:paraId="2334F591" w14:textId="77777777">
        <w:trPr>
          <w:trHeight w:hRule="exact" w:val="418"/>
          <w:jc w:val="center"/>
        </w:trPr>
        <w:tc>
          <w:tcPr>
            <w:tcW w:w="8720" w:type="dxa"/>
            <w:gridSpan w:val="3"/>
          </w:tcPr>
          <w:p w14:paraId="69B6C1C8" w14:textId="77777777" w:rsidR="00221F3A" w:rsidRPr="00432C3F" w:rsidRDefault="00432C3F">
            <w:pPr>
              <w:pStyle w:val="a3"/>
              <w:tabs>
                <w:tab w:val="clear" w:pos="8306"/>
              </w:tabs>
              <w:jc w:val="center"/>
              <w:rPr>
                <w:rFonts w:ascii="Tahoma" w:hAnsi="Tahoma" w:cs="Tahoma"/>
                <w:b/>
                <w:bCs/>
                <w:color w:val="000080"/>
                <w:sz w:val="20"/>
                <w:szCs w:val="20"/>
                <w:rtl/>
              </w:rPr>
            </w:pPr>
            <w:bookmarkStart w:id="0" w:name="LastJudge"/>
            <w:r w:rsidRPr="00432C3F">
              <w:rPr>
                <w:rFonts w:ascii="Tahoma" w:hAnsi="Tahoma" w:cs="Tahoma"/>
                <w:b/>
                <w:bCs/>
                <w:color w:val="000080"/>
                <w:sz w:val="20"/>
                <w:szCs w:val="20"/>
                <w:rtl/>
              </w:rPr>
              <w:t>בית משפט השלום בירושלים</w:t>
            </w:r>
          </w:p>
        </w:tc>
      </w:tr>
      <w:tr w:rsidR="00221F3A" w:rsidRPr="00432C3F" w14:paraId="44EC1D00" w14:textId="77777777">
        <w:trPr>
          <w:trHeight w:val="337"/>
          <w:jc w:val="center"/>
        </w:trPr>
        <w:tc>
          <w:tcPr>
            <w:tcW w:w="3973" w:type="dxa"/>
          </w:tcPr>
          <w:p w14:paraId="41BD8255" w14:textId="77777777" w:rsidR="00221F3A" w:rsidRPr="00432C3F" w:rsidRDefault="00432C3F">
            <w:pPr>
              <w:rPr>
                <w:b/>
                <w:bCs/>
                <w:sz w:val="26"/>
                <w:szCs w:val="26"/>
                <w:rtl/>
              </w:rPr>
            </w:pPr>
            <w:r w:rsidRPr="00432C3F">
              <w:rPr>
                <w:b/>
                <w:bCs/>
                <w:sz w:val="26"/>
                <w:szCs w:val="26"/>
                <w:rtl/>
              </w:rPr>
              <w:t>ת"פ</w:t>
            </w:r>
            <w:r w:rsidRPr="00432C3F">
              <w:rPr>
                <w:rFonts w:hint="cs"/>
                <w:b/>
                <w:bCs/>
                <w:sz w:val="26"/>
                <w:szCs w:val="26"/>
                <w:rtl/>
              </w:rPr>
              <w:t xml:space="preserve"> </w:t>
            </w:r>
            <w:r w:rsidRPr="00432C3F">
              <w:rPr>
                <w:b/>
                <w:bCs/>
                <w:sz w:val="26"/>
                <w:szCs w:val="26"/>
                <w:rtl/>
              </w:rPr>
              <w:t>5603-11-11</w:t>
            </w:r>
            <w:r w:rsidRPr="00432C3F">
              <w:rPr>
                <w:rFonts w:hint="cs"/>
                <w:b/>
                <w:bCs/>
                <w:sz w:val="26"/>
                <w:szCs w:val="26"/>
                <w:rtl/>
              </w:rPr>
              <w:t xml:space="preserve"> </w:t>
            </w:r>
            <w:r w:rsidRPr="00432C3F">
              <w:rPr>
                <w:b/>
                <w:bCs/>
                <w:sz w:val="26"/>
                <w:szCs w:val="26"/>
                <w:rtl/>
              </w:rPr>
              <w:t>מדינת ישראל נ' ציטרון</w:t>
            </w:r>
          </w:p>
          <w:p w14:paraId="1E3DDBBC" w14:textId="77777777" w:rsidR="00221F3A" w:rsidRPr="00432C3F" w:rsidRDefault="00221F3A">
            <w:pPr>
              <w:rPr>
                <w:b/>
                <w:bCs/>
                <w:sz w:val="26"/>
                <w:szCs w:val="26"/>
                <w:rtl/>
              </w:rPr>
            </w:pPr>
          </w:p>
        </w:tc>
        <w:tc>
          <w:tcPr>
            <w:tcW w:w="1068" w:type="dxa"/>
          </w:tcPr>
          <w:p w14:paraId="46238181" w14:textId="77777777" w:rsidR="00221F3A" w:rsidRPr="00432C3F" w:rsidRDefault="00221F3A">
            <w:pPr>
              <w:pStyle w:val="a3"/>
              <w:jc w:val="right"/>
              <w:rPr>
                <w:b/>
                <w:bCs/>
                <w:sz w:val="26"/>
                <w:szCs w:val="26"/>
                <w:rtl/>
              </w:rPr>
            </w:pPr>
          </w:p>
        </w:tc>
        <w:tc>
          <w:tcPr>
            <w:tcW w:w="3679" w:type="dxa"/>
          </w:tcPr>
          <w:p w14:paraId="5B2C1345" w14:textId="77777777" w:rsidR="00221F3A" w:rsidRPr="00432C3F" w:rsidRDefault="00432C3F">
            <w:pPr>
              <w:pStyle w:val="a3"/>
              <w:tabs>
                <w:tab w:val="clear" w:pos="4153"/>
              </w:tabs>
              <w:jc w:val="right"/>
              <w:rPr>
                <w:b/>
                <w:bCs/>
                <w:sz w:val="26"/>
                <w:szCs w:val="26"/>
                <w:rtl/>
              </w:rPr>
            </w:pPr>
            <w:r w:rsidRPr="00432C3F">
              <w:rPr>
                <w:b/>
                <w:bCs/>
                <w:sz w:val="26"/>
                <w:szCs w:val="26"/>
                <w:rtl/>
              </w:rPr>
              <w:t>10 אפריל 2013</w:t>
            </w:r>
          </w:p>
        </w:tc>
      </w:tr>
    </w:tbl>
    <w:p w14:paraId="31216829" w14:textId="77777777" w:rsidR="00221F3A" w:rsidRPr="00432C3F" w:rsidRDefault="00221F3A">
      <w:pPr>
        <w:pStyle w:val="a3"/>
        <w:jc w:val="center"/>
        <w:rPr>
          <w:rFonts w:ascii="Tahoma" w:hAnsi="Tahoma" w:cs="Tahoma"/>
          <w:b/>
          <w:bCs/>
          <w:color w:val="000080"/>
          <w:sz w:val="20"/>
          <w:szCs w:val="20"/>
          <w:rtl/>
        </w:rPr>
      </w:pPr>
    </w:p>
    <w:p w14:paraId="69A5BA98" w14:textId="77777777" w:rsidR="00221F3A" w:rsidRPr="00432C3F" w:rsidRDefault="00221F3A">
      <w:pPr>
        <w:spacing w:line="360" w:lineRule="auto"/>
        <w:jc w:val="both"/>
        <w:rPr>
          <w:rtl/>
        </w:rPr>
      </w:pPr>
    </w:p>
    <w:tbl>
      <w:tblPr>
        <w:bidiVisual/>
        <w:tblW w:w="0" w:type="auto"/>
        <w:jc w:val="center"/>
        <w:tblLook w:val="0000" w:firstRow="0" w:lastRow="0" w:firstColumn="0" w:lastColumn="0" w:noHBand="0" w:noVBand="0"/>
      </w:tblPr>
      <w:tblGrid>
        <w:gridCol w:w="1581"/>
        <w:gridCol w:w="1279"/>
        <w:gridCol w:w="5779"/>
        <w:gridCol w:w="81"/>
      </w:tblGrid>
      <w:tr w:rsidR="00221F3A" w:rsidRPr="00432C3F" w14:paraId="70563C6C" w14:textId="77777777">
        <w:trPr>
          <w:gridAfter w:val="1"/>
          <w:wAfter w:w="54" w:type="dxa"/>
          <w:trHeight w:val="337"/>
          <w:jc w:val="center"/>
        </w:trPr>
        <w:tc>
          <w:tcPr>
            <w:tcW w:w="1592" w:type="dxa"/>
          </w:tcPr>
          <w:p w14:paraId="15F440EC" w14:textId="77777777" w:rsidR="00221F3A" w:rsidRPr="00432C3F" w:rsidRDefault="00221F3A">
            <w:pPr>
              <w:pStyle w:val="a3"/>
              <w:spacing w:line="360" w:lineRule="auto"/>
              <w:jc w:val="both"/>
              <w:rPr>
                <w:b/>
                <w:bCs/>
                <w:sz w:val="26"/>
                <w:szCs w:val="26"/>
                <w:rtl/>
              </w:rPr>
            </w:pPr>
          </w:p>
        </w:tc>
        <w:tc>
          <w:tcPr>
            <w:tcW w:w="7128" w:type="dxa"/>
            <w:gridSpan w:val="2"/>
          </w:tcPr>
          <w:p w14:paraId="566B6032" w14:textId="77777777" w:rsidR="00221F3A" w:rsidRPr="00432C3F" w:rsidRDefault="00432C3F">
            <w:pPr>
              <w:pStyle w:val="a3"/>
              <w:jc w:val="right"/>
              <w:rPr>
                <w:b/>
                <w:bCs/>
                <w:sz w:val="26"/>
                <w:szCs w:val="26"/>
                <w:rtl/>
              </w:rPr>
            </w:pPr>
            <w:r w:rsidRPr="00432C3F">
              <w:rPr>
                <w:rFonts w:hint="cs"/>
                <w:rtl/>
              </w:rPr>
              <w:t>5638-11-11</w:t>
            </w:r>
          </w:p>
        </w:tc>
      </w:tr>
      <w:tr w:rsidR="00221F3A" w:rsidRPr="00432C3F" w14:paraId="5B097774" w14:textId="77777777">
        <w:tblPrEx>
          <w:jc w:val="left"/>
          <w:tblLook w:val="01E0" w:firstRow="1" w:lastRow="1" w:firstColumn="1" w:lastColumn="1" w:noHBand="0" w:noVBand="0"/>
        </w:tblPrEx>
        <w:trPr>
          <w:gridAfter w:val="1"/>
          <w:wAfter w:w="55" w:type="dxa"/>
        </w:trPr>
        <w:tc>
          <w:tcPr>
            <w:tcW w:w="8719" w:type="dxa"/>
            <w:gridSpan w:val="3"/>
          </w:tcPr>
          <w:p w14:paraId="3758E868" w14:textId="77777777" w:rsidR="00221F3A" w:rsidRPr="00432C3F" w:rsidRDefault="00432C3F">
            <w:pPr>
              <w:spacing w:line="360" w:lineRule="auto"/>
              <w:jc w:val="both"/>
              <w:rPr>
                <w:rFonts w:ascii="Times New Roman" w:eastAsia="Times New Roman" w:hAnsi="Times New Roman" w:cs="Times New Roman"/>
                <w:rtl/>
              </w:rPr>
            </w:pPr>
            <w:r w:rsidRPr="00432C3F">
              <w:rPr>
                <w:rFonts w:ascii="Times New Roman" w:eastAsia="Times New Roman" w:hAnsi="Times New Roman" w:hint="cs"/>
                <w:b/>
                <w:bCs/>
                <w:sz w:val="26"/>
                <w:szCs w:val="26"/>
                <w:rtl/>
              </w:rPr>
              <w:t>בפני כב' ה</w:t>
            </w:r>
            <w:r w:rsidRPr="00432C3F">
              <w:rPr>
                <w:rFonts w:ascii="Times New Roman" w:eastAsia="Times New Roman" w:hAnsi="Times New Roman" w:hint="cs"/>
                <w:rtl/>
              </w:rPr>
              <w:t xml:space="preserve">שופט דב פולוק </w:t>
            </w:r>
          </w:p>
          <w:p w14:paraId="68D8AA48" w14:textId="77777777" w:rsidR="00221F3A" w:rsidRPr="00432C3F" w:rsidRDefault="00221F3A">
            <w:pPr>
              <w:spacing w:line="360" w:lineRule="auto"/>
              <w:jc w:val="both"/>
              <w:rPr>
                <w:rFonts w:ascii="Arial" w:eastAsia="Times New Roman" w:hAnsi="Arial" w:cs="Times New Roman"/>
                <w:rtl/>
              </w:rPr>
            </w:pPr>
          </w:p>
        </w:tc>
      </w:tr>
      <w:tr w:rsidR="00221F3A" w:rsidRPr="00432C3F" w14:paraId="7AAD70D2" w14:textId="77777777">
        <w:tblPrEx>
          <w:jc w:val="left"/>
          <w:tblLook w:val="01E0" w:firstRow="1" w:lastRow="1" w:firstColumn="1" w:lastColumn="1" w:noHBand="0" w:noVBand="0"/>
        </w:tblPrEx>
        <w:tc>
          <w:tcPr>
            <w:tcW w:w="2880" w:type="dxa"/>
            <w:gridSpan w:val="2"/>
          </w:tcPr>
          <w:p w14:paraId="15387B2E" w14:textId="77777777" w:rsidR="00221F3A" w:rsidRPr="00432C3F" w:rsidRDefault="00432C3F">
            <w:pPr>
              <w:ind w:left="26"/>
              <w:rPr>
                <w:rFonts w:ascii="Times New Roman" w:eastAsia="Times New Roman" w:hAnsi="Times New Roman"/>
                <w:b/>
                <w:bCs/>
                <w:sz w:val="26"/>
                <w:szCs w:val="26"/>
                <w:rtl/>
              </w:rPr>
            </w:pPr>
            <w:bookmarkStart w:id="1" w:name="FirstAppellant"/>
            <w:r w:rsidRPr="00432C3F">
              <w:rPr>
                <w:rFonts w:ascii="Times New Roman" w:eastAsia="Times New Roman" w:hAnsi="Times New Roman" w:hint="cs"/>
                <w:b/>
                <w:bCs/>
                <w:sz w:val="26"/>
                <w:szCs w:val="26"/>
                <w:rtl/>
              </w:rPr>
              <w:t>ה</w:t>
            </w:r>
            <w:r w:rsidRPr="00432C3F">
              <w:rPr>
                <w:rFonts w:ascii="Times New Roman" w:eastAsia="Times New Roman" w:hAnsi="Times New Roman" w:hint="cs"/>
                <w:rtl/>
              </w:rPr>
              <w:t>מאשימה</w:t>
            </w:r>
          </w:p>
        </w:tc>
        <w:tc>
          <w:tcPr>
            <w:tcW w:w="5922" w:type="dxa"/>
            <w:gridSpan w:val="2"/>
          </w:tcPr>
          <w:p w14:paraId="32DA459D" w14:textId="77777777" w:rsidR="00221F3A" w:rsidRPr="00432C3F" w:rsidRDefault="00432C3F">
            <w:pPr>
              <w:rPr>
                <w:rFonts w:ascii="Times New Roman" w:eastAsia="Times New Roman" w:hAnsi="Times New Roman"/>
                <w:b/>
                <w:bCs/>
                <w:sz w:val="26"/>
                <w:szCs w:val="26"/>
                <w:rtl/>
              </w:rPr>
            </w:pPr>
            <w:r w:rsidRPr="00432C3F">
              <w:rPr>
                <w:rFonts w:ascii="Times New Roman" w:eastAsia="Times New Roman" w:hAnsi="Times New Roman" w:hint="cs"/>
                <w:b/>
                <w:bCs/>
                <w:sz w:val="26"/>
                <w:szCs w:val="26"/>
                <w:rtl/>
              </w:rPr>
              <w:t xml:space="preserve"> </w:t>
            </w:r>
            <w:r w:rsidRPr="00432C3F">
              <w:rPr>
                <w:rFonts w:ascii="Times New Roman" w:eastAsia="Times New Roman" w:hAnsi="Times New Roman" w:hint="cs"/>
                <w:rtl/>
              </w:rPr>
              <w:t>מדינת ישראל</w:t>
            </w:r>
          </w:p>
        </w:tc>
      </w:tr>
      <w:bookmarkEnd w:id="1"/>
      <w:tr w:rsidR="00221F3A" w:rsidRPr="00432C3F" w14:paraId="5FF67F47" w14:textId="77777777">
        <w:tblPrEx>
          <w:jc w:val="left"/>
          <w:tblLook w:val="01E0" w:firstRow="1" w:lastRow="1" w:firstColumn="1" w:lastColumn="1" w:noHBand="0" w:noVBand="0"/>
        </w:tblPrEx>
        <w:tc>
          <w:tcPr>
            <w:tcW w:w="8802" w:type="dxa"/>
            <w:gridSpan w:val="4"/>
          </w:tcPr>
          <w:p w14:paraId="6ACE31DB" w14:textId="77777777" w:rsidR="00221F3A" w:rsidRPr="00432C3F" w:rsidRDefault="00221F3A">
            <w:pPr>
              <w:jc w:val="both"/>
              <w:rPr>
                <w:rFonts w:ascii="Arial" w:eastAsia="Times New Roman" w:hAnsi="Arial"/>
                <w:b/>
                <w:bCs/>
                <w:sz w:val="26"/>
                <w:szCs w:val="26"/>
                <w:rtl/>
              </w:rPr>
            </w:pPr>
          </w:p>
          <w:p w14:paraId="035B8B49" w14:textId="77777777" w:rsidR="00221F3A" w:rsidRPr="00432C3F" w:rsidRDefault="00432C3F">
            <w:pPr>
              <w:jc w:val="center"/>
              <w:rPr>
                <w:rFonts w:ascii="Arial" w:eastAsia="Times New Roman" w:hAnsi="Arial"/>
                <w:b/>
                <w:bCs/>
                <w:sz w:val="26"/>
                <w:szCs w:val="26"/>
                <w:rtl/>
              </w:rPr>
            </w:pPr>
            <w:r w:rsidRPr="00432C3F">
              <w:rPr>
                <w:rFonts w:ascii="Arial" w:eastAsia="Times New Roman" w:hAnsi="Arial"/>
                <w:b/>
                <w:bCs/>
                <w:sz w:val="26"/>
                <w:szCs w:val="26"/>
                <w:rtl/>
              </w:rPr>
              <w:t>נגד</w:t>
            </w:r>
          </w:p>
          <w:p w14:paraId="69FB1236" w14:textId="77777777" w:rsidR="00221F3A" w:rsidRPr="00432C3F" w:rsidRDefault="00221F3A">
            <w:pPr>
              <w:jc w:val="center"/>
              <w:rPr>
                <w:rFonts w:ascii="Arial" w:eastAsia="Times New Roman" w:hAnsi="Arial"/>
                <w:b/>
                <w:bCs/>
                <w:sz w:val="26"/>
                <w:szCs w:val="26"/>
              </w:rPr>
            </w:pPr>
          </w:p>
        </w:tc>
      </w:tr>
      <w:tr w:rsidR="00221F3A" w:rsidRPr="00432C3F" w14:paraId="2C14073A" w14:textId="77777777">
        <w:tblPrEx>
          <w:jc w:val="left"/>
          <w:tblLook w:val="01E0" w:firstRow="1" w:lastRow="1" w:firstColumn="1" w:lastColumn="1" w:noHBand="0" w:noVBand="0"/>
        </w:tblPrEx>
        <w:tc>
          <w:tcPr>
            <w:tcW w:w="2880" w:type="dxa"/>
            <w:gridSpan w:val="2"/>
          </w:tcPr>
          <w:p w14:paraId="0E7DA295" w14:textId="77777777" w:rsidR="00221F3A" w:rsidRPr="00432C3F" w:rsidRDefault="00432C3F">
            <w:pPr>
              <w:ind w:left="26"/>
              <w:rPr>
                <w:rFonts w:ascii="Times New Roman" w:eastAsia="Times New Roman" w:hAnsi="Times New Roman"/>
                <w:b/>
                <w:bCs/>
                <w:sz w:val="26"/>
                <w:szCs w:val="26"/>
                <w:rtl/>
              </w:rPr>
            </w:pPr>
            <w:r w:rsidRPr="00432C3F">
              <w:rPr>
                <w:rFonts w:ascii="Times New Roman" w:eastAsia="Times New Roman" w:hAnsi="Times New Roman" w:hint="cs"/>
                <w:b/>
                <w:bCs/>
                <w:sz w:val="26"/>
                <w:szCs w:val="26"/>
                <w:rtl/>
              </w:rPr>
              <w:t>ה</w:t>
            </w:r>
            <w:r w:rsidRPr="00432C3F">
              <w:rPr>
                <w:rFonts w:ascii="Times New Roman" w:eastAsia="Times New Roman" w:hAnsi="Times New Roman" w:hint="cs"/>
                <w:rtl/>
              </w:rPr>
              <w:t>נאשם</w:t>
            </w:r>
          </w:p>
        </w:tc>
        <w:tc>
          <w:tcPr>
            <w:tcW w:w="5922" w:type="dxa"/>
            <w:gridSpan w:val="2"/>
          </w:tcPr>
          <w:p w14:paraId="04D2F52A" w14:textId="77777777" w:rsidR="00221F3A" w:rsidRPr="00432C3F" w:rsidRDefault="00432C3F">
            <w:pPr>
              <w:rPr>
                <w:rFonts w:ascii="Times New Roman" w:eastAsia="Times New Roman" w:hAnsi="Times New Roman"/>
                <w:b/>
                <w:bCs/>
                <w:sz w:val="26"/>
                <w:szCs w:val="26"/>
                <w:rtl/>
              </w:rPr>
            </w:pPr>
            <w:r w:rsidRPr="00432C3F">
              <w:rPr>
                <w:rFonts w:ascii="Times New Roman" w:eastAsia="Times New Roman" w:hAnsi="Times New Roman" w:hint="cs"/>
                <w:rtl/>
              </w:rPr>
              <w:t>יאיר ציטרון</w:t>
            </w:r>
          </w:p>
        </w:tc>
      </w:tr>
    </w:tbl>
    <w:p w14:paraId="1766140A" w14:textId="77777777" w:rsidR="00221F3A" w:rsidRPr="00432C3F" w:rsidRDefault="00221F3A">
      <w:pPr>
        <w:spacing w:line="360" w:lineRule="auto"/>
        <w:jc w:val="both"/>
        <w:rPr>
          <w:rtl/>
        </w:rPr>
      </w:pPr>
    </w:p>
    <w:p w14:paraId="421B808D" w14:textId="77777777" w:rsidR="00221F3A" w:rsidRPr="00432C3F" w:rsidRDefault="00221F3A">
      <w:pPr>
        <w:spacing w:line="360" w:lineRule="auto"/>
        <w:jc w:val="both"/>
        <w:rPr>
          <w:rtl/>
        </w:rPr>
      </w:pPr>
    </w:p>
    <w:p w14:paraId="341F6E8D" w14:textId="77777777" w:rsidR="00221F3A" w:rsidRPr="00432C3F" w:rsidRDefault="00432C3F">
      <w:pPr>
        <w:spacing w:line="360" w:lineRule="auto"/>
        <w:jc w:val="both"/>
        <w:rPr>
          <w:sz w:val="6"/>
          <w:szCs w:val="6"/>
          <w:rtl/>
        </w:rPr>
      </w:pPr>
      <w:r w:rsidRPr="00432C3F">
        <w:rPr>
          <w:sz w:val="6"/>
          <w:szCs w:val="6"/>
          <w:rtl/>
        </w:rPr>
        <w:t>&lt;#2#&gt;</w:t>
      </w:r>
    </w:p>
    <w:p w14:paraId="34E0DC15" w14:textId="77777777" w:rsidR="00221F3A" w:rsidRPr="00432C3F" w:rsidRDefault="00432C3F">
      <w:pPr>
        <w:pStyle w:val="12"/>
        <w:rPr>
          <w:u w:val="none"/>
          <w:rtl/>
        </w:rPr>
      </w:pPr>
      <w:r w:rsidRPr="00432C3F">
        <w:rPr>
          <w:rFonts w:hint="cs"/>
          <w:u w:val="none"/>
          <w:rtl/>
        </w:rPr>
        <w:t>נוכחים:</w:t>
      </w:r>
    </w:p>
    <w:p w14:paraId="3167E8B2" w14:textId="77777777" w:rsidR="00221F3A" w:rsidRPr="00432C3F" w:rsidRDefault="00432C3F">
      <w:pPr>
        <w:pStyle w:val="12"/>
        <w:rPr>
          <w:b w:val="0"/>
          <w:bCs w:val="0"/>
          <w:u w:val="none"/>
          <w:rtl/>
        </w:rPr>
      </w:pPr>
      <w:bookmarkStart w:id="2" w:name="FirstLawyer"/>
      <w:r w:rsidRPr="00432C3F">
        <w:rPr>
          <w:rFonts w:hint="cs"/>
          <w:b w:val="0"/>
          <w:bCs w:val="0"/>
          <w:u w:val="none"/>
          <w:rtl/>
        </w:rPr>
        <w:t>ב"כ</w:t>
      </w:r>
      <w:bookmarkEnd w:id="2"/>
      <w:r w:rsidRPr="00432C3F">
        <w:rPr>
          <w:rFonts w:hint="cs"/>
          <w:b w:val="0"/>
          <w:bCs w:val="0"/>
          <w:u w:val="none"/>
          <w:rtl/>
        </w:rPr>
        <w:t xml:space="preserve"> המאשימה עו"ד אמיר כהן </w:t>
      </w:r>
    </w:p>
    <w:p w14:paraId="7A56D10C" w14:textId="77777777" w:rsidR="00221F3A" w:rsidRPr="00432C3F" w:rsidRDefault="00432C3F">
      <w:pPr>
        <w:pStyle w:val="12"/>
        <w:rPr>
          <w:b w:val="0"/>
          <w:bCs w:val="0"/>
          <w:u w:val="none"/>
          <w:rtl/>
        </w:rPr>
      </w:pPr>
      <w:r w:rsidRPr="00432C3F">
        <w:rPr>
          <w:rFonts w:hint="cs"/>
          <w:b w:val="0"/>
          <w:bCs w:val="0"/>
          <w:u w:val="none"/>
          <w:rtl/>
        </w:rPr>
        <w:t>הנאשם ובא כחו עו"ד יאיר גולן</w:t>
      </w:r>
    </w:p>
    <w:p w14:paraId="6F9EB823" w14:textId="77777777" w:rsidR="00221F3A" w:rsidRPr="00432C3F" w:rsidRDefault="00221F3A">
      <w:pPr>
        <w:pStyle w:val="12"/>
        <w:rPr>
          <w:b w:val="0"/>
          <w:bCs w:val="0"/>
          <w:u w:val="none"/>
          <w:rtl/>
        </w:rPr>
      </w:pPr>
    </w:p>
    <w:p w14:paraId="370AFD71" w14:textId="77777777" w:rsidR="00221F3A" w:rsidRPr="00432C3F" w:rsidRDefault="00432C3F">
      <w:pPr>
        <w:spacing w:line="360" w:lineRule="auto"/>
        <w:jc w:val="center"/>
        <w:rPr>
          <w:rFonts w:ascii="Arial" w:hAnsi="Arial"/>
          <w:b/>
          <w:bCs/>
          <w:sz w:val="28"/>
          <w:szCs w:val="28"/>
          <w:rtl/>
        </w:rPr>
      </w:pPr>
      <w:r w:rsidRPr="00432C3F">
        <w:rPr>
          <w:rFonts w:ascii="Arial" w:hAnsi="Arial"/>
          <w:b/>
          <w:color w:val="FF0000"/>
          <w:sz w:val="28"/>
          <w:rtl/>
        </w:rPr>
        <w:t>במסמך זה הושמטו פרוטוקולים</w:t>
      </w:r>
    </w:p>
    <w:p w14:paraId="3BA9B317" w14:textId="77777777" w:rsidR="00432C3F" w:rsidRPr="00432C3F" w:rsidRDefault="00432C3F">
      <w:pPr>
        <w:spacing w:line="360" w:lineRule="auto"/>
        <w:jc w:val="center"/>
        <w:rPr>
          <w:rFonts w:ascii="Arial" w:hAnsi="Arial"/>
          <w:b/>
          <w:bCs/>
          <w:sz w:val="28"/>
          <w:szCs w:val="28"/>
          <w:rtl/>
        </w:rPr>
      </w:pPr>
    </w:p>
    <w:p w14:paraId="7848476D" w14:textId="77777777" w:rsidR="00432C3F" w:rsidRPr="00432C3F" w:rsidRDefault="00432C3F" w:rsidP="00432C3F">
      <w:pPr>
        <w:spacing w:line="360" w:lineRule="auto"/>
        <w:jc w:val="center"/>
        <w:rPr>
          <w:rFonts w:ascii="Arial" w:hAnsi="Arial"/>
          <w:b/>
          <w:bCs/>
          <w:sz w:val="28"/>
          <w:szCs w:val="28"/>
          <w:u w:val="single"/>
          <w:rtl/>
        </w:rPr>
      </w:pPr>
      <w:bookmarkStart w:id="3" w:name="PsakDin"/>
      <w:bookmarkEnd w:id="0"/>
      <w:r w:rsidRPr="00432C3F">
        <w:rPr>
          <w:rFonts w:ascii="Arial" w:hAnsi="Arial"/>
          <w:b/>
          <w:bCs/>
          <w:sz w:val="28"/>
          <w:szCs w:val="28"/>
          <w:u w:val="single"/>
          <w:rtl/>
        </w:rPr>
        <w:t>גזר דין</w:t>
      </w:r>
    </w:p>
    <w:bookmarkEnd w:id="3"/>
    <w:p w14:paraId="07E92B25" w14:textId="77777777" w:rsidR="00221F3A" w:rsidRDefault="00432C3F">
      <w:pPr>
        <w:spacing w:line="360" w:lineRule="auto"/>
        <w:jc w:val="both"/>
        <w:rPr>
          <w:rFonts w:ascii="Arial" w:hAnsi="Arial"/>
          <w:rtl/>
        </w:rPr>
      </w:pPr>
      <w:r>
        <w:rPr>
          <w:rFonts w:ascii="Arial" w:hAnsi="Arial" w:hint="cs"/>
          <w:rtl/>
        </w:rPr>
        <w:t>הנאשם הורשע על פי הודאתו ב-4 עבירות של סחר בסם מסוכן לפי סעיף 13 ל</w:t>
      </w:r>
      <w:hyperlink r:id="rId6" w:history="1">
        <w:r w:rsidRPr="00432C3F">
          <w:rPr>
            <w:rFonts w:ascii="Arial" w:hAnsi="Arial"/>
            <w:color w:val="0000FF"/>
            <w:u w:val="single"/>
            <w:rtl/>
          </w:rPr>
          <w:t>פקודת הסמים המסוכנים</w:t>
        </w:r>
      </w:hyperlink>
      <w:r>
        <w:rPr>
          <w:rFonts w:ascii="Arial" w:hAnsi="Arial" w:hint="cs"/>
          <w:rtl/>
        </w:rPr>
        <w:t xml:space="preserve"> (נוסח חדש) תשל"ג-1973. </w:t>
      </w:r>
    </w:p>
    <w:p w14:paraId="1728D860" w14:textId="77777777" w:rsidR="00221F3A" w:rsidRDefault="00432C3F">
      <w:pPr>
        <w:spacing w:line="360" w:lineRule="auto"/>
        <w:jc w:val="both"/>
        <w:rPr>
          <w:rFonts w:ascii="Arial" w:hAnsi="Arial"/>
          <w:rtl/>
        </w:rPr>
      </w:pPr>
      <w:r>
        <w:rPr>
          <w:rFonts w:ascii="Arial" w:hAnsi="Arial" w:hint="cs"/>
          <w:rtl/>
        </w:rPr>
        <w:t xml:space="preserve">אין לנאשם הרשעות קודמות. </w:t>
      </w:r>
    </w:p>
    <w:p w14:paraId="15019B9E" w14:textId="77777777" w:rsidR="00221F3A" w:rsidRDefault="00432C3F">
      <w:pPr>
        <w:spacing w:line="360" w:lineRule="auto"/>
        <w:jc w:val="both"/>
        <w:rPr>
          <w:rFonts w:ascii="Arial" w:hAnsi="Arial"/>
          <w:rtl/>
        </w:rPr>
      </w:pPr>
      <w:r>
        <w:rPr>
          <w:rFonts w:ascii="Arial" w:hAnsi="Arial" w:hint="cs"/>
          <w:rtl/>
        </w:rPr>
        <w:t xml:space="preserve">הצדדים הגיעו להסדר טיעון לפיו מתבקש בית המשפט להטיל על הנאשם מאסר מותנה ו-300 שעות של"צ. </w:t>
      </w:r>
    </w:p>
    <w:p w14:paraId="79BBAD79" w14:textId="77777777" w:rsidR="00221F3A" w:rsidRDefault="00432C3F">
      <w:pPr>
        <w:spacing w:line="360" w:lineRule="auto"/>
        <w:jc w:val="both"/>
        <w:rPr>
          <w:rFonts w:ascii="Arial" w:hAnsi="Arial"/>
          <w:rtl/>
        </w:rPr>
      </w:pPr>
      <w:r>
        <w:rPr>
          <w:rFonts w:ascii="Arial" w:hAnsi="Arial" w:hint="cs"/>
          <w:rtl/>
        </w:rPr>
        <w:t xml:space="preserve">אכן מדובר בעונש קל. יחד עם זאת, בית המשפט שקל את הנסיבות האישיות של הנאשם והן תהליך השיקום שעבר הנאשם והן את האמור בתסקירי שרות המבחן, כן אציין שהחזקה על המאשימה שידעה לשקול את כל השיקולים הרלוונטיים בהגיעה להסדר. אשר על כן החלטתי לאמץ את הסדר הטיעון ואני דן את הנאשם לעונשים הבאים: </w:t>
      </w:r>
    </w:p>
    <w:p w14:paraId="2FFAFA30" w14:textId="77777777" w:rsidR="00221F3A" w:rsidRDefault="00432C3F">
      <w:pPr>
        <w:spacing w:line="360" w:lineRule="auto"/>
        <w:ind w:left="720" w:hanging="720"/>
        <w:jc w:val="both"/>
        <w:rPr>
          <w:rFonts w:ascii="Arial" w:hAnsi="Arial"/>
          <w:rtl/>
        </w:rPr>
      </w:pPr>
      <w:r>
        <w:rPr>
          <w:rFonts w:ascii="Arial" w:hAnsi="Arial" w:hint="cs"/>
          <w:rtl/>
        </w:rPr>
        <w:t>1.</w:t>
      </w:r>
      <w:r>
        <w:rPr>
          <w:rFonts w:ascii="Arial" w:hAnsi="Arial" w:hint="cs"/>
          <w:rtl/>
        </w:rPr>
        <w:tab/>
        <w:t xml:space="preserve">6 חודשי מאסר, וזאת על תנאי למשך 3 שנים. התנאי למאסר עבירה על </w:t>
      </w:r>
      <w:hyperlink r:id="rId7" w:history="1">
        <w:r w:rsidRPr="00432C3F">
          <w:rPr>
            <w:rFonts w:ascii="Arial" w:hAnsi="Arial"/>
            <w:color w:val="0000FF"/>
            <w:u w:val="single"/>
            <w:rtl/>
          </w:rPr>
          <w:t>פקודת הסמים המסוכנים</w:t>
        </w:r>
      </w:hyperlink>
      <w:r>
        <w:rPr>
          <w:rFonts w:ascii="Arial" w:hAnsi="Arial" w:hint="cs"/>
          <w:rtl/>
        </w:rPr>
        <w:t xml:space="preserve"> (נוסח חדש) תשל"ג-1973 למעט עבירה של החזקת סם לשימוש עצמי. </w:t>
      </w:r>
    </w:p>
    <w:p w14:paraId="4A5CC766" w14:textId="77777777" w:rsidR="00221F3A" w:rsidRDefault="00432C3F">
      <w:pPr>
        <w:spacing w:line="360" w:lineRule="auto"/>
        <w:ind w:left="720" w:hanging="720"/>
        <w:jc w:val="both"/>
        <w:rPr>
          <w:rFonts w:ascii="Arial" w:hAnsi="Arial"/>
          <w:rtl/>
        </w:rPr>
      </w:pPr>
      <w:r>
        <w:rPr>
          <w:rFonts w:ascii="Arial" w:hAnsi="Arial" w:hint="cs"/>
          <w:rtl/>
        </w:rPr>
        <w:t>2.</w:t>
      </w:r>
      <w:r>
        <w:rPr>
          <w:rFonts w:ascii="Arial" w:hAnsi="Arial" w:hint="cs"/>
          <w:rtl/>
        </w:rPr>
        <w:tab/>
        <w:t xml:space="preserve">הנני מטיל על הנאשם, לאחר שהביע את הסכמתו, לבצע 300 שעות שרות לתועלת הציבור בתוך שנה מהיום. העבודות יבוצעו במסגרת בית אבות "נווה שמחה" בירושלים בביצוע שליחויות וליווי לקשישים. הודע לנאשם שאם הוא לא יבצע את שרות לתועלת הציבור בהתאם לצו בית המשפט רשאי להטיל עליו עונש חלופי. אם יהיה צורך בשינוי מקום ההשמה שרות המבחן יבצע את השינוי ויודיע לצדדים ולבית המשפט ללא צורך בדיון נוסף. </w:t>
      </w:r>
    </w:p>
    <w:p w14:paraId="645A643A" w14:textId="77777777" w:rsidR="00221F3A" w:rsidRDefault="00432C3F">
      <w:pPr>
        <w:spacing w:line="360" w:lineRule="auto"/>
        <w:ind w:left="720" w:hanging="720"/>
        <w:jc w:val="both"/>
        <w:rPr>
          <w:rFonts w:ascii="Arial" w:hAnsi="Arial"/>
          <w:rtl/>
        </w:rPr>
      </w:pPr>
      <w:r>
        <w:rPr>
          <w:rFonts w:ascii="Arial" w:hAnsi="Arial" w:hint="cs"/>
          <w:rtl/>
        </w:rPr>
        <w:t>3.</w:t>
      </w:r>
      <w:r>
        <w:rPr>
          <w:rFonts w:ascii="Arial" w:hAnsi="Arial" w:hint="cs"/>
          <w:rtl/>
        </w:rPr>
        <w:tab/>
        <w:t xml:space="preserve">הנני מורה על חילוט הסם לצורך השמדה. </w:t>
      </w:r>
    </w:p>
    <w:p w14:paraId="7AC3EC8B" w14:textId="77777777" w:rsidR="00221F3A" w:rsidRDefault="00221F3A">
      <w:pPr>
        <w:spacing w:line="360" w:lineRule="auto"/>
        <w:ind w:left="720" w:hanging="720"/>
        <w:jc w:val="both"/>
        <w:rPr>
          <w:rFonts w:ascii="Arial" w:hAnsi="Arial"/>
          <w:rtl/>
        </w:rPr>
      </w:pPr>
    </w:p>
    <w:p w14:paraId="49568AC7" w14:textId="77777777" w:rsidR="00221F3A" w:rsidRDefault="00432C3F">
      <w:pPr>
        <w:spacing w:line="360" w:lineRule="auto"/>
        <w:ind w:left="720" w:hanging="720"/>
        <w:jc w:val="both"/>
        <w:rPr>
          <w:rFonts w:ascii="Arial" w:hAnsi="Arial"/>
          <w:rtl/>
        </w:rPr>
      </w:pPr>
      <w:r>
        <w:rPr>
          <w:rFonts w:ascii="Arial" w:hAnsi="Arial" w:hint="cs"/>
          <w:rtl/>
        </w:rPr>
        <w:t xml:space="preserve">הגזברות תחזיר את סכום הערבון הכספי על סך 5000 ₪ למפקיד. </w:t>
      </w:r>
    </w:p>
    <w:p w14:paraId="1816DEEB" w14:textId="77777777" w:rsidR="00221F3A" w:rsidRDefault="00221F3A">
      <w:pPr>
        <w:spacing w:line="360" w:lineRule="auto"/>
        <w:ind w:left="720" w:hanging="720"/>
        <w:jc w:val="both"/>
        <w:rPr>
          <w:rFonts w:ascii="Arial" w:hAnsi="Arial"/>
          <w:rtl/>
        </w:rPr>
      </w:pPr>
    </w:p>
    <w:p w14:paraId="4072A30E" w14:textId="77777777" w:rsidR="00221F3A" w:rsidRDefault="00432C3F">
      <w:pPr>
        <w:spacing w:line="360" w:lineRule="auto"/>
        <w:ind w:left="720" w:hanging="720"/>
        <w:jc w:val="both"/>
        <w:rPr>
          <w:rFonts w:ascii="Arial" w:hAnsi="Arial"/>
          <w:rtl/>
        </w:rPr>
      </w:pPr>
      <w:r>
        <w:rPr>
          <w:rFonts w:ascii="Arial" w:hAnsi="Arial" w:hint="cs"/>
          <w:rtl/>
        </w:rPr>
        <w:t xml:space="preserve">זכות ערעור לבית המשפט המחוזי בירושלים בתוך 45 ימים. </w:t>
      </w:r>
    </w:p>
    <w:p w14:paraId="08E62715" w14:textId="77777777" w:rsidR="00221F3A" w:rsidRDefault="00221F3A">
      <w:pPr>
        <w:spacing w:line="360" w:lineRule="auto"/>
        <w:ind w:left="720" w:hanging="720"/>
        <w:jc w:val="both"/>
        <w:rPr>
          <w:rFonts w:ascii="Arial" w:hAnsi="Arial"/>
          <w:rtl/>
        </w:rPr>
      </w:pPr>
    </w:p>
    <w:p w14:paraId="0075FFB0" w14:textId="77777777" w:rsidR="00221F3A" w:rsidRDefault="00432C3F">
      <w:pPr>
        <w:spacing w:line="360" w:lineRule="auto"/>
        <w:ind w:left="720" w:hanging="720"/>
        <w:jc w:val="both"/>
        <w:rPr>
          <w:rFonts w:ascii="Arial" w:hAnsi="Arial"/>
          <w:sz w:val="6"/>
          <w:szCs w:val="6"/>
          <w:rtl/>
        </w:rPr>
      </w:pPr>
      <w:r>
        <w:rPr>
          <w:rFonts w:ascii="Arial" w:hAnsi="Arial"/>
          <w:sz w:val="6"/>
          <w:szCs w:val="6"/>
          <w:rtl/>
        </w:rPr>
        <w:t>&lt;#5#&gt;</w:t>
      </w:r>
    </w:p>
    <w:p w14:paraId="49DEB91C" w14:textId="77777777" w:rsidR="00221F3A" w:rsidRDefault="00221F3A">
      <w:pPr>
        <w:jc w:val="right"/>
        <w:rPr>
          <w:rtl/>
        </w:rPr>
      </w:pPr>
    </w:p>
    <w:p w14:paraId="00704D87" w14:textId="77777777" w:rsidR="00221F3A" w:rsidRDefault="00432C3F">
      <w:pPr>
        <w:jc w:val="right"/>
        <w:rPr>
          <w:rtl/>
        </w:rPr>
      </w:pPr>
      <w:r>
        <w:rPr>
          <w:b/>
          <w:bCs/>
          <w:rtl/>
        </w:rPr>
        <w:t xml:space="preserve">ניתנה והודעה היום ל' ניסן תשע"ג, 10/04/2013 במעמד הנוכחים. </w:t>
      </w:r>
    </w:p>
    <w:p w14:paraId="6F5AF7A0" w14:textId="77777777" w:rsidR="00221F3A" w:rsidRDefault="00221F3A">
      <w:pPr>
        <w:jc w:val="center"/>
        <w:rPr>
          <w:rtl/>
        </w:rPr>
      </w:pPr>
    </w:p>
    <w:p w14:paraId="0FDAAF30" w14:textId="77777777" w:rsidR="00432C3F" w:rsidRPr="00432C3F" w:rsidRDefault="00432C3F" w:rsidP="00432C3F">
      <w:pPr>
        <w:keepNext/>
        <w:rPr>
          <w:color w:val="000000"/>
          <w:sz w:val="22"/>
          <w:szCs w:val="22"/>
          <w:rtl/>
        </w:rPr>
      </w:pPr>
    </w:p>
    <w:p w14:paraId="537F7F68" w14:textId="77777777" w:rsidR="00432C3F" w:rsidRPr="00432C3F" w:rsidRDefault="00432C3F" w:rsidP="00432C3F">
      <w:pPr>
        <w:keepNext/>
        <w:rPr>
          <w:color w:val="000000"/>
          <w:sz w:val="22"/>
          <w:szCs w:val="22"/>
          <w:rtl/>
        </w:rPr>
      </w:pPr>
      <w:r w:rsidRPr="00432C3F">
        <w:rPr>
          <w:color w:val="000000"/>
          <w:sz w:val="22"/>
          <w:szCs w:val="22"/>
          <w:rtl/>
        </w:rPr>
        <w:t>דב פולוק 54678313</w:t>
      </w:r>
    </w:p>
    <w:p w14:paraId="5D4790BF" w14:textId="77777777" w:rsidR="00221F3A" w:rsidRPr="00432C3F" w:rsidRDefault="00432C3F">
      <w:pPr>
        <w:jc w:val="right"/>
        <w:rPr>
          <w:color w:val="FFFFFF"/>
          <w:sz w:val="2"/>
          <w:szCs w:val="2"/>
          <w:rtl/>
        </w:rPr>
      </w:pPr>
      <w:r w:rsidRPr="00432C3F">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221F3A" w14:paraId="0DB87BA4" w14:textId="77777777">
        <w:trPr>
          <w:trHeight w:val="364"/>
          <w:jc w:val="right"/>
        </w:trPr>
        <w:tc>
          <w:tcPr>
            <w:tcW w:w="3708" w:type="dxa"/>
          </w:tcPr>
          <w:p w14:paraId="1D88D2AB" w14:textId="77777777" w:rsidR="00221F3A" w:rsidRPr="00432C3F" w:rsidRDefault="00432C3F">
            <w:pPr>
              <w:jc w:val="center"/>
              <w:rPr>
                <w:rFonts w:ascii="Times New Roman" w:eastAsia="Times New Roman" w:hAnsi="Times New Roman" w:cs="Times New Roman"/>
                <w:color w:val="FFFFFF"/>
                <w:sz w:val="2"/>
                <w:szCs w:val="2"/>
              </w:rPr>
            </w:pPr>
            <w:r w:rsidRPr="00432C3F">
              <w:rPr>
                <w:rFonts w:ascii="Times New Roman" w:eastAsia="Times New Roman" w:hAnsi="Times New Roman" w:cs="Times New Roman"/>
                <w:color w:val="FFFFFF"/>
                <w:sz w:val="2"/>
                <w:szCs w:val="2"/>
                <w:rtl/>
              </w:rPr>
              <w:t>54678313</w:t>
            </w:r>
          </w:p>
          <w:p w14:paraId="2506B773" w14:textId="77777777" w:rsidR="00221F3A" w:rsidRDefault="00221F3A">
            <w:pPr>
              <w:jc w:val="center"/>
              <w:rPr>
                <w:rFonts w:ascii="Times New Roman" w:eastAsia="Times New Roman" w:hAnsi="Times New Roman" w:cs="Times New Roman"/>
                <w:rtl/>
              </w:rPr>
            </w:pPr>
          </w:p>
        </w:tc>
      </w:tr>
      <w:tr w:rsidR="00221F3A" w14:paraId="3D60ED8B" w14:textId="77777777">
        <w:trPr>
          <w:trHeight w:val="415"/>
          <w:jc w:val="right"/>
        </w:trPr>
        <w:tc>
          <w:tcPr>
            <w:tcW w:w="3708" w:type="dxa"/>
          </w:tcPr>
          <w:p w14:paraId="796BF347" w14:textId="77777777" w:rsidR="00221F3A" w:rsidRDefault="00432C3F">
            <w:pPr>
              <w:jc w:val="center"/>
              <w:rPr>
                <w:rFonts w:ascii="Times New Roman" w:eastAsia="Times New Roman" w:hAnsi="Times New Roman"/>
                <w:b/>
                <w:bCs/>
                <w:rtl/>
              </w:rPr>
            </w:pPr>
            <w:r>
              <w:rPr>
                <w:rFonts w:ascii="Times New Roman" w:eastAsia="Times New Roman" w:hAnsi="Times New Roman" w:hint="cs"/>
                <w:rtl/>
              </w:rPr>
              <w:t>דב</w:t>
            </w:r>
            <w:r>
              <w:rPr>
                <w:rFonts w:ascii="Times New Roman" w:eastAsia="Times New Roman" w:hAnsi="Times New Roman" w:hint="cs"/>
                <w:b/>
                <w:bCs/>
                <w:rtl/>
              </w:rPr>
              <w:t xml:space="preserve"> </w:t>
            </w:r>
            <w:r>
              <w:rPr>
                <w:rFonts w:ascii="Times New Roman" w:eastAsia="Times New Roman" w:hAnsi="Times New Roman" w:hint="cs"/>
                <w:rtl/>
              </w:rPr>
              <w:t>פולוק</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4A85C5FC" w14:textId="77777777" w:rsidR="00221F3A" w:rsidRDefault="00221F3A">
      <w:pPr>
        <w:jc w:val="right"/>
        <w:rPr>
          <w:rtl/>
        </w:rPr>
      </w:pPr>
    </w:p>
    <w:p w14:paraId="0909423F" w14:textId="77777777" w:rsidR="00221F3A" w:rsidRDefault="00221F3A">
      <w:pPr>
        <w:jc w:val="center"/>
        <w:rPr>
          <w:rtl/>
        </w:rPr>
      </w:pPr>
    </w:p>
    <w:p w14:paraId="433F1B5E" w14:textId="77777777" w:rsidR="00221F3A" w:rsidRDefault="00221F3A">
      <w:pPr>
        <w:spacing w:line="360" w:lineRule="auto"/>
        <w:ind w:left="720" w:hanging="720"/>
        <w:jc w:val="center"/>
        <w:rPr>
          <w:rtl/>
        </w:rPr>
      </w:pPr>
      <w:bookmarkStart w:id="4" w:name="_GoBack"/>
      <w:bookmarkEnd w:id="4"/>
    </w:p>
    <w:p w14:paraId="6709ACA1" w14:textId="77777777" w:rsidR="00221F3A" w:rsidRDefault="00432C3F">
      <w:r>
        <w:rPr>
          <w:rtl/>
        </w:rPr>
        <w:t>הוקלד</w:t>
      </w:r>
      <w:r>
        <w:t xml:space="preserve"> </w:t>
      </w:r>
      <w:r>
        <w:rPr>
          <w:rtl/>
        </w:rPr>
        <w:t>על</w:t>
      </w:r>
      <w:r>
        <w:t xml:space="preserve"> </w:t>
      </w:r>
      <w:r>
        <w:rPr>
          <w:rtl/>
        </w:rPr>
        <w:t>ידי</w:t>
      </w:r>
      <w:r>
        <w:t xml:space="preserve"> </w:t>
      </w:r>
      <w:r>
        <w:rPr>
          <w:rtl/>
        </w:rPr>
        <w:t>אתי</w:t>
      </w:r>
      <w:r>
        <w:t xml:space="preserve"> </w:t>
      </w:r>
      <w:r>
        <w:rPr>
          <w:rtl/>
        </w:rPr>
        <w:t>הרוש</w:t>
      </w:r>
    </w:p>
    <w:p w14:paraId="79308143" w14:textId="77777777" w:rsidR="00432C3F" w:rsidRDefault="00432C3F" w:rsidP="00432C3F">
      <w:r w:rsidRPr="00432C3F">
        <w:rPr>
          <w:color w:val="000000"/>
          <w:rtl/>
        </w:rPr>
        <w:t>נוסח מסמך זה כפוף לשינויי ניסוח ועריכה</w:t>
      </w:r>
    </w:p>
    <w:p w14:paraId="54DBF34E" w14:textId="77777777" w:rsidR="00432C3F" w:rsidRDefault="00432C3F" w:rsidP="00432C3F">
      <w:pPr>
        <w:rPr>
          <w:rtl/>
        </w:rPr>
      </w:pPr>
    </w:p>
    <w:p w14:paraId="1511DCDE" w14:textId="77777777" w:rsidR="00432C3F" w:rsidRDefault="00432C3F" w:rsidP="00432C3F">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6952E8D8" w14:textId="77777777" w:rsidR="00221F3A" w:rsidRPr="00432C3F" w:rsidRDefault="00221F3A" w:rsidP="00432C3F">
      <w:pPr>
        <w:jc w:val="center"/>
        <w:rPr>
          <w:color w:val="0000FF"/>
          <w:u w:val="single"/>
        </w:rPr>
      </w:pPr>
    </w:p>
    <w:sectPr w:rsidR="00221F3A" w:rsidRPr="00432C3F" w:rsidSect="00432C3F">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658D8" w14:textId="77777777" w:rsidR="00DA10F0" w:rsidRPr="006A00BB" w:rsidRDefault="00DA10F0">
      <w:pPr>
        <w:rPr>
          <w:rFonts w:cs="Arial"/>
          <w:szCs w:val="20"/>
        </w:rPr>
      </w:pPr>
      <w:r>
        <w:separator/>
      </w:r>
    </w:p>
  </w:endnote>
  <w:endnote w:type="continuationSeparator" w:id="0">
    <w:p w14:paraId="503C6A38" w14:textId="77777777" w:rsidR="00DA10F0" w:rsidRPr="006A00BB" w:rsidRDefault="00DA10F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04D80" w14:textId="77777777" w:rsidR="00432C3F" w:rsidRDefault="00432C3F" w:rsidP="00432C3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67B9EE01" w14:textId="77777777" w:rsidR="00221F3A" w:rsidRPr="00432C3F" w:rsidRDefault="00432C3F" w:rsidP="00432C3F">
    <w:pPr>
      <w:pStyle w:val="a4"/>
      <w:pBdr>
        <w:top w:val="single" w:sz="4" w:space="1" w:color="auto"/>
        <w:between w:val="single" w:sz="4" w:space="0" w:color="auto"/>
      </w:pBdr>
      <w:spacing w:after="60"/>
      <w:jc w:val="center"/>
      <w:rPr>
        <w:rFonts w:ascii="FrankRuehl" w:hAnsi="FrankRuehl" w:cs="FrankRuehl"/>
        <w:color w:val="000000"/>
      </w:rPr>
    </w:pPr>
    <w:r w:rsidRPr="00432C3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F1D65" w14:textId="77777777" w:rsidR="00432C3F" w:rsidRDefault="00432C3F" w:rsidP="00432C3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87E5B">
      <w:rPr>
        <w:rFonts w:ascii="FrankRuehl" w:hAnsi="FrankRuehl" w:cs="FrankRuehl"/>
        <w:noProof/>
        <w:rtl/>
      </w:rPr>
      <w:t>1</w:t>
    </w:r>
    <w:r>
      <w:rPr>
        <w:rFonts w:ascii="FrankRuehl" w:hAnsi="FrankRuehl" w:cs="FrankRuehl"/>
        <w:rtl/>
      </w:rPr>
      <w:fldChar w:fldCharType="end"/>
    </w:r>
  </w:p>
  <w:p w14:paraId="09A765FD" w14:textId="77777777" w:rsidR="00221F3A" w:rsidRPr="00432C3F" w:rsidRDefault="00432C3F" w:rsidP="00432C3F">
    <w:pPr>
      <w:pStyle w:val="a4"/>
      <w:pBdr>
        <w:top w:val="single" w:sz="4" w:space="1" w:color="auto"/>
        <w:between w:val="single" w:sz="4" w:space="0" w:color="auto"/>
      </w:pBdr>
      <w:spacing w:after="60"/>
      <w:jc w:val="center"/>
      <w:rPr>
        <w:rFonts w:ascii="FrankRuehl" w:hAnsi="FrankRuehl" w:cs="FrankRuehl"/>
        <w:color w:val="000000"/>
      </w:rPr>
    </w:pPr>
    <w:r w:rsidRPr="00432C3F">
      <w:rPr>
        <w:rFonts w:ascii="FrankRuehl" w:hAnsi="FrankRuehl" w:cs="FrankRuehl"/>
        <w:color w:val="000000"/>
      </w:rPr>
      <w:pict w14:anchorId="695D31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9591D" w14:textId="77777777" w:rsidR="00DA10F0" w:rsidRPr="006A00BB" w:rsidRDefault="00DA10F0">
      <w:pPr>
        <w:rPr>
          <w:rFonts w:cs="Arial"/>
          <w:szCs w:val="20"/>
        </w:rPr>
      </w:pPr>
      <w:r>
        <w:separator/>
      </w:r>
    </w:p>
  </w:footnote>
  <w:footnote w:type="continuationSeparator" w:id="0">
    <w:p w14:paraId="2C5E6D12" w14:textId="77777777" w:rsidR="00DA10F0" w:rsidRPr="006A00BB" w:rsidRDefault="00DA10F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CA929" w14:textId="77777777" w:rsidR="00432C3F" w:rsidRPr="00432C3F" w:rsidRDefault="00432C3F" w:rsidP="00432C3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(י-ם) 5603-11-11</w:t>
    </w:r>
    <w:r>
      <w:rPr>
        <w:color w:val="000000"/>
        <w:sz w:val="22"/>
        <w:szCs w:val="22"/>
        <w:rtl/>
      </w:rPr>
      <w:tab/>
      <w:t xml:space="preserve"> מדינת ישראל נ' יאיר ציטרון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3A10E" w14:textId="77777777" w:rsidR="00432C3F" w:rsidRPr="00432C3F" w:rsidRDefault="00432C3F" w:rsidP="00432C3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(י-ם) 5603-11-11</w:t>
    </w:r>
    <w:r>
      <w:rPr>
        <w:color w:val="000000"/>
        <w:sz w:val="22"/>
        <w:szCs w:val="22"/>
        <w:rtl/>
      </w:rPr>
      <w:tab/>
      <w:t xml:space="preserve"> מדינת ישראל נ' יאיר ציטרון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21F3A"/>
    <w:rsid w:val="00221F3A"/>
    <w:rsid w:val="003C4F7E"/>
    <w:rsid w:val="00432C3F"/>
    <w:rsid w:val="005E7EDC"/>
    <w:rsid w:val="00A87E5B"/>
    <w:rsid w:val="00D36766"/>
    <w:rsid w:val="00DA10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C66C4D"/>
  <w15:chartTrackingRefBased/>
  <w15:docId w15:val="{B3888835-2345-4D9F-A95A-6D30ADB6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1F3A"/>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21F3A"/>
    <w:pPr>
      <w:tabs>
        <w:tab w:val="center" w:pos="4153"/>
        <w:tab w:val="right" w:pos="8306"/>
      </w:tabs>
    </w:pPr>
  </w:style>
  <w:style w:type="paragraph" w:styleId="a4">
    <w:name w:val="footer"/>
    <w:basedOn w:val="a"/>
    <w:rsid w:val="00221F3A"/>
    <w:pPr>
      <w:tabs>
        <w:tab w:val="center" w:pos="4153"/>
        <w:tab w:val="right" w:pos="8306"/>
      </w:tabs>
    </w:pPr>
  </w:style>
  <w:style w:type="character" w:styleId="a5">
    <w:name w:val="page number"/>
    <w:basedOn w:val="a0"/>
    <w:rsid w:val="00221F3A"/>
  </w:style>
  <w:style w:type="paragraph" w:customStyle="1" w:styleId="12">
    <w:name w:val="רגיל + ‏12 נק'"/>
    <w:aliases w:val="מיושר לשני הצדדים,מרווח בין שורות:  שורה וחצי"/>
    <w:basedOn w:val="a"/>
    <w:rsid w:val="00221F3A"/>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221F3A"/>
    <w:pPr>
      <w:spacing w:line="360" w:lineRule="auto"/>
      <w:jc w:val="both"/>
    </w:pPr>
    <w:rPr>
      <w:rFonts w:ascii="Times New Roman" w:eastAsia="Times New Roman" w:hAnsi="Times New Roman"/>
    </w:rPr>
  </w:style>
  <w:style w:type="character" w:styleId="a6">
    <w:name w:val="line number"/>
    <w:basedOn w:val="a0"/>
    <w:rsid w:val="00221F3A"/>
  </w:style>
  <w:style w:type="character" w:styleId="Hyperlink">
    <w:name w:val="Hyperlink"/>
    <w:basedOn w:val="a0"/>
    <w:rsid w:val="00432C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html/law01/P170_001.htm"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P170_001.ht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1918</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4849756</vt:i4>
      </vt:variant>
      <vt:variant>
        <vt:i4>3</vt:i4>
      </vt:variant>
      <vt:variant>
        <vt:i4>0</vt:i4>
      </vt:variant>
      <vt:variant>
        <vt:i4>5</vt:i4>
      </vt:variant>
      <vt:variant>
        <vt:lpwstr>http://www.nevo.co.il/law_html/law01/P170_001.htm</vt:lpwstr>
      </vt:variant>
      <vt:variant>
        <vt:lpwstr/>
      </vt:variant>
      <vt:variant>
        <vt:i4>4849756</vt:i4>
      </vt:variant>
      <vt:variant>
        <vt:i4>0</vt:i4>
      </vt:variant>
      <vt:variant>
        <vt:i4>0</vt:i4>
      </vt:variant>
      <vt:variant>
        <vt:i4>5</vt:i4>
      </vt:variant>
      <vt:variant>
        <vt:lpwstr>http://www.nevo.co.il/law_html/law01/P170_001.htm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2025-04-22T21:40:00Z</dcterms:created>
  <dcterms:modified xsi:type="dcterms:W3CDTF">2025-04-22T21:40:00Z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5603</vt:lpwstr>
  </property>
  <property fmtid="{D5CDD505-2E9C-101B-9397-08002B2CF9AE}" pid="6" name="NEWPARTB">
    <vt:lpwstr>11</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יאיר ציטרון</vt:lpwstr>
  </property>
  <property fmtid="{D5CDD505-2E9C-101B-9397-08002B2CF9AE}" pid="10" name="LAWYER">
    <vt:lpwstr>אמיר כהן</vt:lpwstr>
  </property>
  <property fmtid="{D5CDD505-2E9C-101B-9397-08002B2CF9AE}" pid="11" name="JUDGE">
    <vt:lpwstr>דב פולוק</vt:lpwstr>
  </property>
  <property fmtid="{D5CDD505-2E9C-101B-9397-08002B2CF9AE}" pid="12" name="CITY">
    <vt:lpwstr>י-ם</vt:lpwstr>
  </property>
  <property fmtid="{D5CDD505-2E9C-101B-9397-08002B2CF9AE}" pid="13" name="DATE">
    <vt:lpwstr>20130410</vt:lpwstr>
  </property>
  <property fmtid="{D5CDD505-2E9C-101B-9397-08002B2CF9AE}" pid="14" name="TYPE_N_DATE">
    <vt:lpwstr>38020130410</vt:lpwstr>
  </property>
  <property fmtid="{D5CDD505-2E9C-101B-9397-08002B2CF9AE}" pid="15" name="WORDNUMPAGES">
    <vt:lpwstr>2</vt:lpwstr>
  </property>
  <property fmtid="{D5CDD505-2E9C-101B-9397-08002B2CF9AE}" pid="16" name="TYPE_ABS_DATE">
    <vt:lpwstr>380020130410</vt:lpwstr>
  </property>
</Properties>
</file>