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6759EE" w:rsidRPr="005704F7" w14:paraId="6750D7AA" w14:textId="77777777">
        <w:trPr>
          <w:trHeight w:hRule="exact" w:val="418"/>
          <w:jc w:val="center"/>
        </w:trPr>
        <w:tc>
          <w:tcPr>
            <w:tcW w:w="8721" w:type="dxa"/>
            <w:gridSpan w:val="2"/>
          </w:tcPr>
          <w:p w14:paraId="639BB3E2" w14:textId="77777777" w:rsidR="006759EE" w:rsidRPr="005704F7" w:rsidRDefault="005704F7">
            <w:pPr>
              <w:pStyle w:val="a3"/>
              <w:jc w:val="center"/>
              <w:rPr>
                <w:rFonts w:ascii="Tahoma" w:hAnsi="Tahoma" w:cs="Tahoma"/>
                <w:color w:val="000080"/>
                <w:rtl/>
              </w:rPr>
            </w:pPr>
            <w:bookmarkStart w:id="0" w:name="LastJudge"/>
            <w:r w:rsidRPr="005704F7">
              <w:rPr>
                <w:rFonts w:ascii="Tahoma" w:hAnsi="Tahoma" w:cs="Tahoma"/>
                <w:b/>
                <w:bCs/>
                <w:color w:val="000080"/>
                <w:rtl/>
              </w:rPr>
              <w:t>בית משפט השלום בתל אביב - יפו</w:t>
            </w:r>
          </w:p>
        </w:tc>
      </w:tr>
      <w:tr w:rsidR="006759EE" w:rsidRPr="005704F7" w14:paraId="7008C838" w14:textId="77777777">
        <w:trPr>
          <w:trHeight w:val="337"/>
          <w:jc w:val="center"/>
        </w:trPr>
        <w:tc>
          <w:tcPr>
            <w:tcW w:w="5049" w:type="dxa"/>
          </w:tcPr>
          <w:p w14:paraId="236E8A8C" w14:textId="77777777" w:rsidR="006759EE" w:rsidRPr="005704F7" w:rsidRDefault="005704F7">
            <w:pPr>
              <w:rPr>
                <w:rFonts w:cs="FrankRuehl"/>
                <w:sz w:val="28"/>
                <w:szCs w:val="28"/>
                <w:rtl/>
              </w:rPr>
            </w:pPr>
            <w:r w:rsidRPr="005704F7">
              <w:rPr>
                <w:rFonts w:cs="FrankRuehl"/>
                <w:sz w:val="28"/>
                <w:szCs w:val="28"/>
                <w:rtl/>
              </w:rPr>
              <w:t>ת"פ</w:t>
            </w:r>
            <w:r w:rsidRPr="005704F7">
              <w:rPr>
                <w:rFonts w:cs="FrankRuehl" w:hint="cs"/>
                <w:sz w:val="28"/>
                <w:szCs w:val="28"/>
                <w:rtl/>
              </w:rPr>
              <w:t xml:space="preserve"> </w:t>
            </w:r>
            <w:r w:rsidRPr="005704F7">
              <w:rPr>
                <w:rFonts w:cs="FrankRuehl"/>
                <w:sz w:val="28"/>
                <w:szCs w:val="28"/>
                <w:rtl/>
              </w:rPr>
              <w:t>8085-11-11</w:t>
            </w:r>
            <w:r w:rsidRPr="005704F7">
              <w:rPr>
                <w:rFonts w:cs="FrankRuehl" w:hint="cs"/>
                <w:sz w:val="28"/>
                <w:szCs w:val="28"/>
                <w:rtl/>
              </w:rPr>
              <w:t xml:space="preserve"> </w:t>
            </w:r>
            <w:r w:rsidRPr="005704F7">
              <w:rPr>
                <w:rFonts w:cs="FrankRuehl"/>
                <w:sz w:val="28"/>
                <w:szCs w:val="28"/>
                <w:rtl/>
              </w:rPr>
              <w:t>מדינת ישראל נ' הבר</w:t>
            </w:r>
          </w:p>
          <w:p w14:paraId="62C5E503" w14:textId="77777777" w:rsidR="006759EE" w:rsidRPr="005704F7" w:rsidRDefault="006759EE">
            <w:pPr>
              <w:pStyle w:val="a3"/>
              <w:rPr>
                <w:rFonts w:cs="FrankRuehl"/>
                <w:sz w:val="28"/>
                <w:szCs w:val="28"/>
                <w:rtl/>
              </w:rPr>
            </w:pPr>
          </w:p>
        </w:tc>
        <w:tc>
          <w:tcPr>
            <w:tcW w:w="3672" w:type="dxa"/>
          </w:tcPr>
          <w:p w14:paraId="5CEFA138" w14:textId="77777777" w:rsidR="006759EE" w:rsidRPr="005704F7" w:rsidRDefault="005704F7">
            <w:pPr>
              <w:pStyle w:val="a3"/>
              <w:jc w:val="right"/>
              <w:rPr>
                <w:rFonts w:cs="FrankRuehl"/>
                <w:sz w:val="28"/>
                <w:szCs w:val="28"/>
                <w:rtl/>
              </w:rPr>
            </w:pPr>
            <w:r w:rsidRPr="005704F7">
              <w:rPr>
                <w:rFonts w:cs="FrankRuehl"/>
                <w:sz w:val="28"/>
                <w:szCs w:val="28"/>
                <w:rtl/>
              </w:rPr>
              <w:t>15 מאי 2013</w:t>
            </w:r>
          </w:p>
        </w:tc>
      </w:tr>
    </w:tbl>
    <w:p w14:paraId="1BF5F53F" w14:textId="77777777" w:rsidR="006759EE" w:rsidRPr="005704F7" w:rsidRDefault="005704F7">
      <w:pPr>
        <w:pStyle w:val="a3"/>
        <w:rPr>
          <w:rtl/>
        </w:rPr>
      </w:pPr>
      <w:r w:rsidRPr="005704F7">
        <w:rPr>
          <w:rFonts w:hint="cs"/>
          <w:rtl/>
        </w:rPr>
        <w:t xml:space="preserve"> </w:t>
      </w:r>
    </w:p>
    <w:p w14:paraId="45CE30C0" w14:textId="77777777" w:rsidR="006759EE" w:rsidRPr="005704F7" w:rsidRDefault="006759E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759EE" w:rsidRPr="005704F7" w14:paraId="5F929D58" w14:textId="77777777">
        <w:trPr>
          <w:trHeight w:val="295"/>
          <w:jc w:val="center"/>
        </w:trPr>
        <w:tc>
          <w:tcPr>
            <w:tcW w:w="923" w:type="dxa"/>
            <w:tcBorders>
              <w:top w:val="nil"/>
              <w:left w:val="nil"/>
              <w:bottom w:val="nil"/>
              <w:right w:val="nil"/>
            </w:tcBorders>
          </w:tcPr>
          <w:p w14:paraId="12311ECD" w14:textId="77777777" w:rsidR="006759EE" w:rsidRPr="005704F7" w:rsidRDefault="005704F7">
            <w:pPr>
              <w:jc w:val="both"/>
              <w:rPr>
                <w:rFonts w:ascii="Arial" w:hAnsi="Arial"/>
                <w:sz w:val="26"/>
                <w:szCs w:val="26"/>
              </w:rPr>
            </w:pPr>
            <w:r w:rsidRPr="005704F7">
              <w:rPr>
                <w:rFonts w:ascii="Arial" w:hAnsi="Arial" w:hint="cs"/>
                <w:sz w:val="26"/>
                <w:szCs w:val="26"/>
                <w:rtl/>
              </w:rPr>
              <w:t>ב</w:t>
            </w:r>
            <w:r w:rsidRPr="005704F7">
              <w:rPr>
                <w:rFonts w:ascii="Arial" w:hAnsi="Arial"/>
                <w:sz w:val="26"/>
                <w:szCs w:val="26"/>
                <w:rtl/>
              </w:rPr>
              <w:t xml:space="preserve">פני </w:t>
            </w:r>
          </w:p>
        </w:tc>
        <w:tc>
          <w:tcPr>
            <w:tcW w:w="7897" w:type="dxa"/>
            <w:gridSpan w:val="2"/>
            <w:tcBorders>
              <w:top w:val="nil"/>
              <w:left w:val="nil"/>
              <w:bottom w:val="nil"/>
              <w:right w:val="nil"/>
            </w:tcBorders>
          </w:tcPr>
          <w:p w14:paraId="01776B47" w14:textId="77777777" w:rsidR="006759EE" w:rsidRPr="005704F7" w:rsidRDefault="005704F7">
            <w:pPr>
              <w:rPr>
                <w:rFonts w:ascii="Arial" w:hAnsi="Arial"/>
                <w:b/>
                <w:bCs/>
                <w:sz w:val="26"/>
                <w:szCs w:val="26"/>
                <w:rtl/>
              </w:rPr>
            </w:pPr>
            <w:r w:rsidRPr="005704F7">
              <w:rPr>
                <w:rFonts w:ascii="Arial" w:hAnsi="Arial" w:hint="cs"/>
                <w:b/>
                <w:bCs/>
                <w:sz w:val="26"/>
                <w:szCs w:val="26"/>
                <w:rtl/>
              </w:rPr>
              <w:t>כב' ה</w:t>
            </w:r>
            <w:r w:rsidRPr="005704F7">
              <w:rPr>
                <w:rFonts w:hint="cs"/>
                <w:sz w:val="26"/>
                <w:szCs w:val="26"/>
                <w:rtl/>
              </w:rPr>
              <w:t>שופט</w:t>
            </w:r>
            <w:r w:rsidRPr="005704F7">
              <w:rPr>
                <w:rFonts w:ascii="Arial" w:hAnsi="Arial" w:hint="cs"/>
                <w:b/>
                <w:bCs/>
                <w:sz w:val="26"/>
                <w:szCs w:val="26"/>
                <w:rtl/>
              </w:rPr>
              <w:t xml:space="preserve">  </w:t>
            </w:r>
            <w:r w:rsidRPr="005704F7">
              <w:rPr>
                <w:rFonts w:hint="cs"/>
                <w:sz w:val="26"/>
                <w:szCs w:val="26"/>
                <w:rtl/>
              </w:rPr>
              <w:t>עידו דרויאן</w:t>
            </w:r>
          </w:p>
          <w:p w14:paraId="5D5B3D3C" w14:textId="77777777" w:rsidR="006759EE" w:rsidRPr="005704F7" w:rsidRDefault="006759EE">
            <w:pPr>
              <w:rPr>
                <w:sz w:val="26"/>
                <w:szCs w:val="26"/>
                <w:rtl/>
              </w:rPr>
            </w:pPr>
          </w:p>
          <w:p w14:paraId="10491AB7" w14:textId="77777777" w:rsidR="006759EE" w:rsidRPr="005704F7" w:rsidRDefault="006759EE">
            <w:pPr>
              <w:jc w:val="both"/>
              <w:rPr>
                <w:rFonts w:ascii="Arial" w:hAnsi="Arial"/>
                <w:sz w:val="26"/>
                <w:szCs w:val="26"/>
              </w:rPr>
            </w:pPr>
          </w:p>
        </w:tc>
      </w:tr>
      <w:tr w:rsidR="006759EE" w:rsidRPr="005704F7" w14:paraId="4056EACE" w14:textId="77777777">
        <w:trPr>
          <w:trHeight w:val="355"/>
          <w:jc w:val="center"/>
        </w:trPr>
        <w:tc>
          <w:tcPr>
            <w:tcW w:w="923" w:type="dxa"/>
            <w:tcBorders>
              <w:top w:val="nil"/>
              <w:left w:val="nil"/>
              <w:bottom w:val="nil"/>
              <w:right w:val="nil"/>
            </w:tcBorders>
          </w:tcPr>
          <w:p w14:paraId="16AB2205" w14:textId="77777777" w:rsidR="006759EE" w:rsidRPr="005704F7" w:rsidRDefault="006759EE">
            <w:pPr>
              <w:jc w:val="both"/>
              <w:rPr>
                <w:rFonts w:ascii="Arial" w:hAnsi="Arial"/>
                <w:b/>
                <w:bCs/>
                <w:sz w:val="26"/>
                <w:szCs w:val="26"/>
              </w:rPr>
            </w:pPr>
          </w:p>
        </w:tc>
        <w:tc>
          <w:tcPr>
            <w:tcW w:w="4126" w:type="dxa"/>
            <w:tcBorders>
              <w:top w:val="nil"/>
              <w:left w:val="nil"/>
              <w:bottom w:val="nil"/>
              <w:right w:val="nil"/>
            </w:tcBorders>
          </w:tcPr>
          <w:p w14:paraId="3E44E69E" w14:textId="77777777" w:rsidR="006759EE" w:rsidRPr="005704F7" w:rsidRDefault="005704F7">
            <w:pPr>
              <w:rPr>
                <w:b/>
                <w:bCs/>
                <w:sz w:val="26"/>
                <w:szCs w:val="26"/>
              </w:rPr>
            </w:pPr>
            <w:r w:rsidRPr="005704F7">
              <w:rPr>
                <w:rFonts w:hint="cs"/>
                <w:b/>
                <w:bCs/>
                <w:sz w:val="26"/>
                <w:szCs w:val="26"/>
                <w:rtl/>
              </w:rPr>
              <w:t>מדינת ישראל</w:t>
            </w:r>
          </w:p>
        </w:tc>
        <w:tc>
          <w:tcPr>
            <w:tcW w:w="3771" w:type="dxa"/>
            <w:tcBorders>
              <w:top w:val="nil"/>
              <w:left w:val="nil"/>
              <w:bottom w:val="nil"/>
              <w:right w:val="nil"/>
            </w:tcBorders>
          </w:tcPr>
          <w:p w14:paraId="74501C34" w14:textId="77777777" w:rsidR="006759EE" w:rsidRPr="005704F7" w:rsidRDefault="006759EE">
            <w:pPr>
              <w:jc w:val="both"/>
              <w:rPr>
                <w:rFonts w:ascii="Arial" w:hAnsi="Arial"/>
                <w:b/>
                <w:bCs/>
                <w:sz w:val="26"/>
                <w:szCs w:val="26"/>
              </w:rPr>
            </w:pPr>
          </w:p>
        </w:tc>
      </w:tr>
      <w:tr w:rsidR="006759EE" w:rsidRPr="005704F7" w14:paraId="180108FB" w14:textId="77777777">
        <w:trPr>
          <w:trHeight w:val="355"/>
          <w:jc w:val="center"/>
        </w:trPr>
        <w:tc>
          <w:tcPr>
            <w:tcW w:w="923" w:type="dxa"/>
            <w:tcBorders>
              <w:top w:val="nil"/>
              <w:left w:val="nil"/>
              <w:bottom w:val="nil"/>
              <w:right w:val="nil"/>
            </w:tcBorders>
          </w:tcPr>
          <w:p w14:paraId="617ABAAC" w14:textId="77777777" w:rsidR="006759EE" w:rsidRPr="005704F7" w:rsidRDefault="006759EE">
            <w:pPr>
              <w:jc w:val="both"/>
              <w:rPr>
                <w:rFonts w:ascii="Arial" w:hAnsi="Arial"/>
                <w:b/>
                <w:bCs/>
                <w:sz w:val="26"/>
                <w:szCs w:val="26"/>
                <w:rtl/>
              </w:rPr>
            </w:pPr>
            <w:bookmarkStart w:id="1" w:name="FirstAppellant" w:colFirst="0" w:colLast="1"/>
          </w:p>
        </w:tc>
        <w:tc>
          <w:tcPr>
            <w:tcW w:w="4126" w:type="dxa"/>
            <w:tcBorders>
              <w:top w:val="nil"/>
              <w:left w:val="nil"/>
              <w:bottom w:val="nil"/>
              <w:right w:val="nil"/>
            </w:tcBorders>
          </w:tcPr>
          <w:p w14:paraId="3C585085" w14:textId="77777777" w:rsidR="006759EE" w:rsidRPr="005704F7" w:rsidRDefault="006759EE">
            <w:pPr>
              <w:jc w:val="both"/>
              <w:rPr>
                <w:b/>
                <w:bCs/>
                <w:sz w:val="26"/>
                <w:szCs w:val="26"/>
                <w:rtl/>
              </w:rPr>
            </w:pPr>
          </w:p>
        </w:tc>
        <w:tc>
          <w:tcPr>
            <w:tcW w:w="3771" w:type="dxa"/>
            <w:tcBorders>
              <w:top w:val="nil"/>
              <w:left w:val="nil"/>
              <w:bottom w:val="nil"/>
              <w:right w:val="nil"/>
            </w:tcBorders>
          </w:tcPr>
          <w:p w14:paraId="2315D7B5" w14:textId="77777777" w:rsidR="006759EE" w:rsidRPr="005704F7" w:rsidRDefault="005704F7">
            <w:pPr>
              <w:jc w:val="right"/>
              <w:rPr>
                <w:rFonts w:ascii="Arial" w:hAnsi="Arial"/>
                <w:b/>
                <w:bCs/>
                <w:sz w:val="26"/>
                <w:szCs w:val="26"/>
                <w:rtl/>
              </w:rPr>
            </w:pPr>
            <w:r w:rsidRPr="005704F7">
              <w:rPr>
                <w:rFonts w:ascii="Arial" w:hAnsi="Arial" w:hint="cs"/>
                <w:b/>
                <w:bCs/>
                <w:sz w:val="26"/>
                <w:szCs w:val="26"/>
                <w:rtl/>
              </w:rPr>
              <w:t>ה</w:t>
            </w:r>
            <w:r w:rsidRPr="005704F7">
              <w:rPr>
                <w:rFonts w:hint="cs"/>
                <w:b/>
                <w:bCs/>
                <w:sz w:val="26"/>
                <w:szCs w:val="26"/>
                <w:rtl/>
              </w:rPr>
              <w:t>מאשימה</w:t>
            </w:r>
          </w:p>
        </w:tc>
      </w:tr>
      <w:tr w:rsidR="006759EE" w:rsidRPr="005704F7" w14:paraId="7F6DF701" w14:textId="77777777">
        <w:trPr>
          <w:trHeight w:val="355"/>
          <w:jc w:val="center"/>
        </w:trPr>
        <w:tc>
          <w:tcPr>
            <w:tcW w:w="923" w:type="dxa"/>
            <w:tcBorders>
              <w:top w:val="nil"/>
              <w:left w:val="nil"/>
              <w:bottom w:val="nil"/>
              <w:right w:val="nil"/>
            </w:tcBorders>
          </w:tcPr>
          <w:p w14:paraId="7AC250EF" w14:textId="77777777" w:rsidR="006759EE" w:rsidRPr="005704F7" w:rsidRDefault="006759EE">
            <w:pPr>
              <w:jc w:val="both"/>
              <w:rPr>
                <w:rFonts w:ascii="Arial" w:hAnsi="Arial"/>
                <w:b/>
                <w:bCs/>
                <w:sz w:val="26"/>
                <w:szCs w:val="26"/>
                <w:rtl/>
              </w:rPr>
            </w:pPr>
          </w:p>
        </w:tc>
        <w:tc>
          <w:tcPr>
            <w:tcW w:w="7897" w:type="dxa"/>
            <w:gridSpan w:val="2"/>
            <w:tcBorders>
              <w:top w:val="nil"/>
              <w:left w:val="nil"/>
              <w:bottom w:val="nil"/>
              <w:right w:val="nil"/>
            </w:tcBorders>
          </w:tcPr>
          <w:p w14:paraId="0BA7D32B" w14:textId="77777777" w:rsidR="006759EE" w:rsidRPr="005704F7" w:rsidRDefault="006759EE">
            <w:pPr>
              <w:jc w:val="center"/>
              <w:rPr>
                <w:rFonts w:ascii="Arial" w:hAnsi="Arial"/>
                <w:b/>
                <w:bCs/>
                <w:sz w:val="26"/>
                <w:szCs w:val="26"/>
                <w:rtl/>
              </w:rPr>
            </w:pPr>
          </w:p>
          <w:p w14:paraId="405CD34A" w14:textId="77777777" w:rsidR="006759EE" w:rsidRPr="005704F7" w:rsidRDefault="005704F7">
            <w:pPr>
              <w:jc w:val="center"/>
              <w:rPr>
                <w:rFonts w:ascii="Arial" w:hAnsi="Arial"/>
                <w:b/>
                <w:bCs/>
                <w:sz w:val="26"/>
                <w:szCs w:val="26"/>
                <w:rtl/>
              </w:rPr>
            </w:pPr>
            <w:r w:rsidRPr="005704F7">
              <w:rPr>
                <w:rFonts w:ascii="Arial" w:hAnsi="Arial"/>
                <w:b/>
                <w:bCs/>
                <w:sz w:val="26"/>
                <w:szCs w:val="26"/>
                <w:rtl/>
              </w:rPr>
              <w:t>נגד</w:t>
            </w:r>
          </w:p>
          <w:p w14:paraId="4422A057" w14:textId="77777777" w:rsidR="006759EE" w:rsidRPr="005704F7" w:rsidRDefault="006759EE">
            <w:pPr>
              <w:jc w:val="both"/>
              <w:rPr>
                <w:rFonts w:ascii="Arial" w:hAnsi="Arial"/>
                <w:b/>
                <w:bCs/>
                <w:sz w:val="26"/>
                <w:szCs w:val="26"/>
              </w:rPr>
            </w:pPr>
          </w:p>
        </w:tc>
      </w:tr>
      <w:bookmarkEnd w:id="1"/>
      <w:tr w:rsidR="006759EE" w:rsidRPr="005704F7" w14:paraId="777C5583" w14:textId="77777777">
        <w:trPr>
          <w:trHeight w:val="355"/>
          <w:jc w:val="center"/>
        </w:trPr>
        <w:tc>
          <w:tcPr>
            <w:tcW w:w="923" w:type="dxa"/>
            <w:tcBorders>
              <w:top w:val="nil"/>
              <w:left w:val="nil"/>
              <w:bottom w:val="nil"/>
              <w:right w:val="nil"/>
            </w:tcBorders>
          </w:tcPr>
          <w:p w14:paraId="38A9D38E" w14:textId="77777777" w:rsidR="006759EE" w:rsidRPr="005704F7" w:rsidRDefault="006759EE">
            <w:pPr>
              <w:rPr>
                <w:rFonts w:ascii="Arial" w:hAnsi="Arial"/>
                <w:b/>
                <w:bCs/>
                <w:sz w:val="26"/>
                <w:szCs w:val="26"/>
                <w:rtl/>
              </w:rPr>
            </w:pPr>
          </w:p>
        </w:tc>
        <w:tc>
          <w:tcPr>
            <w:tcW w:w="4126" w:type="dxa"/>
            <w:tcBorders>
              <w:top w:val="nil"/>
              <w:left w:val="nil"/>
              <w:bottom w:val="nil"/>
              <w:right w:val="nil"/>
            </w:tcBorders>
          </w:tcPr>
          <w:p w14:paraId="6625C188" w14:textId="77777777" w:rsidR="006759EE" w:rsidRPr="005704F7" w:rsidRDefault="005704F7">
            <w:pPr>
              <w:rPr>
                <w:b/>
                <w:bCs/>
                <w:sz w:val="26"/>
                <w:szCs w:val="26"/>
                <w:rtl/>
              </w:rPr>
            </w:pPr>
            <w:r w:rsidRPr="005704F7">
              <w:rPr>
                <w:rFonts w:hint="cs"/>
                <w:b/>
                <w:bCs/>
                <w:sz w:val="26"/>
                <w:szCs w:val="26"/>
                <w:rtl/>
              </w:rPr>
              <w:t>שמעון הבר</w:t>
            </w:r>
          </w:p>
        </w:tc>
        <w:tc>
          <w:tcPr>
            <w:tcW w:w="3771" w:type="dxa"/>
            <w:tcBorders>
              <w:top w:val="nil"/>
              <w:left w:val="nil"/>
              <w:bottom w:val="nil"/>
              <w:right w:val="nil"/>
            </w:tcBorders>
          </w:tcPr>
          <w:p w14:paraId="517E5B2B" w14:textId="77777777" w:rsidR="006759EE" w:rsidRPr="005704F7" w:rsidRDefault="006759EE">
            <w:pPr>
              <w:jc w:val="right"/>
              <w:rPr>
                <w:rFonts w:ascii="Arial" w:hAnsi="Arial"/>
                <w:b/>
                <w:bCs/>
                <w:sz w:val="26"/>
                <w:szCs w:val="26"/>
              </w:rPr>
            </w:pPr>
          </w:p>
        </w:tc>
      </w:tr>
      <w:tr w:rsidR="006759EE" w:rsidRPr="005704F7" w14:paraId="198AFC8E" w14:textId="77777777">
        <w:trPr>
          <w:trHeight w:val="355"/>
          <w:jc w:val="center"/>
        </w:trPr>
        <w:tc>
          <w:tcPr>
            <w:tcW w:w="923" w:type="dxa"/>
            <w:tcBorders>
              <w:top w:val="nil"/>
              <w:left w:val="nil"/>
              <w:bottom w:val="nil"/>
              <w:right w:val="nil"/>
            </w:tcBorders>
          </w:tcPr>
          <w:p w14:paraId="77E97B12" w14:textId="77777777" w:rsidR="006759EE" w:rsidRPr="005704F7" w:rsidRDefault="006759EE">
            <w:pPr>
              <w:jc w:val="both"/>
              <w:rPr>
                <w:rFonts w:ascii="Arial" w:hAnsi="Arial"/>
                <w:b/>
                <w:bCs/>
                <w:sz w:val="26"/>
                <w:szCs w:val="26"/>
                <w:rtl/>
              </w:rPr>
            </w:pPr>
            <w:bookmarkStart w:id="2" w:name="FirstLawyer"/>
          </w:p>
        </w:tc>
        <w:tc>
          <w:tcPr>
            <w:tcW w:w="4126" w:type="dxa"/>
            <w:tcBorders>
              <w:top w:val="nil"/>
              <w:left w:val="nil"/>
              <w:bottom w:val="nil"/>
              <w:right w:val="nil"/>
            </w:tcBorders>
          </w:tcPr>
          <w:p w14:paraId="532364BD" w14:textId="77777777" w:rsidR="006759EE" w:rsidRPr="005704F7" w:rsidRDefault="005704F7">
            <w:pPr>
              <w:jc w:val="both"/>
              <w:rPr>
                <w:b/>
                <w:bCs/>
                <w:sz w:val="26"/>
                <w:szCs w:val="26"/>
                <w:rtl/>
              </w:rPr>
            </w:pPr>
            <w:r w:rsidRPr="005704F7">
              <w:rPr>
                <w:rFonts w:hint="cs"/>
                <w:b/>
                <w:bCs/>
                <w:sz w:val="26"/>
                <w:szCs w:val="26"/>
                <w:rtl/>
              </w:rPr>
              <w:t>ע"י ב"כ עו"ד זאב אלוני</w:t>
            </w:r>
          </w:p>
        </w:tc>
        <w:tc>
          <w:tcPr>
            <w:tcW w:w="3771" w:type="dxa"/>
            <w:tcBorders>
              <w:top w:val="nil"/>
              <w:left w:val="nil"/>
              <w:bottom w:val="nil"/>
              <w:right w:val="nil"/>
            </w:tcBorders>
          </w:tcPr>
          <w:p w14:paraId="0FDC829A" w14:textId="77777777" w:rsidR="006759EE" w:rsidRPr="005704F7" w:rsidRDefault="005704F7">
            <w:pPr>
              <w:jc w:val="right"/>
              <w:rPr>
                <w:rFonts w:ascii="Arial" w:hAnsi="Arial"/>
                <w:b/>
                <w:bCs/>
                <w:sz w:val="26"/>
                <w:szCs w:val="26"/>
              </w:rPr>
            </w:pPr>
            <w:r w:rsidRPr="005704F7">
              <w:rPr>
                <w:rFonts w:ascii="Arial" w:hAnsi="Arial" w:hint="cs"/>
                <w:b/>
                <w:bCs/>
                <w:sz w:val="26"/>
                <w:szCs w:val="26"/>
                <w:rtl/>
              </w:rPr>
              <w:t>ה</w:t>
            </w:r>
            <w:r w:rsidRPr="005704F7">
              <w:rPr>
                <w:rFonts w:hint="cs"/>
                <w:b/>
                <w:bCs/>
                <w:sz w:val="26"/>
                <w:szCs w:val="26"/>
                <w:rtl/>
              </w:rPr>
              <w:t>נאשם</w:t>
            </w:r>
          </w:p>
        </w:tc>
      </w:tr>
    </w:tbl>
    <w:p w14:paraId="04078651" w14:textId="77777777" w:rsidR="00860CA9" w:rsidRDefault="00860CA9">
      <w:pPr>
        <w:rPr>
          <w:sz w:val="26"/>
          <w:szCs w:val="26"/>
          <w:rtl/>
        </w:rPr>
      </w:pPr>
      <w:bookmarkStart w:id="3" w:name="LawTable"/>
      <w:bookmarkEnd w:id="2"/>
      <w:bookmarkEnd w:id="3"/>
    </w:p>
    <w:p w14:paraId="2FB883C7" w14:textId="77777777" w:rsidR="00860CA9" w:rsidRPr="00860CA9" w:rsidRDefault="00860CA9" w:rsidP="00860CA9">
      <w:pPr>
        <w:spacing w:after="120" w:line="240" w:lineRule="exact"/>
        <w:ind w:left="283" w:hanging="283"/>
        <w:jc w:val="both"/>
        <w:rPr>
          <w:rFonts w:ascii="FrankRuehl" w:hAnsi="FrankRuehl" w:cs="FrankRuehl"/>
          <w:rtl/>
        </w:rPr>
      </w:pPr>
    </w:p>
    <w:p w14:paraId="54A44587" w14:textId="77777777" w:rsidR="00860CA9" w:rsidRPr="00860CA9" w:rsidRDefault="00860CA9" w:rsidP="00860CA9">
      <w:pPr>
        <w:spacing w:after="120" w:line="240" w:lineRule="exact"/>
        <w:ind w:left="283" w:hanging="283"/>
        <w:jc w:val="both"/>
        <w:rPr>
          <w:rFonts w:ascii="FrankRuehl" w:hAnsi="FrankRuehl" w:cs="FrankRuehl"/>
          <w:rtl/>
        </w:rPr>
      </w:pPr>
      <w:r w:rsidRPr="00860CA9">
        <w:rPr>
          <w:rFonts w:ascii="FrankRuehl" w:hAnsi="FrankRuehl" w:cs="FrankRuehl"/>
          <w:rtl/>
        </w:rPr>
        <w:t xml:space="preserve">חקיקה שאוזכרה: </w:t>
      </w:r>
    </w:p>
    <w:p w14:paraId="3D0C3CE3" w14:textId="77777777" w:rsidR="00860CA9" w:rsidRPr="00860CA9" w:rsidRDefault="00860CA9" w:rsidP="00860CA9">
      <w:pPr>
        <w:spacing w:after="120" w:line="240" w:lineRule="exact"/>
        <w:ind w:left="283" w:hanging="283"/>
        <w:jc w:val="both"/>
        <w:rPr>
          <w:rFonts w:ascii="FrankRuehl" w:hAnsi="FrankRuehl" w:cs="FrankRuehl"/>
          <w:rtl/>
        </w:rPr>
      </w:pPr>
      <w:hyperlink r:id="rId6" w:history="1">
        <w:r w:rsidRPr="00860CA9">
          <w:rPr>
            <w:rFonts w:ascii="FrankRuehl" w:hAnsi="FrankRuehl" w:cs="FrankRuehl"/>
            <w:color w:val="0000FF"/>
            <w:u w:val="single"/>
            <w:rtl/>
          </w:rPr>
          <w:t>חוק העונשין, תשל"ז-1977</w:t>
        </w:r>
      </w:hyperlink>
    </w:p>
    <w:p w14:paraId="19889913" w14:textId="77777777" w:rsidR="00860CA9" w:rsidRPr="00860CA9" w:rsidRDefault="00860CA9" w:rsidP="00860CA9">
      <w:pPr>
        <w:spacing w:after="120" w:line="240" w:lineRule="exact"/>
        <w:ind w:left="283" w:hanging="283"/>
        <w:jc w:val="both"/>
        <w:rPr>
          <w:rFonts w:ascii="FrankRuehl" w:hAnsi="FrankRuehl" w:cs="FrankRuehl"/>
          <w:rtl/>
        </w:rPr>
      </w:pPr>
    </w:p>
    <w:p w14:paraId="286521C1" w14:textId="77777777" w:rsidR="00860CA9" w:rsidRPr="00860CA9" w:rsidRDefault="00860CA9">
      <w:pPr>
        <w:rPr>
          <w:sz w:val="26"/>
          <w:szCs w:val="26"/>
          <w:rtl/>
        </w:rPr>
      </w:pPr>
      <w:bookmarkStart w:id="4" w:name="LawTable_End"/>
      <w:bookmarkEnd w:id="4"/>
    </w:p>
    <w:p w14:paraId="4ACCB743" w14:textId="77777777" w:rsidR="000D2479" w:rsidRPr="000D2479" w:rsidRDefault="000D2479">
      <w:pPr>
        <w:rPr>
          <w:sz w:val="26"/>
          <w:szCs w:val="26"/>
          <w:rtl/>
        </w:rPr>
      </w:pPr>
    </w:p>
    <w:p w14:paraId="2A9F707D" w14:textId="77777777" w:rsidR="000D2479" w:rsidRPr="000D2479" w:rsidRDefault="000D2479">
      <w:pPr>
        <w:rPr>
          <w:sz w:val="26"/>
          <w:szCs w:val="26"/>
          <w:rtl/>
        </w:rPr>
      </w:pPr>
    </w:p>
    <w:p w14:paraId="41AB3B82" w14:textId="77777777" w:rsidR="006759EE" w:rsidRPr="000D2479" w:rsidRDefault="006759E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759EE" w14:paraId="539EDB7D" w14:textId="77777777">
        <w:trPr>
          <w:trHeight w:val="355"/>
          <w:jc w:val="center"/>
        </w:trPr>
        <w:tc>
          <w:tcPr>
            <w:tcW w:w="8820" w:type="dxa"/>
            <w:tcBorders>
              <w:top w:val="nil"/>
              <w:left w:val="nil"/>
              <w:bottom w:val="nil"/>
              <w:right w:val="nil"/>
            </w:tcBorders>
          </w:tcPr>
          <w:p w14:paraId="6116CABC" w14:textId="77777777" w:rsidR="005704F7" w:rsidRPr="005704F7" w:rsidRDefault="005704F7" w:rsidP="005704F7">
            <w:pPr>
              <w:jc w:val="center"/>
              <w:rPr>
                <w:rFonts w:ascii="Arial" w:hAnsi="Arial"/>
                <w:b/>
                <w:bCs/>
                <w:sz w:val="32"/>
                <w:szCs w:val="32"/>
                <w:u w:val="single"/>
                <w:rtl/>
              </w:rPr>
            </w:pPr>
            <w:bookmarkStart w:id="5" w:name="PsakDin" w:colFirst="0" w:colLast="0"/>
            <w:bookmarkEnd w:id="0"/>
            <w:r w:rsidRPr="005704F7">
              <w:rPr>
                <w:rFonts w:ascii="Arial" w:hAnsi="Arial"/>
                <w:b/>
                <w:bCs/>
                <w:sz w:val="32"/>
                <w:szCs w:val="32"/>
                <w:u w:val="single"/>
                <w:rtl/>
              </w:rPr>
              <w:t>גזר דין</w:t>
            </w:r>
          </w:p>
          <w:p w14:paraId="426C6656" w14:textId="77777777" w:rsidR="006759EE" w:rsidRPr="005704F7" w:rsidRDefault="006759EE" w:rsidP="005704F7">
            <w:pPr>
              <w:jc w:val="center"/>
              <w:rPr>
                <w:rFonts w:ascii="Arial" w:hAnsi="Arial"/>
                <w:bCs/>
                <w:sz w:val="32"/>
                <w:szCs w:val="32"/>
                <w:u w:val="single"/>
                <w:rtl/>
              </w:rPr>
            </w:pPr>
          </w:p>
        </w:tc>
      </w:tr>
      <w:bookmarkEnd w:id="5"/>
    </w:tbl>
    <w:p w14:paraId="105739FB" w14:textId="77777777" w:rsidR="006759EE" w:rsidRDefault="006759EE">
      <w:pPr>
        <w:spacing w:line="360" w:lineRule="auto"/>
        <w:jc w:val="both"/>
        <w:rPr>
          <w:rFonts w:ascii="Arial" w:hAnsi="Arial"/>
          <w:rtl/>
        </w:rPr>
      </w:pPr>
    </w:p>
    <w:p w14:paraId="7D58176A" w14:textId="77777777" w:rsidR="006759EE" w:rsidRDefault="005704F7">
      <w:pPr>
        <w:spacing w:line="360" w:lineRule="auto"/>
        <w:jc w:val="both"/>
        <w:rPr>
          <w:rFonts w:ascii="Arial" w:hAnsi="Arial"/>
          <w:rtl/>
        </w:rPr>
      </w:pPr>
      <w:bookmarkStart w:id="6" w:name="ABSTRACT_START"/>
      <w:bookmarkEnd w:id="6"/>
      <w:r>
        <w:rPr>
          <w:rFonts w:ascii="Arial" w:hAnsi="Arial" w:hint="cs"/>
          <w:rtl/>
        </w:rPr>
        <w:t xml:space="preserve">ביום 4.7.12 הורשע הנאשם, לפי הודייתו בכתב אישום מתוקן, בעבירות לפי פקודת הסמים </w:t>
      </w:r>
      <w:r>
        <w:rPr>
          <w:rFonts w:ascii="Arial" w:hAnsi="Arial"/>
          <w:rtl/>
        </w:rPr>
        <w:t>–</w:t>
      </w:r>
      <w:r>
        <w:rPr>
          <w:rFonts w:ascii="Arial" w:hAnsi="Arial" w:hint="cs"/>
          <w:rtl/>
        </w:rPr>
        <w:t xml:space="preserve"> החזקת סם מסוכן שלא לצריכה עצמית, החזקת כלים להכנת סם שלא לצריכה עצמית, אספקת סם מסוכן וסחר בסם מסוכן.</w:t>
      </w:r>
    </w:p>
    <w:p w14:paraId="3787376B" w14:textId="77777777" w:rsidR="006759EE" w:rsidRDefault="006759EE">
      <w:pPr>
        <w:spacing w:line="360" w:lineRule="auto"/>
        <w:jc w:val="both"/>
        <w:rPr>
          <w:rFonts w:ascii="Arial" w:hAnsi="Arial"/>
          <w:rtl/>
        </w:rPr>
      </w:pPr>
      <w:bookmarkStart w:id="7" w:name="ABSTRACT_END"/>
      <w:bookmarkEnd w:id="7"/>
    </w:p>
    <w:p w14:paraId="5965CBBA" w14:textId="77777777" w:rsidR="006759EE" w:rsidRDefault="005704F7">
      <w:pPr>
        <w:spacing w:line="360" w:lineRule="auto"/>
        <w:jc w:val="both"/>
        <w:rPr>
          <w:rFonts w:ascii="Arial" w:hAnsi="Arial"/>
          <w:rtl/>
        </w:rPr>
      </w:pPr>
      <w:r>
        <w:rPr>
          <w:rFonts w:ascii="Arial" w:hAnsi="Arial" w:hint="cs"/>
          <w:rtl/>
        </w:rPr>
        <w:t>הודיית הנאשם נעשתה במסגרת הסדר לפיו הוסכם שהנאשם יופנה לאחר הרשעתו לעריכת תסקיר שירות המבחן, יוכרז כסוחר סמים ויחולט רכוש עליו הסכימו הצדדים. ההסדר לא כלל הסכמה עונשית נוספת.</w:t>
      </w:r>
    </w:p>
    <w:p w14:paraId="31457FD4" w14:textId="77777777" w:rsidR="006759EE" w:rsidRDefault="006759EE">
      <w:pPr>
        <w:spacing w:line="360" w:lineRule="auto"/>
        <w:jc w:val="both"/>
        <w:rPr>
          <w:rFonts w:ascii="Arial" w:hAnsi="Arial"/>
          <w:rtl/>
        </w:rPr>
      </w:pPr>
    </w:p>
    <w:p w14:paraId="5245B903" w14:textId="77777777" w:rsidR="006759EE" w:rsidRDefault="005704F7">
      <w:pPr>
        <w:spacing w:line="360" w:lineRule="auto"/>
        <w:jc w:val="both"/>
        <w:rPr>
          <w:rFonts w:ascii="Arial" w:hAnsi="Arial"/>
          <w:rtl/>
        </w:rPr>
      </w:pPr>
      <w:r>
        <w:rPr>
          <w:rFonts w:ascii="Arial" w:hAnsi="Arial" w:hint="cs"/>
          <w:rtl/>
        </w:rPr>
        <w:t>הנאשם הורשע קודם כניסתו לתוקף של תיקון 113 ל</w:t>
      </w:r>
      <w:hyperlink r:id="rId7" w:history="1">
        <w:r w:rsidR="000D2479" w:rsidRPr="000D2479">
          <w:rPr>
            <w:rStyle w:val="Hyperlink"/>
            <w:rFonts w:ascii="Arial" w:hAnsi="Arial"/>
            <w:rtl/>
          </w:rPr>
          <w:t>חוק העונשין</w:t>
        </w:r>
      </w:hyperlink>
      <w:r>
        <w:rPr>
          <w:rFonts w:ascii="Arial" w:hAnsi="Arial" w:hint="cs"/>
          <w:rtl/>
        </w:rPr>
        <w:t>, תשל"ז-1977, אולם ודאי שרוחו של תיקון זה תשרה גם על גזירת הדין בעניין דנן.</w:t>
      </w:r>
    </w:p>
    <w:p w14:paraId="57D78F7D" w14:textId="77777777" w:rsidR="006759EE" w:rsidRDefault="006759EE">
      <w:pPr>
        <w:spacing w:line="360" w:lineRule="auto"/>
        <w:jc w:val="both"/>
        <w:rPr>
          <w:rFonts w:ascii="Arial" w:hAnsi="Arial"/>
          <w:rtl/>
        </w:rPr>
      </w:pPr>
    </w:p>
    <w:p w14:paraId="03A8A1BB" w14:textId="77777777" w:rsidR="006759EE" w:rsidRDefault="005704F7">
      <w:pPr>
        <w:spacing w:line="360" w:lineRule="auto"/>
        <w:jc w:val="both"/>
        <w:rPr>
          <w:rFonts w:ascii="Arial" w:hAnsi="Arial"/>
          <w:b/>
          <w:bCs/>
          <w:u w:val="single"/>
          <w:rtl/>
        </w:rPr>
      </w:pPr>
      <w:r>
        <w:rPr>
          <w:rFonts w:ascii="Arial" w:hAnsi="Arial" w:hint="cs"/>
          <w:b/>
          <w:bCs/>
          <w:u w:val="single"/>
          <w:rtl/>
        </w:rPr>
        <w:t xml:space="preserve">מצע עובדתי </w:t>
      </w:r>
      <w:r>
        <w:rPr>
          <w:rFonts w:ascii="Arial" w:hAnsi="Arial"/>
          <w:b/>
          <w:bCs/>
          <w:u w:val="single"/>
          <w:rtl/>
        </w:rPr>
        <w:t>–</w:t>
      </w:r>
      <w:r>
        <w:rPr>
          <w:rFonts w:ascii="Arial" w:hAnsi="Arial" w:hint="cs"/>
          <w:b/>
          <w:bCs/>
          <w:u w:val="single"/>
          <w:rtl/>
        </w:rPr>
        <w:t xml:space="preserve"> כתב האישום וראיות לעונש:</w:t>
      </w:r>
    </w:p>
    <w:p w14:paraId="775124F3" w14:textId="77777777" w:rsidR="006759EE" w:rsidRDefault="006759EE">
      <w:pPr>
        <w:spacing w:line="360" w:lineRule="auto"/>
        <w:jc w:val="both"/>
        <w:rPr>
          <w:rtl/>
        </w:rPr>
      </w:pPr>
    </w:p>
    <w:p w14:paraId="7F0369F2" w14:textId="77777777" w:rsidR="006759EE" w:rsidRDefault="005704F7">
      <w:pPr>
        <w:spacing w:line="360" w:lineRule="auto"/>
        <w:jc w:val="both"/>
        <w:rPr>
          <w:rtl/>
        </w:rPr>
      </w:pPr>
      <w:r>
        <w:rPr>
          <w:rFonts w:hint="cs"/>
          <w:rtl/>
        </w:rPr>
        <w:t>פרט לכתב האישום המתוקן שבעובדותיו הודה הנאשם, הגישה ההגנה בהסכמה את הודעותיהם של מקבלי הסם, כך שניתן ללמוד גם מהן על אופי פעולתו של הנאשם.</w:t>
      </w:r>
    </w:p>
    <w:p w14:paraId="410469DE" w14:textId="77777777" w:rsidR="006759EE" w:rsidRDefault="006759EE">
      <w:pPr>
        <w:spacing w:line="360" w:lineRule="auto"/>
        <w:jc w:val="both"/>
        <w:rPr>
          <w:rtl/>
        </w:rPr>
      </w:pPr>
    </w:p>
    <w:p w14:paraId="615E345A" w14:textId="77777777" w:rsidR="006759EE" w:rsidRDefault="005704F7">
      <w:pPr>
        <w:spacing w:line="360" w:lineRule="auto"/>
        <w:jc w:val="both"/>
        <w:rPr>
          <w:rtl/>
        </w:rPr>
      </w:pPr>
      <w:r>
        <w:rPr>
          <w:rFonts w:hint="cs"/>
          <w:rtl/>
        </w:rPr>
        <w:t xml:space="preserve">בשש הזדמנויות שונות בתקופה בת חמש שנים עד ליום מעצרו ב-25.10.11, סיפק הנאשם חשיש לעידית וייס תמורת 200 ₪ בכל פעם. עידית היתה מתקשרת לנאשם להזמין את הסם והנאשם היה מספק את הסם בדירתו או בדירתה של עידית. בנוסף, אחת לחודש במהלך התקופה הנ"ל, נהג הנאשם לספק לעידית חשיש ולצרוך אותו יחד איתה בדירתה [אישום 7 </w:t>
      </w:r>
      <w:r>
        <w:rPr>
          <w:rtl/>
        </w:rPr>
        <w:t>–</w:t>
      </w:r>
      <w:r>
        <w:rPr>
          <w:rFonts w:hint="cs"/>
          <w:rtl/>
        </w:rPr>
        <w:t xml:space="preserve"> אספקת סם].</w:t>
      </w:r>
    </w:p>
    <w:p w14:paraId="760B3E34" w14:textId="77777777" w:rsidR="006759EE" w:rsidRDefault="006759EE">
      <w:pPr>
        <w:spacing w:line="360" w:lineRule="auto"/>
        <w:jc w:val="both"/>
        <w:rPr>
          <w:rtl/>
        </w:rPr>
      </w:pPr>
    </w:p>
    <w:p w14:paraId="285E451B" w14:textId="77777777" w:rsidR="006759EE" w:rsidRDefault="005704F7">
      <w:pPr>
        <w:spacing w:line="360" w:lineRule="auto"/>
        <w:jc w:val="both"/>
        <w:rPr>
          <w:rtl/>
        </w:rPr>
      </w:pPr>
      <w:r>
        <w:rPr>
          <w:rFonts w:hint="cs"/>
          <w:rtl/>
        </w:rPr>
        <w:t xml:space="preserve">בעשר הזדמנויות שונות בתקופה של שנתיים עד ליום המעצר, סיפק הנאשם חשיש וקנביס לאסתר מלמיד וצרך אותו יחד איתה [אישום 6 </w:t>
      </w:r>
      <w:r>
        <w:rPr>
          <w:rtl/>
        </w:rPr>
        <w:t>–</w:t>
      </w:r>
      <w:r>
        <w:rPr>
          <w:rFonts w:hint="cs"/>
          <w:rtl/>
        </w:rPr>
        <w:t xml:space="preserve"> אספקת סם]. לפי דברי אסתר, השימוש היה במסגרת "חברתית" בעליל.</w:t>
      </w:r>
    </w:p>
    <w:p w14:paraId="438DEC28" w14:textId="77777777" w:rsidR="006759EE" w:rsidRDefault="006759EE">
      <w:pPr>
        <w:spacing w:line="360" w:lineRule="auto"/>
        <w:jc w:val="both"/>
        <w:rPr>
          <w:rtl/>
        </w:rPr>
      </w:pPr>
    </w:p>
    <w:p w14:paraId="36A9A215" w14:textId="77777777" w:rsidR="006759EE" w:rsidRDefault="005704F7">
      <w:pPr>
        <w:spacing w:line="360" w:lineRule="auto"/>
        <w:jc w:val="both"/>
        <w:rPr>
          <w:rtl/>
        </w:rPr>
      </w:pPr>
      <w:r>
        <w:rPr>
          <w:rFonts w:hint="cs"/>
          <w:rtl/>
        </w:rPr>
        <w:t>בחמש הזדמנויות שונות במשך כשנה עד ליום המעצר, מכר הנאשם חשיש לאילן צור תמורת 200-400 ₪ בכל פעם, כשאילן היה מתקשר להזמין את הסם והנאשם היה מוסר לו את הסם תמורת הכסף במקום מפגש שהיה קובע. אילן תאר אופן פעולה של סחר לכל דבר, ללא כל קשר חברתי</w:t>
      </w:r>
      <w:r>
        <w:rPr>
          <w:rStyle w:val="a8"/>
          <w:rtl/>
        </w:rPr>
        <w:footnoteReference w:id="1"/>
      </w:r>
      <w:r>
        <w:rPr>
          <w:rFonts w:hint="cs"/>
          <w:rtl/>
        </w:rPr>
        <w:t xml:space="preserve">: אילן היה מתקשר או שולח הודעה לנאשם, תוך שימוש במילות קוד ("מקומות על הבר", למשל) והנאשם היה קובע מקום מפגש משתנה שבו היה נמסר הסם תמורת הכסף [אישום 5 </w:t>
      </w:r>
      <w:r>
        <w:rPr>
          <w:rtl/>
        </w:rPr>
        <w:t>–</w:t>
      </w:r>
      <w:r>
        <w:rPr>
          <w:rFonts w:hint="cs"/>
          <w:rtl/>
        </w:rPr>
        <w:t xml:space="preserve"> סחר בסם]. </w:t>
      </w:r>
    </w:p>
    <w:p w14:paraId="24BBDA85" w14:textId="77777777" w:rsidR="006759EE" w:rsidRDefault="006759EE">
      <w:pPr>
        <w:spacing w:line="360" w:lineRule="auto"/>
        <w:jc w:val="both"/>
        <w:rPr>
          <w:rtl/>
        </w:rPr>
      </w:pPr>
    </w:p>
    <w:p w14:paraId="55BAE074" w14:textId="77777777" w:rsidR="006759EE" w:rsidRDefault="005704F7">
      <w:pPr>
        <w:spacing w:line="360" w:lineRule="auto"/>
        <w:jc w:val="both"/>
        <w:rPr>
          <w:rtl/>
        </w:rPr>
      </w:pPr>
      <w:r>
        <w:rPr>
          <w:rFonts w:hint="cs"/>
          <w:rtl/>
        </w:rPr>
        <w:t xml:space="preserve">בחמש הזדמנויות שונות במשך כשנה עד ליום המעצר, מכר הנאשם לנדב בריטש קנביס במשקל חמישה גרם תמורת 350 ₪ בכל פעם, כשנדב היה מתקשר להזמין את הסם והנאשם היה מוסר לו את הסם תמורת הכסף בדירתו של הנאשם. גם נדב תאר פעילות סחר לכל דבר, ללא כל קשר חברתי, באופן דומה לתיאורו של אילן, אלא שהמכירה היתה מתבצעת בדירת הנאשם [אישום 4 </w:t>
      </w:r>
      <w:r>
        <w:rPr>
          <w:rtl/>
        </w:rPr>
        <w:t>–</w:t>
      </w:r>
      <w:r>
        <w:rPr>
          <w:rFonts w:hint="cs"/>
          <w:rtl/>
        </w:rPr>
        <w:t xml:space="preserve"> סחר בסם].</w:t>
      </w:r>
    </w:p>
    <w:p w14:paraId="7D41AE8F" w14:textId="77777777" w:rsidR="006759EE" w:rsidRDefault="006759EE">
      <w:pPr>
        <w:spacing w:line="360" w:lineRule="auto"/>
        <w:jc w:val="both"/>
        <w:rPr>
          <w:rtl/>
        </w:rPr>
      </w:pPr>
    </w:p>
    <w:p w14:paraId="5BD29DC8" w14:textId="77777777" w:rsidR="006759EE" w:rsidRDefault="005704F7">
      <w:pPr>
        <w:spacing w:line="360" w:lineRule="auto"/>
        <w:jc w:val="both"/>
        <w:rPr>
          <w:rtl/>
        </w:rPr>
      </w:pPr>
      <w:r>
        <w:rPr>
          <w:rFonts w:hint="cs"/>
          <w:rtl/>
        </w:rPr>
        <w:t xml:space="preserve">בשתי הזדמנויות שונות במהלך חודשיים עד ליום המעצר, סיפק הנאשם חשיש לגיא אלעזר תמורת תיקונים שביצע האחרון בקיוסק בו עבד הנאשם ובדירת הנאשם [אישום 3 </w:t>
      </w:r>
      <w:r>
        <w:rPr>
          <w:rtl/>
        </w:rPr>
        <w:t>–</w:t>
      </w:r>
      <w:r>
        <w:rPr>
          <w:rFonts w:hint="cs"/>
          <w:rtl/>
        </w:rPr>
        <w:t xml:space="preserve"> אספקת סם].</w:t>
      </w:r>
    </w:p>
    <w:p w14:paraId="39FBE8FC" w14:textId="77777777" w:rsidR="006759EE" w:rsidRDefault="006759EE">
      <w:pPr>
        <w:spacing w:line="360" w:lineRule="auto"/>
        <w:jc w:val="both"/>
        <w:rPr>
          <w:rtl/>
        </w:rPr>
      </w:pPr>
    </w:p>
    <w:p w14:paraId="1025D188" w14:textId="77777777" w:rsidR="006759EE" w:rsidRDefault="005704F7">
      <w:pPr>
        <w:spacing w:line="360" w:lineRule="auto"/>
        <w:jc w:val="both"/>
        <w:rPr>
          <w:rtl/>
        </w:rPr>
      </w:pPr>
      <w:r>
        <w:rPr>
          <w:rFonts w:hint="cs"/>
          <w:rtl/>
        </w:rPr>
        <w:t xml:space="preserve">במהלך חודש אוקטובר 2011 סיפק הנאשם לרותם אשכנזי חשיש תמורת 50 או 100 ₪. רותם קנתה מהנאשם את הסם ללא כל קשר חברתי לאחר תיאומי המפגשים במסרונים [אישום 2 </w:t>
      </w:r>
      <w:r>
        <w:rPr>
          <w:rtl/>
        </w:rPr>
        <w:t>–</w:t>
      </w:r>
      <w:r>
        <w:rPr>
          <w:rFonts w:hint="cs"/>
          <w:rtl/>
        </w:rPr>
        <w:t xml:space="preserve"> אספקת סם].</w:t>
      </w:r>
    </w:p>
    <w:p w14:paraId="15E41AE9" w14:textId="77777777" w:rsidR="006759EE" w:rsidRDefault="006759EE">
      <w:pPr>
        <w:spacing w:line="360" w:lineRule="auto"/>
        <w:jc w:val="both"/>
        <w:rPr>
          <w:rtl/>
        </w:rPr>
      </w:pPr>
    </w:p>
    <w:p w14:paraId="6AE92194" w14:textId="77777777" w:rsidR="006759EE" w:rsidRDefault="005704F7">
      <w:pPr>
        <w:spacing w:line="360" w:lineRule="auto"/>
        <w:jc w:val="both"/>
        <w:rPr>
          <w:rtl/>
        </w:rPr>
      </w:pPr>
      <w:r>
        <w:rPr>
          <w:rFonts w:hint="cs"/>
          <w:rtl/>
        </w:rPr>
        <w:lastRenderedPageBreak/>
        <w:t xml:space="preserve">ביום המעצר 25.10.11 נמצאה בבית הנאשם כמות נכבדה של סמים משישה סוגים שונים שפוזרו במקומות שונים בדירה, במשקלים כוללים אלו (נטו): </w:t>
      </w:r>
    </w:p>
    <w:p w14:paraId="0CBA08CE" w14:textId="77777777" w:rsidR="006759EE" w:rsidRDefault="005704F7">
      <w:pPr>
        <w:spacing w:line="360" w:lineRule="auto"/>
        <w:jc w:val="both"/>
        <w:rPr>
          <w:rtl/>
        </w:rPr>
      </w:pPr>
      <w:r>
        <w:rPr>
          <w:rFonts w:hint="cs"/>
          <w:rtl/>
        </w:rPr>
        <w:t xml:space="preserve">חשיש במשקל 1.826 ק"ג, 69.44 ק"ג קנביס, 1.63 גרם הרואין, 8.4 גרם </w:t>
      </w:r>
      <w:r>
        <w:t xml:space="preserve">MDMA </w:t>
      </w:r>
      <w:r>
        <w:rPr>
          <w:rFonts w:hint="cs"/>
          <w:rtl/>
        </w:rPr>
        <w:t xml:space="preserve"> בשקיות ו-12 טבליות </w:t>
      </w:r>
      <w:r>
        <w:t>MDMA</w:t>
      </w:r>
      <w:r>
        <w:rPr>
          <w:rFonts w:hint="cs"/>
          <w:rtl/>
        </w:rPr>
        <w:t>.</w:t>
      </w:r>
    </w:p>
    <w:p w14:paraId="57F078D0" w14:textId="77777777" w:rsidR="006759EE" w:rsidRDefault="005704F7">
      <w:pPr>
        <w:spacing w:line="360" w:lineRule="auto"/>
        <w:jc w:val="both"/>
        <w:rPr>
          <w:rtl/>
        </w:rPr>
      </w:pPr>
      <w:r>
        <w:rPr>
          <w:rFonts w:hint="cs"/>
          <w:rtl/>
        </w:rPr>
        <w:t>בנוסף החזיק הנאשם שתי מטחנות ושני משקים אלקטרונים, שהנם כלים להכנת הסמים.</w:t>
      </w:r>
    </w:p>
    <w:p w14:paraId="3F57A352" w14:textId="77777777" w:rsidR="006759EE" w:rsidRDefault="005704F7">
      <w:pPr>
        <w:bidi w:val="0"/>
        <w:rPr>
          <w:rtl/>
        </w:rPr>
      </w:pPr>
      <w:r>
        <w:rPr>
          <w:rtl/>
        </w:rPr>
        <w:br w:type="page"/>
      </w:r>
    </w:p>
    <w:p w14:paraId="20215FE0" w14:textId="77777777" w:rsidR="006759EE" w:rsidRDefault="005704F7">
      <w:pPr>
        <w:spacing w:line="360" w:lineRule="auto"/>
        <w:jc w:val="both"/>
        <w:rPr>
          <w:rtl/>
        </w:rPr>
      </w:pPr>
      <w:r>
        <w:rPr>
          <w:rFonts w:hint="cs"/>
          <w:b/>
          <w:bCs/>
          <w:u w:val="single"/>
          <w:rtl/>
        </w:rPr>
        <w:t xml:space="preserve">נסיבות אישיות </w:t>
      </w:r>
      <w:r>
        <w:rPr>
          <w:b/>
          <w:bCs/>
          <w:u w:val="single"/>
          <w:rtl/>
        </w:rPr>
        <w:t>–</w:t>
      </w:r>
      <w:r>
        <w:rPr>
          <w:rFonts w:hint="cs"/>
          <w:b/>
          <w:bCs/>
          <w:u w:val="single"/>
          <w:rtl/>
        </w:rPr>
        <w:t xml:space="preserve"> תסקיר שירות מבחן ועדויות הגנה לעונש:</w:t>
      </w:r>
    </w:p>
    <w:p w14:paraId="3B67DB1C" w14:textId="77777777" w:rsidR="006759EE" w:rsidRDefault="006759EE">
      <w:pPr>
        <w:spacing w:line="360" w:lineRule="auto"/>
        <w:jc w:val="both"/>
        <w:rPr>
          <w:rtl/>
        </w:rPr>
      </w:pPr>
    </w:p>
    <w:p w14:paraId="1A4D86A2" w14:textId="77777777" w:rsidR="006759EE" w:rsidRDefault="005704F7">
      <w:pPr>
        <w:spacing w:line="360" w:lineRule="auto"/>
        <w:jc w:val="both"/>
        <w:rPr>
          <w:rtl/>
        </w:rPr>
      </w:pPr>
      <w:r>
        <w:rPr>
          <w:rFonts w:hint="cs"/>
          <w:rtl/>
        </w:rPr>
        <w:t>בעניינו של הנאשם נערכו שלושה תסקירים, החל מחודש פברואר 2013, והוא משולב בטיפול כבר מינואר 2012.</w:t>
      </w:r>
    </w:p>
    <w:p w14:paraId="2B32B6F1" w14:textId="77777777" w:rsidR="006759EE" w:rsidRDefault="006759EE">
      <w:pPr>
        <w:spacing w:line="360" w:lineRule="auto"/>
        <w:jc w:val="both"/>
        <w:rPr>
          <w:rtl/>
        </w:rPr>
      </w:pPr>
    </w:p>
    <w:p w14:paraId="53A0F6F8" w14:textId="77777777" w:rsidR="006759EE" w:rsidRDefault="005704F7">
      <w:pPr>
        <w:spacing w:line="360" w:lineRule="auto"/>
        <w:jc w:val="both"/>
        <w:rPr>
          <w:rtl/>
        </w:rPr>
      </w:pPr>
      <w:r>
        <w:rPr>
          <w:rFonts w:hint="cs"/>
          <w:rtl/>
        </w:rPr>
        <w:t>הנאשם, יליד 1964, רווק ללא עבר פלילי, שסיים לימודי תיכון ושירת שירות מלא בצה"ל. לאחר שחרורו עבד כמדריך טניס ובמכירת מזון בירידים. הסתבכות כלכלית אליה גרר אותו אביו</w:t>
      </w:r>
      <w:r>
        <w:rPr>
          <w:rStyle w:val="a8"/>
          <w:rtl/>
        </w:rPr>
        <w:footnoteReference w:id="2"/>
      </w:r>
      <w:r>
        <w:rPr>
          <w:rFonts w:hint="cs"/>
          <w:rtl/>
        </w:rPr>
        <w:t xml:space="preserve"> הובילה אותו לחורבן כלכלי:</w:t>
      </w:r>
    </w:p>
    <w:p w14:paraId="612F6381" w14:textId="77777777" w:rsidR="006759EE" w:rsidRDefault="005704F7">
      <w:pPr>
        <w:spacing w:line="360" w:lineRule="auto"/>
        <w:jc w:val="both"/>
        <w:rPr>
          <w:rtl/>
        </w:rPr>
      </w:pPr>
      <w:r>
        <w:rPr>
          <w:rFonts w:hint="cs"/>
          <w:rtl/>
        </w:rPr>
        <w:t xml:space="preserve">הנאשם שקע בחובות של מאות אלפי ₪, הוא הוכרז כ"מוגבל בנסיבות מיוחדות" בהוראת ראש הוצל"פ </w:t>
      </w:r>
      <w:r>
        <w:rPr>
          <w:rtl/>
        </w:rPr>
        <w:t>–</w:t>
      </w:r>
      <w:r>
        <w:rPr>
          <w:rFonts w:hint="cs"/>
          <w:rtl/>
        </w:rPr>
        <w:t xml:space="preserve"> הכרזה ששללה למעשה את יכולתו להשתמש בחשבונות בנק קיימים או לפתוח חדשים, ולכן גם לא יכול היה לעבוד במקום עבודה מסודר מבלי שמשכורתו תעוקל מיד</w:t>
      </w:r>
      <w:r>
        <w:rPr>
          <w:rStyle w:val="a8"/>
          <w:rtl/>
        </w:rPr>
        <w:footnoteReference w:id="3"/>
      </w:r>
      <w:r>
        <w:rPr>
          <w:rFonts w:hint="cs"/>
          <w:rtl/>
        </w:rPr>
        <w:t>. לכן פנה הנאשם לעבוד בעבודות של מכירה בדוכנים וכן הלאה, עד שהחל לעבוד בקיוסק "חוף התופים" בתל-אביב שבבעלות אברהם אלפיה, עד למעצרו</w:t>
      </w:r>
      <w:r>
        <w:rPr>
          <w:rStyle w:val="a8"/>
          <w:rtl/>
        </w:rPr>
        <w:footnoteReference w:id="4"/>
      </w:r>
      <w:r>
        <w:rPr>
          <w:rFonts w:hint="cs"/>
          <w:rtl/>
        </w:rPr>
        <w:t>.</w:t>
      </w:r>
    </w:p>
    <w:p w14:paraId="72093CC7" w14:textId="77777777" w:rsidR="006759EE" w:rsidRDefault="006759EE">
      <w:pPr>
        <w:spacing w:line="360" w:lineRule="auto"/>
        <w:jc w:val="both"/>
        <w:rPr>
          <w:rtl/>
        </w:rPr>
      </w:pPr>
    </w:p>
    <w:p w14:paraId="676D943A" w14:textId="77777777" w:rsidR="006759EE" w:rsidRDefault="005704F7">
      <w:pPr>
        <w:spacing w:line="360" w:lineRule="auto"/>
        <w:jc w:val="both"/>
        <w:rPr>
          <w:rtl/>
        </w:rPr>
      </w:pPr>
      <w:r>
        <w:rPr>
          <w:rFonts w:hint="cs"/>
          <w:rtl/>
        </w:rPr>
        <w:t>תקופת השימוש של הנאשם בסמים ארוכה מאוד והחלה בהיותו כבן 17. למעט בעת שירותו הצבאי, השתמש באופן קבוע עד למעצרו. השימוש בסמים, לדעת שירות המבחן וכעולה מעדותה של אחותו, נבע מהצורך של הנאשם בהקהיית רגשות ששורשם בילדות בצל האלימות הקשה שהפעיל אביו נגדו ונגד יתר בני המשפחה. כך, הנאשם אמנם תפקד כיאות במישור התעסוקתי, כפי שמסרו גם עדי ההגנה, אולם ניהל חיים לא יציבים, לא הקים תא משפחתי והתמיד בשימוש בסמים.</w:t>
      </w:r>
    </w:p>
    <w:p w14:paraId="71DC71AC" w14:textId="77777777" w:rsidR="006759EE" w:rsidRDefault="006759EE">
      <w:pPr>
        <w:spacing w:line="360" w:lineRule="auto"/>
        <w:jc w:val="both"/>
        <w:rPr>
          <w:rtl/>
        </w:rPr>
      </w:pPr>
    </w:p>
    <w:p w14:paraId="3101D64F" w14:textId="77777777" w:rsidR="006759EE" w:rsidRDefault="005704F7">
      <w:pPr>
        <w:spacing w:line="360" w:lineRule="auto"/>
        <w:jc w:val="both"/>
        <w:rPr>
          <w:rtl/>
        </w:rPr>
      </w:pPr>
      <w:r>
        <w:rPr>
          <w:rFonts w:hint="cs"/>
          <w:rtl/>
        </w:rPr>
        <w:t xml:space="preserve">רק בעקבות המעצר פנה הנאשם לבדוק את מצבו, כשבתחילה שלל התמכרות, אולם בהמשך גילה תובנה למצבו ושולב בתהליך טיפולי: </w:t>
      </w:r>
    </w:p>
    <w:p w14:paraId="2E87743C" w14:textId="77777777" w:rsidR="006759EE" w:rsidRDefault="005704F7">
      <w:pPr>
        <w:spacing w:line="360" w:lineRule="auto"/>
        <w:jc w:val="both"/>
        <w:rPr>
          <w:rtl/>
        </w:rPr>
      </w:pPr>
      <w:r>
        <w:rPr>
          <w:rFonts w:hint="cs"/>
          <w:rtl/>
        </w:rPr>
        <w:t xml:space="preserve">תחילה שהה הנאשם כארבעה חודשים בקהילה טיפולית סגורה עד יוני 2012, ובדצמבר 2012 שולב בטיפול ביחידה העירונית לטיפול בהתמכרויות בטירת הכרמל [נ/14]. </w:t>
      </w:r>
    </w:p>
    <w:p w14:paraId="1D82EBFA" w14:textId="77777777" w:rsidR="006759EE" w:rsidRDefault="005704F7">
      <w:pPr>
        <w:spacing w:line="360" w:lineRule="auto"/>
        <w:jc w:val="both"/>
        <w:rPr>
          <w:rtl/>
        </w:rPr>
      </w:pPr>
      <w:r>
        <w:rPr>
          <w:rFonts w:hint="cs"/>
          <w:rtl/>
        </w:rPr>
        <w:t xml:space="preserve">הדיווחים מהמסגרות הטיפוליות העלו כי הנאשם לוקח אחריות על מעשיו ועל אופן התנהלותו במהלך השנים, אך עדיין מתקשה להכיר בהתמכרותו לסמים ומדחיק עובדה זו. הצלחתו של הנאשם בשמירה על ניקיונו תקופה ממושכת מאז מעצרו, הקשתה עליו להכיר בצורך בתהליך טיפולי ממושך שעליו עוד לעבור. </w:t>
      </w:r>
    </w:p>
    <w:p w14:paraId="42A3A8EA" w14:textId="77777777" w:rsidR="006759EE" w:rsidRDefault="006759EE">
      <w:pPr>
        <w:spacing w:line="360" w:lineRule="auto"/>
        <w:jc w:val="both"/>
        <w:rPr>
          <w:rtl/>
        </w:rPr>
      </w:pPr>
    </w:p>
    <w:p w14:paraId="1B9403B5" w14:textId="77777777" w:rsidR="006759EE" w:rsidRDefault="005704F7">
      <w:pPr>
        <w:spacing w:line="360" w:lineRule="auto"/>
        <w:jc w:val="both"/>
        <w:rPr>
          <w:rtl/>
        </w:rPr>
      </w:pPr>
      <w:r>
        <w:rPr>
          <w:rFonts w:hint="cs"/>
          <w:rtl/>
        </w:rPr>
        <w:t>לאחר שסיים הנאשם את התהליך בקהילה הסגורה, הוקלו מעת לעת תנאי שחרורו של הנאשם. הנאשם עובד אצל מעסיקו הנוכחי שהעיד על הערכתו לנאשם, שגם עובר במסגרת העבודה קורסים שנועדו לקידומו.</w:t>
      </w:r>
    </w:p>
    <w:p w14:paraId="185F0369" w14:textId="77777777" w:rsidR="006759EE" w:rsidRDefault="006759EE">
      <w:pPr>
        <w:spacing w:line="360" w:lineRule="auto"/>
        <w:jc w:val="both"/>
        <w:rPr>
          <w:rtl/>
        </w:rPr>
      </w:pPr>
    </w:p>
    <w:p w14:paraId="10127FA8" w14:textId="77777777" w:rsidR="006759EE" w:rsidRDefault="005704F7">
      <w:pPr>
        <w:spacing w:line="360" w:lineRule="auto"/>
        <w:jc w:val="both"/>
        <w:rPr>
          <w:rtl/>
        </w:rPr>
      </w:pPr>
      <w:r>
        <w:rPr>
          <w:rFonts w:hint="cs"/>
          <w:rtl/>
        </w:rPr>
        <w:t>התסקיר האחרון, מיום 16.9.13, מלמד כי הנאשם מתמיד בעבודתו וכן בטיפול, בו הגיע לשלב שעיקרו מעקב.</w:t>
      </w:r>
    </w:p>
    <w:p w14:paraId="30B7FF76" w14:textId="77777777" w:rsidR="006759EE" w:rsidRDefault="006759EE">
      <w:pPr>
        <w:spacing w:line="360" w:lineRule="auto"/>
        <w:jc w:val="both"/>
        <w:rPr>
          <w:rtl/>
        </w:rPr>
      </w:pPr>
    </w:p>
    <w:p w14:paraId="1DD02AE2" w14:textId="77777777" w:rsidR="006759EE" w:rsidRDefault="005704F7">
      <w:pPr>
        <w:spacing w:line="360" w:lineRule="auto"/>
        <w:jc w:val="both"/>
        <w:rPr>
          <w:rtl/>
        </w:rPr>
      </w:pPr>
      <w:r>
        <w:rPr>
          <w:rFonts w:hint="cs"/>
          <w:rtl/>
        </w:rPr>
        <w:t>שירות המבחן מסכם ואומר, שעל-אף הקושי של הנאשם להבין את המשמעות העמוקה של התמכרותו, מלמדת התקופה הארוכה של ניקיון מסמים ושיתוף פעולה טיפולי על צפי חיובי. לכן ממליץ שירות המבחן, בהתחשב בחומרת העבירות ובצורך בענישה מוחשית, להטיל עונש של מאסר בעבודות שירות, מאסר מותנה וצו מבחן למשך שנה (בהתחשב בפרק הזמן הטיפולי עד-כה).</w:t>
      </w:r>
    </w:p>
    <w:p w14:paraId="5609F1D9" w14:textId="77777777" w:rsidR="006759EE" w:rsidRDefault="006759EE">
      <w:pPr>
        <w:spacing w:line="360" w:lineRule="auto"/>
        <w:jc w:val="both"/>
        <w:rPr>
          <w:rtl/>
        </w:rPr>
      </w:pPr>
    </w:p>
    <w:p w14:paraId="568FF230" w14:textId="77777777" w:rsidR="006759EE" w:rsidRDefault="005704F7">
      <w:pPr>
        <w:spacing w:line="360" w:lineRule="auto"/>
        <w:jc w:val="both"/>
        <w:rPr>
          <w:rtl/>
        </w:rPr>
      </w:pPr>
      <w:r>
        <w:rPr>
          <w:rFonts w:hint="cs"/>
          <w:rtl/>
        </w:rPr>
        <w:t xml:space="preserve">בדבריו לאחר הטיעונים לעונש סקר הנאשם את תולדות חייו, מילדותו בצל האלימות, דרך שירותו הצבאי ועד התמדתו בעבודה בתחומים שונים. בשנת 1996 קרסה חברה שהקים אביו, והותירה חובות של מאות אלפי ₪ שנזקפו לחובתו של הנאשם. מאז מתנהלים חייו של הנאשם בצל לחצים ופעולות של הוצאה לפועל, עניין שהשפיע כאמור על יכולתו להתמיד בעבודה מסודרת ואילץ אותו לעבוד בעבודות עראי כגון הפעלת דוכנים בפסטיבלים ואירועים, ברמת שכר לא-גבוהה. הנאשם עמד על התהליך שעבר, מהכחשת הבעיה ועד להבנה ונטילת אחריות מלאה על עובדת היותו מכור ועל אורח החיים שניהל, לרבות העבירות שעבר. הנאשם טען, שכל מעשי הסחר והאספקה נעשו במעגל חברתי קרוב, עם אנשים שאיתם צרך סמים, ולא כסחר "קלאסי". הכסף שנתפס בדירת הנאשם </w:t>
      </w:r>
      <w:r>
        <w:rPr>
          <w:rtl/>
        </w:rPr>
        <w:t>–</w:t>
      </w:r>
      <w:r>
        <w:rPr>
          <w:rFonts w:hint="cs"/>
          <w:rtl/>
        </w:rPr>
        <w:t xml:space="preserve"> סך של 261,000 ₪, 13,878 דולרים, 2,090 יורו ועוד סכומים בלירות סטרלינג ובפרנק שווייצרי </w:t>
      </w:r>
      <w:r>
        <w:rPr>
          <w:rtl/>
        </w:rPr>
        <w:t>–</w:t>
      </w:r>
      <w:r>
        <w:rPr>
          <w:rFonts w:hint="cs"/>
          <w:rtl/>
        </w:rPr>
        <w:t xml:space="preserve"> היה לדבריו כל סך חסכונותיו, אותם לא יכול היה להפקיד בבנק מחשש הנושים. פרט לכך, טוען הנאשם, אין לו כל רכוש. </w:t>
      </w:r>
    </w:p>
    <w:p w14:paraId="6B4B0BE7" w14:textId="77777777" w:rsidR="006759EE" w:rsidRDefault="006759EE">
      <w:pPr>
        <w:spacing w:line="360" w:lineRule="auto"/>
        <w:jc w:val="both"/>
        <w:rPr>
          <w:rtl/>
        </w:rPr>
      </w:pPr>
    </w:p>
    <w:p w14:paraId="39148F69" w14:textId="77777777" w:rsidR="006759EE" w:rsidRDefault="005704F7">
      <w:pPr>
        <w:spacing w:line="360" w:lineRule="auto"/>
        <w:jc w:val="both"/>
        <w:rPr>
          <w:rtl/>
        </w:rPr>
      </w:pPr>
      <w:r>
        <w:rPr>
          <w:rFonts w:hint="cs"/>
          <w:rtl/>
        </w:rPr>
        <w:t>עוד יצוין, שבמסגרת התארגנותו הכללית של הנאשם בשלב זה של חייו, הוא פנה סוף-סוף ליישוב ענייניו בהוצל"פ על-דרך הגשת בקשה לפשיטת רגל באמצעות הלשכה לסיוע משפטי [נ/13].</w:t>
      </w:r>
    </w:p>
    <w:p w14:paraId="64CE7799" w14:textId="77777777" w:rsidR="006759EE" w:rsidRDefault="006759EE">
      <w:pPr>
        <w:spacing w:line="360" w:lineRule="auto"/>
        <w:jc w:val="both"/>
        <w:rPr>
          <w:rtl/>
        </w:rPr>
      </w:pPr>
    </w:p>
    <w:p w14:paraId="5FCF1B38" w14:textId="77777777" w:rsidR="006759EE" w:rsidRDefault="005704F7">
      <w:pPr>
        <w:spacing w:line="360" w:lineRule="auto"/>
        <w:jc w:val="both"/>
        <w:rPr>
          <w:b/>
          <w:bCs/>
          <w:u w:val="single"/>
          <w:rtl/>
        </w:rPr>
      </w:pPr>
      <w:r>
        <w:rPr>
          <w:rFonts w:hint="cs"/>
          <w:b/>
          <w:bCs/>
          <w:u w:val="single"/>
          <w:rtl/>
        </w:rPr>
        <w:t>טיעוני הצדדים:</w:t>
      </w:r>
    </w:p>
    <w:p w14:paraId="2754301A" w14:textId="77777777" w:rsidR="006759EE" w:rsidRDefault="006759EE">
      <w:pPr>
        <w:spacing w:line="360" w:lineRule="auto"/>
        <w:jc w:val="both"/>
        <w:rPr>
          <w:rtl/>
        </w:rPr>
      </w:pPr>
    </w:p>
    <w:p w14:paraId="63C6197A" w14:textId="77777777" w:rsidR="006759EE" w:rsidRDefault="005704F7">
      <w:pPr>
        <w:spacing w:line="360" w:lineRule="auto"/>
        <w:jc w:val="both"/>
        <w:rPr>
          <w:rtl/>
        </w:rPr>
      </w:pPr>
      <w:r>
        <w:rPr>
          <w:rFonts w:hint="cs"/>
          <w:rtl/>
        </w:rPr>
        <w:t xml:space="preserve">התובעת המלומדת עמדה על חומרת הנסיבות בתיק, ובראש ובראשונה לכמות הגדולה של הסמים שנתפסו בדירת הנאשם </w:t>
      </w:r>
      <w:r>
        <w:rPr>
          <w:rtl/>
        </w:rPr>
        <w:t>–</w:t>
      </w:r>
      <w:r>
        <w:rPr>
          <w:rFonts w:hint="cs"/>
          <w:rtl/>
        </w:rPr>
        <w:t xml:space="preserve"> כשני קילוגרם סמים מארבעה סוגים שונים. סכומי הכסף הגדולים שנתפסו אצל הנאשם מלמדים לדעת התביעה על עיסוקו בסחר בסמים. בנוסף, מדובר על מכירות או אספקה במקרים לא-מעטים, חוזרים ונשנים, למעגל קונים רחב יחסית.</w:t>
      </w:r>
    </w:p>
    <w:p w14:paraId="41CC5AD3" w14:textId="77777777" w:rsidR="006759EE" w:rsidRDefault="005704F7">
      <w:pPr>
        <w:spacing w:line="360" w:lineRule="auto"/>
        <w:jc w:val="both"/>
        <w:rPr>
          <w:rtl/>
        </w:rPr>
      </w:pPr>
      <w:r>
        <w:rPr>
          <w:rFonts w:hint="cs"/>
          <w:rtl/>
        </w:rPr>
        <w:t>באשר לנתוניו האישיים של הנאשם, טוענת התובעת כי מהתסקיר עולה שהנאשם ממזער את חומרת מעשיו ומדחיק את המשמעות של מצבו ההתמכרותית. גם שירות המבחן ממליץ על ענישה קונקרטית, אך לדעת התביעה לא די במאסר שירוצה בעבודות שירות, אלא יש צורך במאסר בפועל, מאסר על-תנאי, קנס, פסילה, התחייבות וגם חילוט כלל הכספים שנתפסו, לאחר הכרזתו של הנאשם (בהסכמה) כסוחר סמים.</w:t>
      </w:r>
    </w:p>
    <w:p w14:paraId="57C53402" w14:textId="77777777" w:rsidR="006759EE" w:rsidRDefault="006759EE">
      <w:pPr>
        <w:spacing w:line="360" w:lineRule="auto"/>
        <w:jc w:val="both"/>
        <w:rPr>
          <w:rtl/>
        </w:rPr>
      </w:pPr>
    </w:p>
    <w:p w14:paraId="43690505" w14:textId="77777777" w:rsidR="006759EE" w:rsidRDefault="005704F7">
      <w:pPr>
        <w:spacing w:line="360" w:lineRule="auto"/>
        <w:jc w:val="both"/>
        <w:rPr>
          <w:rtl/>
        </w:rPr>
      </w:pPr>
      <w:r>
        <w:rPr>
          <w:rFonts w:hint="cs"/>
          <w:rtl/>
        </w:rPr>
        <w:t>הסניגור המלומד הדגיש שכל מקבלי הסמים היו אנשים בגירים, שהיכרותם עם הנאשם היתה על בסיס חברתי. עידית ואסתר, בין היתר, קיימו עם הנאשם קשרי ידידות וצרכו איתו יחד את הסמים. הנאשם לא סיפק ומכר את הסמים למטרות רווח ולא חי חיי שפע וראווה, אלא חי חיים של מכור לסמים, המספק לאחרים במסגרת חברתית. אין מחלוקת, שהנאשם לא מכר לאחרים סם 'קשה' ובהרואין וב-</w:t>
      </w:r>
      <w:r>
        <w:t xml:space="preserve">MDMA </w:t>
      </w:r>
      <w:r>
        <w:rPr>
          <w:rFonts w:hint="cs"/>
          <w:rtl/>
        </w:rPr>
        <w:t xml:space="preserve"> שנתפסו בביתו עשה שימוש בעצמו [בניגוד להודיית הנאשם בכתב האישום המתוקן </w:t>
      </w:r>
      <w:r>
        <w:rPr>
          <w:rtl/>
        </w:rPr>
        <w:t>–</w:t>
      </w:r>
      <w:r>
        <w:rPr>
          <w:rFonts w:hint="cs"/>
          <w:rtl/>
        </w:rPr>
        <w:t xml:space="preserve"> ע.ד.]. גם המטחנות והמשקלים שנמצאו בבית הנאשם שימשו אותו לחלוקה של הסמים, אותם קנה מטעמי חסכון בכמויות גדולות. </w:t>
      </w:r>
    </w:p>
    <w:p w14:paraId="2EF277EB" w14:textId="77777777" w:rsidR="006759EE" w:rsidRDefault="005704F7">
      <w:pPr>
        <w:spacing w:line="360" w:lineRule="auto"/>
        <w:jc w:val="both"/>
        <w:rPr>
          <w:rtl/>
        </w:rPr>
      </w:pPr>
      <w:r>
        <w:rPr>
          <w:rFonts w:hint="cs"/>
          <w:rtl/>
        </w:rPr>
        <w:t xml:space="preserve">הסניגור סקר את תולדות חייו של הנאשם וטען כי במקרה זה על שיקולי השיקום לגבור על כל שיקום אחר, משהתמיד הנאשם בתהליך ממושך של טיפול וכשנראה שהטיפול הצליח. </w:t>
      </w:r>
    </w:p>
    <w:p w14:paraId="26EF49D0" w14:textId="77777777" w:rsidR="006759EE" w:rsidRDefault="005704F7">
      <w:pPr>
        <w:spacing w:line="360" w:lineRule="auto"/>
        <w:jc w:val="both"/>
        <w:rPr>
          <w:rtl/>
        </w:rPr>
      </w:pPr>
      <w:r>
        <w:rPr>
          <w:rFonts w:hint="cs"/>
          <w:rtl/>
        </w:rPr>
        <w:t xml:space="preserve">לגבי החילוט, הסביר הסניגור כי הכספים היו בדירת הנאשם כי לא יכול היה להפקידם בבנק מחמת נושיו, ועמד על כך שהתקבולים הנטענים על-ידי התביעה מהמכירות בהן הואשם והורשע, היו בסך כולל של 4,000 ₪, ומכל מקום </w:t>
      </w:r>
      <w:r>
        <w:rPr>
          <w:rtl/>
        </w:rPr>
        <w:t>–</w:t>
      </w:r>
      <w:r>
        <w:rPr>
          <w:rFonts w:hint="cs"/>
          <w:rtl/>
        </w:rPr>
        <w:t xml:space="preserve"> גם לדברי התובעת </w:t>
      </w:r>
      <w:r>
        <w:rPr>
          <w:rtl/>
        </w:rPr>
        <w:t>–</w:t>
      </w:r>
      <w:r>
        <w:rPr>
          <w:rFonts w:hint="cs"/>
          <w:rtl/>
        </w:rPr>
        <w:t xml:space="preserve"> לא יותר מ-5,000 ₪.</w:t>
      </w:r>
    </w:p>
    <w:p w14:paraId="44EF896D" w14:textId="77777777" w:rsidR="006759EE" w:rsidRDefault="006759EE">
      <w:pPr>
        <w:spacing w:line="360" w:lineRule="auto"/>
        <w:jc w:val="both"/>
        <w:rPr>
          <w:rtl/>
        </w:rPr>
      </w:pPr>
    </w:p>
    <w:p w14:paraId="347804C6" w14:textId="77777777" w:rsidR="006759EE" w:rsidRDefault="005704F7">
      <w:pPr>
        <w:spacing w:line="360" w:lineRule="auto"/>
        <w:jc w:val="both"/>
        <w:rPr>
          <w:rtl/>
        </w:rPr>
      </w:pPr>
      <w:r>
        <w:rPr>
          <w:rFonts w:hint="cs"/>
          <w:b/>
          <w:bCs/>
          <w:u w:val="single"/>
          <w:rtl/>
        </w:rPr>
        <w:t>דיון ומסקנות:</w:t>
      </w:r>
    </w:p>
    <w:p w14:paraId="7B5BE22A" w14:textId="77777777" w:rsidR="006759EE" w:rsidRDefault="006759EE">
      <w:pPr>
        <w:spacing w:line="360" w:lineRule="auto"/>
        <w:jc w:val="both"/>
        <w:rPr>
          <w:rtl/>
        </w:rPr>
      </w:pPr>
    </w:p>
    <w:p w14:paraId="0F0054FB" w14:textId="77777777" w:rsidR="006759EE" w:rsidRDefault="005704F7">
      <w:pPr>
        <w:spacing w:line="360" w:lineRule="auto"/>
        <w:jc w:val="both"/>
        <w:rPr>
          <w:rtl/>
        </w:rPr>
      </w:pPr>
      <w:r>
        <w:rPr>
          <w:rFonts w:hint="cs"/>
          <w:rtl/>
        </w:rPr>
        <w:t>הסניגור המלומד השכיל לתמוך את טענותיו העובדתיות באשר לנסיבותיו האישיות של הנאשם בעדויות אמינות שלא אותגרו בחקירות נגדיות ובמסמכים שהוגשו בהסכמה. על אלו אפוא, אין מחלוקת.</w:t>
      </w:r>
    </w:p>
    <w:p w14:paraId="1AC8CE11" w14:textId="77777777" w:rsidR="006759EE" w:rsidRDefault="006759EE">
      <w:pPr>
        <w:spacing w:line="360" w:lineRule="auto"/>
        <w:jc w:val="both"/>
        <w:rPr>
          <w:rtl/>
        </w:rPr>
      </w:pPr>
    </w:p>
    <w:p w14:paraId="24963473" w14:textId="77777777" w:rsidR="006759EE" w:rsidRDefault="005704F7">
      <w:pPr>
        <w:spacing w:line="360" w:lineRule="auto"/>
        <w:jc w:val="both"/>
        <w:rPr>
          <w:rtl/>
        </w:rPr>
      </w:pPr>
      <w:r>
        <w:rPr>
          <w:rFonts w:hint="cs"/>
          <w:rtl/>
        </w:rPr>
        <w:t>לא כך הדבר באשר לטענות בדבר מהות העבירות עצמן:</w:t>
      </w:r>
    </w:p>
    <w:p w14:paraId="3166E430" w14:textId="77777777" w:rsidR="006759EE" w:rsidRDefault="006759EE">
      <w:pPr>
        <w:spacing w:line="360" w:lineRule="auto"/>
        <w:jc w:val="both"/>
        <w:rPr>
          <w:rtl/>
        </w:rPr>
      </w:pPr>
    </w:p>
    <w:p w14:paraId="534CD90E" w14:textId="77777777" w:rsidR="006759EE" w:rsidRDefault="005704F7">
      <w:pPr>
        <w:spacing w:line="360" w:lineRule="auto"/>
        <w:jc w:val="both"/>
        <w:rPr>
          <w:rtl/>
        </w:rPr>
      </w:pPr>
      <w:r>
        <w:rPr>
          <w:rFonts w:hint="cs"/>
          <w:rtl/>
        </w:rPr>
        <w:t xml:space="preserve">לא ניתן לקבל את דברי הנאשם לפיהם מדובר היה באספקה ומכירה על רקע "חברתי" בלבד, לנוכח קלישות הקשר בינו לבין נדב ואילן, ופעולתו כסוחר סמים כל דבר הנענה להזמנות טלפוניות של לקוחותיו, כבמקרים של הנ"ל ושל עידית. כך, גם אם היתה האספקה לאסתר, ובחלק מהמקרים לעידית, בעלת גוון "חברתי" של שימוש בצוותא, לא ניתן לומר שגוון זה צבע את כל </w:t>
      </w:r>
      <w:r>
        <w:rPr>
          <w:rtl/>
        </w:rPr>
        <w:t>–</w:t>
      </w:r>
      <w:r>
        <w:rPr>
          <w:rFonts w:hint="cs"/>
          <w:rtl/>
        </w:rPr>
        <w:t xml:space="preserve"> או אף את עיקר </w:t>
      </w:r>
      <w:r>
        <w:rPr>
          <w:rtl/>
        </w:rPr>
        <w:t>–</w:t>
      </w:r>
      <w:r>
        <w:rPr>
          <w:rFonts w:hint="cs"/>
          <w:rtl/>
        </w:rPr>
        <w:t xml:space="preserve"> פעילותו העבריינית של הנאשם.</w:t>
      </w:r>
    </w:p>
    <w:p w14:paraId="462FE333" w14:textId="77777777" w:rsidR="006759EE" w:rsidRDefault="006759EE">
      <w:pPr>
        <w:spacing w:line="360" w:lineRule="auto"/>
        <w:jc w:val="both"/>
        <w:rPr>
          <w:rtl/>
        </w:rPr>
      </w:pPr>
    </w:p>
    <w:p w14:paraId="362BF1B2" w14:textId="77777777" w:rsidR="006759EE" w:rsidRDefault="005704F7">
      <w:pPr>
        <w:spacing w:line="360" w:lineRule="auto"/>
        <w:jc w:val="both"/>
        <w:rPr>
          <w:rtl/>
        </w:rPr>
      </w:pPr>
      <w:r>
        <w:rPr>
          <w:rFonts w:hint="cs"/>
          <w:rtl/>
        </w:rPr>
        <w:t xml:space="preserve">באשר להחזקת הסמים, יש לדחות בשתי ידיים את הטענה הנוגדת את מהות ההודיה והכרעת הדין, לפיה מדובר היה בהחזקה שעיקרה לשימוש עצמי. כאמור בסעיף 2 לאישום הראשון, בו הודה הנאשם ללא סייג </w:t>
      </w:r>
      <w:r>
        <w:rPr>
          <w:rtl/>
        </w:rPr>
        <w:t>–</w:t>
      </w:r>
      <w:r>
        <w:rPr>
          <w:rFonts w:hint="cs"/>
          <w:rtl/>
        </w:rPr>
        <w:t xml:space="preserve"> "הסמים הוחזקו... שלא לצריכתו העצמית" של הנאשם, ללא כל אבחנה בין סוגי הסמים. ואכן, כמותם הגדולה של הסמים, כמו-גם, אמצעי השקילה והחלוקה, מעידים שהנאשם החזיק בסמים (למצער) גם לצורך אספקה וסחר.</w:t>
      </w:r>
    </w:p>
    <w:p w14:paraId="4EE40F28" w14:textId="77777777" w:rsidR="006759EE" w:rsidRDefault="006759EE">
      <w:pPr>
        <w:spacing w:line="360" w:lineRule="auto"/>
        <w:jc w:val="both"/>
        <w:rPr>
          <w:rtl/>
        </w:rPr>
      </w:pPr>
    </w:p>
    <w:p w14:paraId="1E26550A" w14:textId="77777777" w:rsidR="006759EE" w:rsidRDefault="005704F7">
      <w:pPr>
        <w:spacing w:line="360" w:lineRule="auto"/>
        <w:jc w:val="both"/>
        <w:rPr>
          <w:rtl/>
        </w:rPr>
      </w:pPr>
      <w:r>
        <w:rPr>
          <w:rFonts w:hint="cs"/>
          <w:rtl/>
        </w:rPr>
        <w:t>הודיית הנאשם בכתב האישום והראיות שהוגשו, אכן מלמדות שהנאשם הפיק רווחים מהסחר ומאספקת הסמים, ואפילו מדובר ברווחים צנועים (כלל התקבולים אליהם מתייחס כתב האישום הגיע כדי 4,000-5,000 ₪, לאורך תקופה של שנים).</w:t>
      </w:r>
    </w:p>
    <w:p w14:paraId="3F991C80" w14:textId="77777777" w:rsidR="006759EE" w:rsidRDefault="006759EE">
      <w:pPr>
        <w:spacing w:line="360" w:lineRule="auto"/>
        <w:jc w:val="both"/>
        <w:rPr>
          <w:rtl/>
        </w:rPr>
      </w:pPr>
    </w:p>
    <w:p w14:paraId="6FE7395B" w14:textId="77777777" w:rsidR="006759EE" w:rsidRDefault="005704F7">
      <w:pPr>
        <w:spacing w:line="360" w:lineRule="auto"/>
        <w:jc w:val="both"/>
        <w:rPr>
          <w:rtl/>
        </w:rPr>
      </w:pPr>
      <w:r>
        <w:rPr>
          <w:rFonts w:hint="cs"/>
          <w:rtl/>
        </w:rPr>
        <w:t>באשר לעבירות הסחר והאספקה, מדובר בפעילות תדירה וחוזרת, ולו גם בסם 'קל' (קנביס וחשיש) ובכמויות קטנות.</w:t>
      </w:r>
    </w:p>
    <w:p w14:paraId="1490569E" w14:textId="77777777" w:rsidR="006759EE" w:rsidRDefault="006759EE">
      <w:pPr>
        <w:spacing w:line="360" w:lineRule="auto"/>
        <w:jc w:val="both"/>
        <w:rPr>
          <w:rtl/>
        </w:rPr>
      </w:pPr>
    </w:p>
    <w:p w14:paraId="005796F0" w14:textId="77777777" w:rsidR="006759EE" w:rsidRDefault="005704F7">
      <w:pPr>
        <w:spacing w:line="360" w:lineRule="auto"/>
        <w:jc w:val="both"/>
        <w:rPr>
          <w:rtl/>
        </w:rPr>
      </w:pPr>
      <w:r>
        <w:rPr>
          <w:rFonts w:hint="cs"/>
          <w:rtl/>
        </w:rPr>
        <w:t>באשר לעבירת ההחזקה שלא לצריכה עצמית, חמורה היא בנסיבותיה לנוכח כמות הסמים וסוגיהם.</w:t>
      </w:r>
    </w:p>
    <w:p w14:paraId="3B4616C2" w14:textId="77777777" w:rsidR="006759EE" w:rsidRDefault="006759EE">
      <w:pPr>
        <w:spacing w:line="360" w:lineRule="auto"/>
        <w:jc w:val="both"/>
        <w:rPr>
          <w:rtl/>
        </w:rPr>
      </w:pPr>
    </w:p>
    <w:p w14:paraId="0AE3D258" w14:textId="77777777" w:rsidR="006759EE" w:rsidRDefault="005704F7">
      <w:pPr>
        <w:spacing w:line="360" w:lineRule="auto"/>
        <w:jc w:val="both"/>
        <w:rPr>
          <w:rtl/>
        </w:rPr>
      </w:pPr>
      <w:r>
        <w:rPr>
          <w:rFonts w:hint="cs"/>
          <w:rtl/>
        </w:rPr>
        <w:t>נסיבותיו האישיות של הנאשם אכן אינן קלות, אולם גם אם יש בהן הסבר (ולא הצדקה) לשימושו-שלו בסמים, אין בהן הסבר (ובוודאי שלא הצדקה) להחזקת הסמים שלא לצריכה עצמית בכמויות כאלו או לאספקתם ומכירתם לאחרים.</w:t>
      </w:r>
    </w:p>
    <w:p w14:paraId="61092EDE" w14:textId="77777777" w:rsidR="006759EE" w:rsidRDefault="006759EE">
      <w:pPr>
        <w:spacing w:line="360" w:lineRule="auto"/>
        <w:jc w:val="both"/>
        <w:rPr>
          <w:rtl/>
        </w:rPr>
      </w:pPr>
    </w:p>
    <w:p w14:paraId="3857DDA1" w14:textId="77777777" w:rsidR="006759EE" w:rsidRDefault="005704F7">
      <w:pPr>
        <w:spacing w:line="360" w:lineRule="auto"/>
        <w:jc w:val="both"/>
        <w:rPr>
          <w:rtl/>
        </w:rPr>
      </w:pPr>
      <w:r>
        <w:rPr>
          <w:rFonts w:hint="cs"/>
          <w:rtl/>
        </w:rPr>
        <w:t xml:space="preserve">חומרת העבירות ונסיבות הביצוע, על-אף נסיבותיו האישיות של הנאשם, מצביעות אפוא על הצורך בענישה מחמירה, ההולמת את חומרת הפגיעה בציבור ונגזרת מהחובה להילחם מלחמת חורמה במפיצי הסמים </w:t>
      </w:r>
      <w:r>
        <w:rPr>
          <w:rtl/>
        </w:rPr>
        <w:t>–</w:t>
      </w:r>
      <w:r>
        <w:rPr>
          <w:rFonts w:hint="cs"/>
          <w:rtl/>
        </w:rPr>
        <w:t xml:space="preserve"> חובה עליה עמדו בתי המשפט לדרגותיהם השונות שוב ושוב.</w:t>
      </w:r>
    </w:p>
    <w:p w14:paraId="1DDE414F" w14:textId="77777777" w:rsidR="006759EE" w:rsidRDefault="006759EE">
      <w:pPr>
        <w:spacing w:line="360" w:lineRule="auto"/>
        <w:jc w:val="both"/>
        <w:rPr>
          <w:rtl/>
        </w:rPr>
      </w:pPr>
    </w:p>
    <w:p w14:paraId="727C22AD" w14:textId="77777777" w:rsidR="006759EE" w:rsidRDefault="005704F7">
      <w:pPr>
        <w:spacing w:line="360" w:lineRule="auto"/>
        <w:jc w:val="both"/>
        <w:rPr>
          <w:rtl/>
        </w:rPr>
      </w:pPr>
      <w:r>
        <w:rPr>
          <w:rFonts w:hint="cs"/>
          <w:rtl/>
        </w:rPr>
        <w:t>הערך היחיד העומד כנגד צורך זה הוא ערך השיקום:</w:t>
      </w:r>
    </w:p>
    <w:p w14:paraId="1F4B42C8" w14:textId="77777777" w:rsidR="006759EE" w:rsidRDefault="005704F7">
      <w:pPr>
        <w:spacing w:line="360" w:lineRule="auto"/>
        <w:jc w:val="both"/>
        <w:rPr>
          <w:rtl/>
        </w:rPr>
      </w:pPr>
      <w:r>
        <w:rPr>
          <w:rFonts w:hint="cs"/>
          <w:rtl/>
        </w:rPr>
        <w:t>העובדות שהוכחו ומסקנות שירות המבחן מעידות כי הנאשם אכן עשה דרך רבה וקשה מעת מעצרו, בשלבי הטיפול השונים, ועתה הוא נקי מסם פרק זמן ממושך. הנאשם גם ערך את המסע המייסר לתוך נפשו פנימה, בקשיים גדולים, זיהה את שורשי מצוקותיו ופעל לפתור את בעיית התמכרותו. לרשות הנאשם עומדת מערכת תומכת של אחיותיו ושל מעסיקו, שכידוע מגדילה מאוד את הסיכוי לשיקום מהותי וארוך-טווח.</w:t>
      </w:r>
    </w:p>
    <w:p w14:paraId="254DB6EB" w14:textId="77777777" w:rsidR="006759EE" w:rsidRDefault="005704F7">
      <w:pPr>
        <w:spacing w:line="360" w:lineRule="auto"/>
        <w:jc w:val="both"/>
        <w:rPr>
          <w:rtl/>
        </w:rPr>
      </w:pPr>
      <w:r>
        <w:rPr>
          <w:rFonts w:hint="cs"/>
          <w:rtl/>
        </w:rPr>
        <w:t>הדרך הארוכה שעשה הנאשם עד-עתה והנתונים שהובאו לעיל מלמדים כי הצפי החיובי של שירות המבחן נסמך על יסודות איתנים.</w:t>
      </w:r>
    </w:p>
    <w:p w14:paraId="316F1B0E" w14:textId="77777777" w:rsidR="006759EE" w:rsidRDefault="006759EE">
      <w:pPr>
        <w:spacing w:line="360" w:lineRule="auto"/>
        <w:jc w:val="both"/>
        <w:rPr>
          <w:rtl/>
        </w:rPr>
      </w:pPr>
    </w:p>
    <w:p w14:paraId="0E6DBF15" w14:textId="77777777" w:rsidR="006759EE" w:rsidRDefault="005704F7">
      <w:pPr>
        <w:spacing w:line="360" w:lineRule="auto"/>
        <w:jc w:val="both"/>
        <w:rPr>
          <w:rtl/>
        </w:rPr>
      </w:pPr>
      <w:r>
        <w:rPr>
          <w:rFonts w:hint="cs"/>
          <w:rtl/>
        </w:rPr>
        <w:t>השאלה היא, האם יכריע ערך השיקום את הכף, עד-כדי הסתפקות בענישה שאינה כוללת מאסר מאחורי סורג ובריח.</w:t>
      </w:r>
    </w:p>
    <w:p w14:paraId="234837B0" w14:textId="77777777" w:rsidR="006759EE" w:rsidRDefault="006759EE">
      <w:pPr>
        <w:spacing w:line="360" w:lineRule="auto"/>
        <w:jc w:val="both"/>
        <w:rPr>
          <w:rtl/>
        </w:rPr>
      </w:pPr>
    </w:p>
    <w:p w14:paraId="248D111D" w14:textId="77777777" w:rsidR="006759EE" w:rsidRDefault="005704F7">
      <w:pPr>
        <w:spacing w:line="360" w:lineRule="auto"/>
        <w:jc w:val="both"/>
        <w:rPr>
          <w:rtl/>
        </w:rPr>
      </w:pPr>
      <w:r>
        <w:rPr>
          <w:rFonts w:hint="cs"/>
          <w:rtl/>
        </w:rPr>
        <w:t>גם לאחר תיקון 113 ל</w:t>
      </w:r>
      <w:hyperlink r:id="rId8" w:history="1">
        <w:r w:rsidR="000D2479" w:rsidRPr="000D2479">
          <w:rPr>
            <w:rStyle w:val="Hyperlink"/>
            <w:rtl/>
          </w:rPr>
          <w:t>חוק העונשין</w:t>
        </w:r>
      </w:hyperlink>
      <w:r>
        <w:rPr>
          <w:rFonts w:hint="cs"/>
          <w:rtl/>
        </w:rPr>
        <w:t>, אשר קבע במפורש את בכורתו של שיקול ההלימה, לא נזנחו העיקרון של ענישה אינדיבידואלית והערך הנכבד של השיקום, בנסיבות המתאימות (</w:t>
      </w:r>
      <w:hyperlink r:id="rId9" w:history="1">
        <w:r w:rsidR="000D2479" w:rsidRPr="000D2479">
          <w:rPr>
            <w:rStyle w:val="Hyperlink"/>
            <w:rtl/>
          </w:rPr>
          <w:t>ע"פ 2337/13</w:t>
        </w:r>
      </w:hyperlink>
      <w:r>
        <w:rPr>
          <w:b/>
          <w:bCs/>
          <w:rtl/>
        </w:rPr>
        <w:t xml:space="preserve"> קואסמה נ' מ.י. </w:t>
      </w:r>
      <w:r>
        <w:rPr>
          <w:rtl/>
        </w:rPr>
        <w:t>(2013)</w:t>
      </w:r>
      <w:r>
        <w:rPr>
          <w:rFonts w:hint="cs"/>
          <w:rtl/>
        </w:rPr>
        <w:t xml:space="preserve">, </w:t>
      </w:r>
      <w:hyperlink r:id="rId10" w:history="1">
        <w:r w:rsidR="000D2479" w:rsidRPr="000D2479">
          <w:rPr>
            <w:rStyle w:val="Hyperlink"/>
            <w:rtl/>
          </w:rPr>
          <w:t>ע"פ 8641/12</w:t>
        </w:r>
      </w:hyperlink>
      <w:r>
        <w:rPr>
          <w:b/>
          <w:bCs/>
          <w:rtl/>
        </w:rPr>
        <w:t xml:space="preserve"> סעד נ' מ.י. </w:t>
      </w:r>
      <w:r>
        <w:rPr>
          <w:rtl/>
        </w:rPr>
        <w:t>(2013)</w:t>
      </w:r>
      <w:r>
        <w:rPr>
          <w:rFonts w:hint="cs"/>
          <w:rtl/>
        </w:rPr>
        <w:t>.</w:t>
      </w:r>
    </w:p>
    <w:p w14:paraId="52D64586" w14:textId="77777777" w:rsidR="006759EE" w:rsidRDefault="006759EE">
      <w:pPr>
        <w:spacing w:line="360" w:lineRule="auto"/>
        <w:jc w:val="both"/>
        <w:rPr>
          <w:rtl/>
        </w:rPr>
      </w:pPr>
    </w:p>
    <w:p w14:paraId="0136042B" w14:textId="77777777" w:rsidR="006759EE" w:rsidRDefault="005704F7">
      <w:pPr>
        <w:spacing w:line="360" w:lineRule="auto"/>
        <w:jc w:val="both"/>
        <w:rPr>
          <w:rtl/>
        </w:rPr>
      </w:pPr>
      <w:r>
        <w:rPr>
          <w:rFonts w:hint="cs"/>
          <w:rtl/>
        </w:rPr>
        <w:t>ערך השיקום אינו רק מעניינו הישיר של נאשם, אלא גם הציבור נשכר משובו של חוטא מחטאו ויציאתו מהמעגל המרושע של התמכרות ועבירות. שוכנעתי כי עבירותיו של הנאשם קשורות בטבורן להתמכרותו-שלו לסמים וגמילתו ושיקומו ירחיקו אותו מביצוע עבירות.</w:t>
      </w:r>
    </w:p>
    <w:p w14:paraId="104A9AF9" w14:textId="77777777" w:rsidR="006759EE" w:rsidRDefault="006759EE">
      <w:pPr>
        <w:spacing w:line="360" w:lineRule="auto"/>
        <w:jc w:val="both"/>
        <w:rPr>
          <w:rtl/>
        </w:rPr>
      </w:pPr>
    </w:p>
    <w:p w14:paraId="19280286" w14:textId="77777777" w:rsidR="006759EE" w:rsidRDefault="005704F7">
      <w:pPr>
        <w:spacing w:line="360" w:lineRule="auto"/>
        <w:jc w:val="both"/>
        <w:rPr>
          <w:rtl/>
        </w:rPr>
      </w:pPr>
      <w:r>
        <w:rPr>
          <w:rFonts w:hint="cs"/>
          <w:rtl/>
        </w:rPr>
        <w:t>במקרה דנן חוברות נסיבות חייו של הנאשם אל מאמצי השיקום הגדולים, הנמשכים והמוצלחים, ובכוחם של אלו, במקרה מיוחד זה, להוביל למסקנה שיש לנטות כאן לדרך השיקום.</w:t>
      </w:r>
    </w:p>
    <w:p w14:paraId="2EF59946" w14:textId="77777777" w:rsidR="006759EE" w:rsidRDefault="006759EE">
      <w:pPr>
        <w:spacing w:line="360" w:lineRule="auto"/>
        <w:jc w:val="both"/>
        <w:rPr>
          <w:rtl/>
        </w:rPr>
      </w:pPr>
    </w:p>
    <w:p w14:paraId="1F05D24F" w14:textId="77777777" w:rsidR="006759EE" w:rsidRDefault="005704F7">
      <w:pPr>
        <w:spacing w:line="360" w:lineRule="auto"/>
        <w:jc w:val="both"/>
        <w:rPr>
          <w:rtl/>
        </w:rPr>
      </w:pPr>
      <w:r>
        <w:rPr>
          <w:rFonts w:hint="cs"/>
          <w:rtl/>
        </w:rPr>
        <w:t>אדגיש, שברור לכל שהימנעות ממאסר מאחורי סורג ובריח בעבירות מסוג זה הינה חריג, ועליה להישאר כזו. עניינו של הנאשם ראוי לבוא בגדרי חריג זה.</w:t>
      </w:r>
    </w:p>
    <w:p w14:paraId="3D61E18D" w14:textId="77777777" w:rsidR="006759EE" w:rsidRDefault="006759EE">
      <w:pPr>
        <w:spacing w:line="360" w:lineRule="auto"/>
        <w:jc w:val="both"/>
        <w:rPr>
          <w:rtl/>
        </w:rPr>
      </w:pPr>
    </w:p>
    <w:p w14:paraId="6F16ACEF" w14:textId="77777777" w:rsidR="006759EE" w:rsidRDefault="005704F7">
      <w:pPr>
        <w:spacing w:line="360" w:lineRule="auto"/>
        <w:jc w:val="both"/>
        <w:rPr>
          <w:b/>
          <w:bCs/>
          <w:rtl/>
        </w:rPr>
      </w:pPr>
      <w:r>
        <w:rPr>
          <w:rFonts w:hint="cs"/>
          <w:b/>
          <w:bCs/>
          <w:rtl/>
        </w:rPr>
        <w:t>באשר לחילוט:</w:t>
      </w:r>
    </w:p>
    <w:p w14:paraId="53F532BA" w14:textId="77777777" w:rsidR="006759EE" w:rsidRDefault="006759EE">
      <w:pPr>
        <w:spacing w:line="360" w:lineRule="auto"/>
        <w:jc w:val="both"/>
        <w:rPr>
          <w:rtl/>
        </w:rPr>
      </w:pPr>
    </w:p>
    <w:p w14:paraId="00A7E49D" w14:textId="77777777" w:rsidR="006759EE" w:rsidRDefault="005704F7">
      <w:pPr>
        <w:spacing w:line="360" w:lineRule="auto"/>
        <w:jc w:val="both"/>
        <w:rPr>
          <w:rtl/>
        </w:rPr>
      </w:pPr>
      <w:r>
        <w:rPr>
          <w:rFonts w:hint="cs"/>
          <w:rtl/>
        </w:rPr>
        <w:t>הוכח ברמה מספקת מקורו של עיקר הכסף שנתפס אצל הנאשם, וחילוט מלוא הסכום (כסף ישראלי וזר בשווי של למעלה מ-300,000 ₪) אינו עומד במבחני ההלימה והמידתיות להיקף המעשים בהם הורשע הנאשם.</w:t>
      </w:r>
    </w:p>
    <w:p w14:paraId="43FA02BF" w14:textId="77777777" w:rsidR="006759EE" w:rsidRDefault="005704F7">
      <w:pPr>
        <w:spacing w:line="360" w:lineRule="auto"/>
        <w:jc w:val="both"/>
        <w:rPr>
          <w:rtl/>
        </w:rPr>
      </w:pPr>
      <w:r>
        <w:rPr>
          <w:rFonts w:hint="cs"/>
          <w:rtl/>
        </w:rPr>
        <w:t>לפיכך, אני מורה על חילוט סך של 30,000 ₪ מכלל הסך שנתפס והיתר יושב לנאשם.</w:t>
      </w:r>
    </w:p>
    <w:p w14:paraId="69483D91" w14:textId="77777777" w:rsidR="006759EE" w:rsidRDefault="006759EE">
      <w:pPr>
        <w:spacing w:line="360" w:lineRule="auto"/>
        <w:jc w:val="both"/>
        <w:rPr>
          <w:rtl/>
        </w:rPr>
      </w:pPr>
    </w:p>
    <w:p w14:paraId="136EC35D" w14:textId="77777777" w:rsidR="006759EE" w:rsidRDefault="005704F7">
      <w:pPr>
        <w:spacing w:line="360" w:lineRule="auto"/>
        <w:jc w:val="both"/>
        <w:rPr>
          <w:b/>
          <w:bCs/>
          <w:u w:val="single"/>
          <w:rtl/>
        </w:rPr>
      </w:pPr>
      <w:r>
        <w:rPr>
          <w:rFonts w:hint="cs"/>
          <w:b/>
          <w:bCs/>
          <w:u w:val="single"/>
          <w:rtl/>
        </w:rPr>
        <w:t>סוף דבר, אני גוזר על הנאשם את העונשים הבאים:</w:t>
      </w:r>
    </w:p>
    <w:p w14:paraId="1B49788A" w14:textId="77777777" w:rsidR="006759EE" w:rsidRDefault="006759EE">
      <w:pPr>
        <w:spacing w:line="360" w:lineRule="auto"/>
        <w:jc w:val="both"/>
        <w:rPr>
          <w:rtl/>
        </w:rPr>
      </w:pPr>
    </w:p>
    <w:p w14:paraId="6CA210FC" w14:textId="77777777" w:rsidR="006759EE" w:rsidRDefault="005704F7">
      <w:pPr>
        <w:spacing w:line="360" w:lineRule="auto"/>
        <w:ind w:left="720" w:hanging="720"/>
        <w:jc w:val="both"/>
        <w:rPr>
          <w:rtl/>
        </w:rPr>
      </w:pPr>
      <w:r>
        <w:rPr>
          <w:rFonts w:hint="cs"/>
          <w:rtl/>
        </w:rPr>
        <w:t>א.</w:t>
      </w:r>
      <w:r>
        <w:rPr>
          <w:rFonts w:hint="cs"/>
          <w:rtl/>
        </w:rPr>
        <w:tab/>
        <w:t xml:space="preserve">שישה חודשי מאסר שירוצו על דרך עבודות שירות החל מיום 30.10.13 בבית האבות "עד 120" בחדרה, כאשר הנאשם מוזהר כי אי-ציות להוראות הממונה על עבודות השירות או הממונים במקום העבודה, יוביל להפסקת העבודות ולהמשך ריצוי המאסר מאחורי סורג ובריח. בנוסף: </w:t>
      </w:r>
    </w:p>
    <w:p w14:paraId="20727EFF" w14:textId="77777777" w:rsidR="006759EE" w:rsidRDefault="005704F7">
      <w:pPr>
        <w:spacing w:line="360" w:lineRule="auto"/>
        <w:ind w:left="1440" w:hanging="720"/>
        <w:jc w:val="both"/>
        <w:rPr>
          <w:rtl/>
        </w:rPr>
      </w:pPr>
      <w:r>
        <w:rPr>
          <w:rFonts w:hint="cs"/>
          <w:rtl/>
        </w:rPr>
        <w:t>1.</w:t>
      </w:r>
      <w:r>
        <w:rPr>
          <w:rFonts w:hint="cs"/>
          <w:rtl/>
        </w:rPr>
        <w:tab/>
        <w:t xml:space="preserve">תבוצענה לנאשם בדיקות שתן, לרבות בדיקות פתע, לפי שיקול דעת הממונה; </w:t>
      </w:r>
    </w:p>
    <w:p w14:paraId="637EC265" w14:textId="77777777" w:rsidR="006759EE" w:rsidRDefault="005704F7">
      <w:pPr>
        <w:spacing w:line="360" w:lineRule="auto"/>
        <w:ind w:left="1440" w:hanging="720"/>
        <w:jc w:val="both"/>
        <w:rPr>
          <w:rtl/>
        </w:rPr>
      </w:pPr>
      <w:r>
        <w:rPr>
          <w:rFonts w:hint="cs"/>
          <w:rtl/>
        </w:rPr>
        <w:t>2.</w:t>
      </w:r>
      <w:r>
        <w:rPr>
          <w:rFonts w:hint="cs"/>
          <w:rtl/>
        </w:rPr>
        <w:tab/>
        <w:t>גילוי סימנים לשימוש בסם יוביל להפסקת העבודות כנ"ל;</w:t>
      </w:r>
    </w:p>
    <w:p w14:paraId="10F47AA8" w14:textId="77777777" w:rsidR="006759EE" w:rsidRDefault="005704F7">
      <w:pPr>
        <w:spacing w:line="360" w:lineRule="auto"/>
        <w:ind w:left="1440" w:hanging="720"/>
        <w:jc w:val="both"/>
        <w:rPr>
          <w:rtl/>
        </w:rPr>
      </w:pPr>
      <w:r>
        <w:rPr>
          <w:rFonts w:hint="cs"/>
          <w:rtl/>
        </w:rPr>
        <w:t>3.</w:t>
      </w:r>
      <w:r>
        <w:rPr>
          <w:rFonts w:hint="cs"/>
          <w:rtl/>
        </w:rPr>
        <w:tab/>
        <w:t>שתיית אלכוהול בשעות עבודות השירות או הגעה בגילופין יובילו להפסקת העבודות כנ"ל;</w:t>
      </w:r>
    </w:p>
    <w:p w14:paraId="0E1229F8" w14:textId="77777777" w:rsidR="006759EE" w:rsidRDefault="006759EE">
      <w:pPr>
        <w:spacing w:line="360" w:lineRule="auto"/>
        <w:ind w:left="1440" w:hanging="720"/>
        <w:jc w:val="both"/>
        <w:rPr>
          <w:rtl/>
        </w:rPr>
      </w:pPr>
    </w:p>
    <w:p w14:paraId="69E0C5A4" w14:textId="77777777" w:rsidR="006759EE" w:rsidRDefault="005704F7">
      <w:pPr>
        <w:spacing w:line="360" w:lineRule="auto"/>
        <w:ind w:left="720" w:hanging="720"/>
        <w:jc w:val="both"/>
        <w:rPr>
          <w:rtl/>
        </w:rPr>
      </w:pPr>
      <w:r>
        <w:rPr>
          <w:rFonts w:hint="cs"/>
          <w:rtl/>
        </w:rPr>
        <w:t>ב.</w:t>
      </w:r>
      <w:r>
        <w:rPr>
          <w:rFonts w:hint="cs"/>
          <w:rtl/>
        </w:rPr>
        <w:tab/>
        <w:t>מאסר על-תנאי בן שנה למשך שנתיים מהיום, שלא יעבור עבירת סמים שהינה פשע;</w:t>
      </w:r>
    </w:p>
    <w:p w14:paraId="6F0B0768" w14:textId="77777777" w:rsidR="006759EE" w:rsidRDefault="006759EE">
      <w:pPr>
        <w:spacing w:line="360" w:lineRule="auto"/>
        <w:ind w:left="720" w:hanging="720"/>
        <w:jc w:val="both"/>
        <w:rPr>
          <w:rtl/>
        </w:rPr>
      </w:pPr>
    </w:p>
    <w:p w14:paraId="15281107" w14:textId="77777777" w:rsidR="006759EE" w:rsidRDefault="005704F7">
      <w:pPr>
        <w:spacing w:line="360" w:lineRule="auto"/>
        <w:ind w:left="720" w:hanging="720"/>
        <w:jc w:val="both"/>
        <w:rPr>
          <w:rtl/>
        </w:rPr>
      </w:pPr>
      <w:r>
        <w:rPr>
          <w:rFonts w:hint="cs"/>
          <w:rtl/>
        </w:rPr>
        <w:t>ג.</w:t>
      </w:r>
      <w:r>
        <w:rPr>
          <w:rFonts w:hint="cs"/>
          <w:rtl/>
        </w:rPr>
        <w:tab/>
        <w:t>מאסר על-תנאי בן שלושה חודשים למשך שנתיים היום, שלא יעבור עבירת סמים שהינה עוון;</w:t>
      </w:r>
    </w:p>
    <w:p w14:paraId="3D21F0EA" w14:textId="77777777" w:rsidR="006759EE" w:rsidRDefault="006759EE">
      <w:pPr>
        <w:spacing w:line="360" w:lineRule="auto"/>
        <w:jc w:val="both"/>
        <w:rPr>
          <w:rtl/>
        </w:rPr>
      </w:pPr>
    </w:p>
    <w:p w14:paraId="5A2423C3" w14:textId="77777777" w:rsidR="006759EE" w:rsidRDefault="005704F7">
      <w:pPr>
        <w:spacing w:line="360" w:lineRule="auto"/>
        <w:jc w:val="both"/>
        <w:rPr>
          <w:rtl/>
        </w:rPr>
      </w:pPr>
      <w:r>
        <w:rPr>
          <w:rFonts w:hint="cs"/>
          <w:rtl/>
        </w:rPr>
        <w:t>ד.</w:t>
      </w:r>
      <w:r>
        <w:rPr>
          <w:rFonts w:hint="cs"/>
          <w:rtl/>
        </w:rPr>
        <w:tab/>
        <w:t>קנס בסך 40,000 ₪ או ארבעה חודשים נוספים של מאסר תמורתו;</w:t>
      </w:r>
    </w:p>
    <w:p w14:paraId="377CD91D" w14:textId="77777777" w:rsidR="006759EE" w:rsidRDefault="006759EE">
      <w:pPr>
        <w:spacing w:line="360" w:lineRule="auto"/>
        <w:jc w:val="both"/>
        <w:rPr>
          <w:rtl/>
        </w:rPr>
      </w:pPr>
    </w:p>
    <w:p w14:paraId="4BA20F3E" w14:textId="77777777" w:rsidR="006759EE" w:rsidRDefault="005704F7">
      <w:pPr>
        <w:spacing w:line="360" w:lineRule="auto"/>
        <w:jc w:val="both"/>
        <w:rPr>
          <w:rtl/>
        </w:rPr>
      </w:pPr>
      <w:r>
        <w:rPr>
          <w:rFonts w:hint="cs"/>
          <w:rtl/>
        </w:rPr>
        <w:t>ה.</w:t>
      </w:r>
      <w:r>
        <w:rPr>
          <w:rFonts w:hint="cs"/>
          <w:rtl/>
        </w:rPr>
        <w:tab/>
        <w:t xml:space="preserve">כאמור לעיל </w:t>
      </w:r>
      <w:r>
        <w:rPr>
          <w:rtl/>
        </w:rPr>
        <w:t>–</w:t>
      </w:r>
      <w:r>
        <w:rPr>
          <w:rFonts w:hint="cs"/>
          <w:rtl/>
        </w:rPr>
        <w:t xml:space="preserve"> חילוט סך של 30,000 ₪ מהכספים שנתפסו אצל הנאשם;</w:t>
      </w:r>
    </w:p>
    <w:p w14:paraId="232F91F8" w14:textId="77777777" w:rsidR="006759EE" w:rsidRDefault="006759EE">
      <w:pPr>
        <w:spacing w:line="360" w:lineRule="auto"/>
        <w:jc w:val="both"/>
        <w:rPr>
          <w:rtl/>
        </w:rPr>
      </w:pPr>
    </w:p>
    <w:p w14:paraId="72FFA5C4" w14:textId="77777777" w:rsidR="006759EE" w:rsidRDefault="005704F7">
      <w:pPr>
        <w:spacing w:line="360" w:lineRule="auto"/>
        <w:ind w:left="720" w:hanging="720"/>
        <w:jc w:val="both"/>
        <w:rPr>
          <w:rtl/>
        </w:rPr>
      </w:pPr>
      <w:r>
        <w:rPr>
          <w:rFonts w:hint="cs"/>
          <w:rtl/>
        </w:rPr>
        <w:t>ו.</w:t>
      </w:r>
      <w:r>
        <w:rPr>
          <w:rFonts w:hint="cs"/>
          <w:rtl/>
        </w:rPr>
        <w:tab/>
        <w:t xml:space="preserve">אני מעמיד את הנאשם בפיקוח שירות המבחן למשך שנה מהיום, לרבות תנאי מפורש של המשך הטיפול ביחידה לטיפול בהתמכרויות בפרדס חנה (או בכל ישוב אחר אליו יעבור הנאשם). הנאשם מוזהר כי הפרת צו המבחן תוביל להשבת התיק לבית המשפט ולגזירת עונש חילופי נוסף; </w:t>
      </w:r>
    </w:p>
    <w:p w14:paraId="548745C4" w14:textId="77777777" w:rsidR="006759EE" w:rsidRDefault="006759EE">
      <w:pPr>
        <w:spacing w:line="360" w:lineRule="auto"/>
        <w:ind w:left="720" w:hanging="720"/>
        <w:jc w:val="both"/>
        <w:rPr>
          <w:rtl/>
        </w:rPr>
      </w:pPr>
    </w:p>
    <w:p w14:paraId="648C49E4" w14:textId="77777777" w:rsidR="006759EE" w:rsidRDefault="005704F7">
      <w:pPr>
        <w:spacing w:line="360" w:lineRule="auto"/>
        <w:ind w:left="720" w:hanging="720"/>
        <w:jc w:val="both"/>
        <w:rPr>
          <w:rtl/>
        </w:rPr>
      </w:pPr>
      <w:r>
        <w:rPr>
          <w:rFonts w:hint="cs"/>
          <w:b/>
          <w:bCs/>
          <w:rtl/>
        </w:rPr>
        <w:t>מוצגים</w:t>
      </w:r>
      <w:r>
        <w:rPr>
          <w:rFonts w:hint="cs"/>
          <w:rtl/>
        </w:rPr>
        <w:t>: הכסף יושב לנאשם, פרט לסך שהוריתי לחלטו, ויתר המוצגים יושמדו.</w:t>
      </w:r>
    </w:p>
    <w:p w14:paraId="74FB99EC" w14:textId="77777777" w:rsidR="006759EE" w:rsidRDefault="006759EE">
      <w:pPr>
        <w:spacing w:line="360" w:lineRule="auto"/>
        <w:ind w:left="720" w:hanging="720"/>
        <w:jc w:val="both"/>
        <w:rPr>
          <w:rtl/>
        </w:rPr>
      </w:pPr>
    </w:p>
    <w:p w14:paraId="734CFABA" w14:textId="77777777" w:rsidR="006759EE" w:rsidRDefault="005704F7">
      <w:pPr>
        <w:spacing w:line="360" w:lineRule="auto"/>
        <w:ind w:left="720" w:hanging="720"/>
        <w:jc w:val="both"/>
        <w:rPr>
          <w:rtl/>
        </w:rPr>
      </w:pPr>
      <w:r>
        <w:rPr>
          <w:rFonts w:hint="cs"/>
          <w:rtl/>
        </w:rPr>
        <w:t>בשולי גזר הדין אציין, שהתביעה תוכל כמובן להעביר עותק גזר הדין לרשות המיסים.</w:t>
      </w:r>
    </w:p>
    <w:p w14:paraId="6B3BA57B" w14:textId="77777777" w:rsidR="006759EE" w:rsidRDefault="006759EE">
      <w:pPr>
        <w:spacing w:line="360" w:lineRule="auto"/>
        <w:ind w:left="720" w:hanging="720"/>
        <w:jc w:val="both"/>
        <w:rPr>
          <w:rtl/>
        </w:rPr>
      </w:pPr>
    </w:p>
    <w:p w14:paraId="6A485FE2" w14:textId="77777777" w:rsidR="006759EE" w:rsidRDefault="005704F7">
      <w:pPr>
        <w:spacing w:line="360" w:lineRule="auto"/>
        <w:ind w:left="720" w:hanging="720"/>
        <w:jc w:val="both"/>
        <w:rPr>
          <w:b/>
          <w:bCs/>
          <w:rtl/>
        </w:rPr>
      </w:pPr>
      <w:r>
        <w:rPr>
          <w:rFonts w:hint="cs"/>
          <w:b/>
          <w:bCs/>
          <w:rtl/>
        </w:rPr>
        <w:t>עותקי גזר הדין יועברו לשירות המבחן ולממונה על עבודות השירות.</w:t>
      </w:r>
    </w:p>
    <w:p w14:paraId="75935935" w14:textId="77777777" w:rsidR="006759EE" w:rsidRDefault="006759EE">
      <w:pPr>
        <w:spacing w:line="360" w:lineRule="auto"/>
        <w:ind w:left="720" w:hanging="720"/>
        <w:jc w:val="both"/>
        <w:rPr>
          <w:b/>
          <w:bCs/>
          <w:rtl/>
        </w:rPr>
      </w:pPr>
    </w:p>
    <w:p w14:paraId="30D24CFA" w14:textId="77777777" w:rsidR="006759EE" w:rsidRDefault="005704F7">
      <w:pPr>
        <w:spacing w:line="360" w:lineRule="auto"/>
        <w:ind w:left="720" w:hanging="720"/>
        <w:jc w:val="both"/>
        <w:rPr>
          <w:rtl/>
        </w:rPr>
      </w:pPr>
      <w:r>
        <w:rPr>
          <w:rFonts w:hint="cs"/>
          <w:rtl/>
        </w:rPr>
        <w:t>זכות ערעור תוך 45 יום מהיום.</w:t>
      </w:r>
    </w:p>
    <w:p w14:paraId="0EDFDD14" w14:textId="77777777" w:rsidR="006759EE" w:rsidRPr="005704F7" w:rsidRDefault="005704F7">
      <w:pPr>
        <w:spacing w:line="360" w:lineRule="auto"/>
        <w:ind w:left="1440" w:hanging="720"/>
        <w:jc w:val="both"/>
        <w:rPr>
          <w:color w:val="FFFFFF"/>
          <w:sz w:val="2"/>
          <w:szCs w:val="2"/>
          <w:rtl/>
        </w:rPr>
      </w:pPr>
      <w:r w:rsidRPr="005704F7">
        <w:rPr>
          <w:color w:val="FFFFFF"/>
          <w:sz w:val="2"/>
          <w:szCs w:val="2"/>
          <w:rtl/>
        </w:rPr>
        <w:t>5129371</w:t>
      </w:r>
    </w:p>
    <w:p w14:paraId="3D30FBF7" w14:textId="77777777" w:rsidR="006759EE" w:rsidRDefault="005704F7">
      <w:pPr>
        <w:rPr>
          <w:rFonts w:cs="FrankRuehl"/>
          <w:sz w:val="28"/>
          <w:szCs w:val="28"/>
          <w:rtl/>
        </w:rPr>
      </w:pPr>
      <w:r w:rsidRPr="005704F7">
        <w:rPr>
          <w:rFonts w:ascii="Arial" w:hAnsi="Arial"/>
          <w:color w:val="FFFFFF"/>
          <w:sz w:val="2"/>
          <w:szCs w:val="2"/>
          <w:rtl/>
        </w:rPr>
        <w:t>54678313</w:t>
      </w:r>
      <w:r>
        <w:rPr>
          <w:rFonts w:ascii="Arial" w:hAnsi="Arial"/>
          <w:rtl/>
        </w:rPr>
        <w:t xml:space="preserve">ניתן היום,  כ"ט תשרי תשע"ד, 03 אוקטובר 2013, בנוכחות הצדדים. </w:t>
      </w:r>
    </w:p>
    <w:p w14:paraId="1B3F194F" w14:textId="77777777" w:rsidR="006759EE" w:rsidRDefault="005704F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EBAB8B9" w14:textId="77777777" w:rsidR="006759EE" w:rsidRPr="00C31B3F" w:rsidRDefault="00C31B3F">
      <w:pPr>
        <w:pStyle w:val="a3"/>
        <w:jc w:val="center"/>
        <w:rPr>
          <w:color w:val="FFFFFF"/>
          <w:sz w:val="2"/>
          <w:szCs w:val="2"/>
          <w:rtl/>
        </w:rPr>
      </w:pPr>
      <w:r w:rsidRPr="00C31B3F">
        <w:rPr>
          <w:color w:val="FFFFFF"/>
          <w:sz w:val="2"/>
          <w:szCs w:val="2"/>
          <w:rtl/>
        </w:rPr>
        <w:t>5129371</w:t>
      </w:r>
    </w:p>
    <w:p w14:paraId="3C4D86EC" w14:textId="77777777" w:rsidR="005704F7" w:rsidRPr="00C31B3F" w:rsidRDefault="00C31B3F" w:rsidP="005704F7">
      <w:pPr>
        <w:keepNext/>
        <w:rPr>
          <w:rFonts w:ascii="David" w:hAnsi="David"/>
          <w:color w:val="FFFFFF"/>
          <w:sz w:val="2"/>
          <w:szCs w:val="2"/>
          <w:rtl/>
        </w:rPr>
      </w:pPr>
      <w:r w:rsidRPr="00C31B3F">
        <w:rPr>
          <w:rFonts w:ascii="David" w:hAnsi="David"/>
          <w:color w:val="FFFFFF"/>
          <w:sz w:val="2"/>
          <w:szCs w:val="2"/>
          <w:rtl/>
        </w:rPr>
        <w:t>54678313</w:t>
      </w:r>
    </w:p>
    <w:p w14:paraId="053DCCED" w14:textId="77777777" w:rsidR="005704F7" w:rsidRDefault="005704F7" w:rsidP="005704F7">
      <w:r w:rsidRPr="005704F7">
        <w:rPr>
          <w:color w:val="000000"/>
          <w:rtl/>
        </w:rPr>
        <w:t>נוסח מסמך זה כפוף לשינויי ניסוח ועריכה</w:t>
      </w:r>
    </w:p>
    <w:p w14:paraId="2EEB54A0" w14:textId="77777777" w:rsidR="005704F7" w:rsidRDefault="005704F7" w:rsidP="005704F7">
      <w:pPr>
        <w:rPr>
          <w:rtl/>
        </w:rPr>
      </w:pPr>
    </w:p>
    <w:p w14:paraId="151A3E44" w14:textId="77777777" w:rsidR="005704F7" w:rsidRDefault="005704F7" w:rsidP="005704F7">
      <w:pPr>
        <w:jc w:val="center"/>
        <w:rPr>
          <w:color w:val="0000FF"/>
          <w:u w:val="single"/>
        </w:rPr>
      </w:pPr>
      <w:r w:rsidRPr="00FB2C6A">
        <w:rPr>
          <w:color w:val="000000"/>
          <w:rtl/>
        </w:rPr>
        <w:t>בעניין עריכה ושינויים במסמכי פסיקה, חקיקה ועוד באתר נבו – הקש כאן</w:t>
      </w:r>
    </w:p>
    <w:p w14:paraId="2AD37CC3" w14:textId="77777777" w:rsidR="00C31B3F" w:rsidRPr="00C31B3F" w:rsidRDefault="00C31B3F" w:rsidP="00C31B3F">
      <w:pPr>
        <w:keepNext/>
        <w:rPr>
          <w:rFonts w:ascii="David" w:hAnsi="David"/>
          <w:color w:val="000000"/>
          <w:sz w:val="22"/>
          <w:szCs w:val="22"/>
          <w:rtl/>
        </w:rPr>
      </w:pPr>
    </w:p>
    <w:p w14:paraId="0E661850" w14:textId="77777777" w:rsidR="00C31B3F" w:rsidRPr="00C31B3F" w:rsidRDefault="00C31B3F" w:rsidP="00C31B3F">
      <w:pPr>
        <w:keepNext/>
        <w:rPr>
          <w:rFonts w:ascii="David" w:hAnsi="David"/>
          <w:color w:val="000000"/>
          <w:sz w:val="22"/>
          <w:szCs w:val="22"/>
          <w:rtl/>
        </w:rPr>
      </w:pPr>
      <w:r w:rsidRPr="00C31B3F">
        <w:rPr>
          <w:rFonts w:ascii="David" w:hAnsi="David"/>
          <w:color w:val="000000"/>
          <w:sz w:val="22"/>
          <w:szCs w:val="22"/>
          <w:rtl/>
        </w:rPr>
        <w:t>עידו דרויאן 54678313-/</w:t>
      </w:r>
    </w:p>
    <w:sectPr w:rsidR="00C31B3F" w:rsidRPr="00C31B3F" w:rsidSect="00C31B3F">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B9A1C" w14:textId="77777777" w:rsidR="008A13F1" w:rsidRDefault="008A13F1">
      <w:pPr>
        <w:rPr>
          <w:rFonts w:cs="Arial"/>
          <w:szCs w:val="20"/>
        </w:rPr>
      </w:pPr>
      <w:r>
        <w:separator/>
      </w:r>
    </w:p>
  </w:endnote>
  <w:endnote w:type="continuationSeparator" w:id="0">
    <w:p w14:paraId="4BCC930A" w14:textId="77777777" w:rsidR="008A13F1" w:rsidRDefault="008A13F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CB201" w14:textId="77777777" w:rsidR="007B23B1" w:rsidRDefault="007B23B1" w:rsidP="00C31B3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6C5C781" w14:textId="77777777" w:rsidR="007B23B1" w:rsidRPr="00C31B3F" w:rsidRDefault="007B23B1" w:rsidP="00C31B3F">
    <w:pPr>
      <w:pStyle w:val="a4"/>
      <w:pBdr>
        <w:top w:val="single" w:sz="4" w:space="1" w:color="auto"/>
        <w:between w:val="single" w:sz="4" w:space="0" w:color="auto"/>
      </w:pBdr>
      <w:spacing w:after="60"/>
      <w:jc w:val="center"/>
      <w:rPr>
        <w:rFonts w:ascii="FrankRuehl" w:hAnsi="FrankRuehl" w:cs="FrankRuehl"/>
        <w:color w:val="000000"/>
      </w:rPr>
    </w:pPr>
    <w:r w:rsidRPr="00C31B3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D0EB2" w14:textId="77777777" w:rsidR="007B23B1" w:rsidRDefault="007B23B1" w:rsidP="00C31B3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6559">
      <w:rPr>
        <w:rFonts w:ascii="FrankRuehl" w:hAnsi="FrankRuehl" w:cs="FrankRuehl"/>
        <w:noProof/>
        <w:rtl/>
      </w:rPr>
      <w:t>1</w:t>
    </w:r>
    <w:r>
      <w:rPr>
        <w:rFonts w:ascii="FrankRuehl" w:hAnsi="FrankRuehl" w:cs="FrankRuehl"/>
        <w:rtl/>
      </w:rPr>
      <w:fldChar w:fldCharType="end"/>
    </w:r>
  </w:p>
  <w:p w14:paraId="03F981D5" w14:textId="77777777" w:rsidR="007B23B1" w:rsidRPr="00C31B3F" w:rsidRDefault="007B23B1" w:rsidP="00C31B3F">
    <w:pPr>
      <w:pStyle w:val="a4"/>
      <w:pBdr>
        <w:top w:val="single" w:sz="4" w:space="1" w:color="auto"/>
        <w:between w:val="single" w:sz="4" w:space="0" w:color="auto"/>
      </w:pBdr>
      <w:spacing w:after="60"/>
      <w:jc w:val="center"/>
      <w:rPr>
        <w:rFonts w:ascii="FrankRuehl" w:hAnsi="FrankRuehl" w:cs="FrankRuehl"/>
        <w:color w:val="000000"/>
      </w:rPr>
    </w:pPr>
    <w:r w:rsidRPr="00C31B3F">
      <w:rPr>
        <w:rFonts w:ascii="FrankRuehl" w:hAnsi="FrankRuehl" w:cs="FrankRuehl"/>
        <w:color w:val="000000"/>
      </w:rPr>
      <w:pict w14:anchorId="608589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9F0C9" w14:textId="77777777" w:rsidR="008A13F1" w:rsidRDefault="008A13F1">
      <w:pPr>
        <w:rPr>
          <w:rFonts w:cs="Arial"/>
          <w:szCs w:val="20"/>
        </w:rPr>
      </w:pPr>
      <w:r>
        <w:separator/>
      </w:r>
    </w:p>
  </w:footnote>
  <w:footnote w:type="continuationSeparator" w:id="0">
    <w:p w14:paraId="4163DA63" w14:textId="77777777" w:rsidR="008A13F1" w:rsidRDefault="008A13F1">
      <w:pPr>
        <w:rPr>
          <w:rFonts w:cs="Arial"/>
          <w:szCs w:val="20"/>
        </w:rPr>
      </w:pPr>
      <w:r>
        <w:continuationSeparator/>
      </w:r>
    </w:p>
  </w:footnote>
  <w:footnote w:id="1">
    <w:p w14:paraId="7E097BA6" w14:textId="77777777" w:rsidR="007B23B1" w:rsidRDefault="007B23B1">
      <w:pPr>
        <w:pStyle w:val="a6"/>
        <w:ind w:left="720" w:hanging="720"/>
        <w:jc w:val="both"/>
        <w:rPr>
          <w:sz w:val="24"/>
          <w:szCs w:val="24"/>
        </w:rPr>
      </w:pPr>
      <w:r>
        <w:rPr>
          <w:rStyle w:val="a8"/>
        </w:rPr>
        <w:footnoteRef/>
      </w:r>
      <w:r>
        <w:rPr>
          <w:rtl/>
        </w:rPr>
        <w:t xml:space="preserve"> </w:t>
      </w:r>
      <w:r>
        <w:rPr>
          <w:rFonts w:hint="cs"/>
          <w:rtl/>
        </w:rPr>
        <w:tab/>
      </w:r>
      <w:r>
        <w:rPr>
          <w:rFonts w:hint="cs"/>
          <w:sz w:val="24"/>
          <w:szCs w:val="24"/>
          <w:rtl/>
        </w:rPr>
        <w:t>העובדה, שהקשר לנאשם נוצר באמצעות חבר משתמש אחר, או שהיו ביניהם קשרי אקראי בשל חוג חברים משותף, אינה הופכת את הקשר בין הנאשם לבין מקבל הסם ל"חברתי", וכך גם לגבי האחרים להלן;</w:t>
      </w:r>
    </w:p>
  </w:footnote>
  <w:footnote w:id="2">
    <w:p w14:paraId="4CD989BD" w14:textId="77777777" w:rsidR="007B23B1" w:rsidRDefault="007B23B1">
      <w:pPr>
        <w:pStyle w:val="a6"/>
        <w:jc w:val="both"/>
        <w:rPr>
          <w:sz w:val="24"/>
          <w:szCs w:val="24"/>
          <w:rtl/>
        </w:rPr>
      </w:pPr>
      <w:r>
        <w:rPr>
          <w:rStyle w:val="a8"/>
        </w:rPr>
        <w:footnoteRef/>
      </w:r>
      <w:r>
        <w:rPr>
          <w:rtl/>
        </w:rPr>
        <w:t xml:space="preserve"> </w:t>
      </w:r>
      <w:r>
        <w:rPr>
          <w:rFonts w:hint="cs"/>
          <w:rtl/>
        </w:rPr>
        <w:tab/>
        <w:t>"</w:t>
      </w:r>
      <w:r>
        <w:rPr>
          <w:rFonts w:hint="cs"/>
          <w:sz w:val="24"/>
          <w:szCs w:val="24"/>
          <w:rtl/>
        </w:rPr>
        <w:t>תצהיר" לעניין זה של אבי הנאשם, מר מאיר הבר, הוגש בהסכמה [נ/8];</w:t>
      </w:r>
    </w:p>
  </w:footnote>
  <w:footnote w:id="3">
    <w:p w14:paraId="5085EA01" w14:textId="77777777" w:rsidR="007B23B1" w:rsidRDefault="007B23B1">
      <w:pPr>
        <w:pStyle w:val="a6"/>
        <w:ind w:left="720" w:hanging="720"/>
        <w:jc w:val="both"/>
        <w:rPr>
          <w:sz w:val="24"/>
          <w:szCs w:val="24"/>
          <w:rtl/>
        </w:rPr>
      </w:pPr>
      <w:r>
        <w:rPr>
          <w:rStyle w:val="a8"/>
          <w:sz w:val="24"/>
          <w:szCs w:val="24"/>
        </w:rPr>
        <w:footnoteRef/>
      </w:r>
      <w:r>
        <w:rPr>
          <w:sz w:val="24"/>
          <w:szCs w:val="24"/>
          <w:rtl/>
        </w:rPr>
        <w:t xml:space="preserve"> </w:t>
      </w:r>
      <w:r>
        <w:rPr>
          <w:rFonts w:hint="cs"/>
          <w:sz w:val="24"/>
          <w:szCs w:val="24"/>
          <w:rtl/>
        </w:rPr>
        <w:tab/>
        <w:t xml:space="preserve">על כל אלו מעידים מסמכים שהוגשו בהסכמה: רשימה ופירוט של תיקים לחייב בהוצל"פ לפי מרבית חובותיו של הנאשם נוצרו בשנות התשעים [נ/9]; מכתב מבנק ישראל [נ/10]; </w:t>
      </w:r>
    </w:p>
  </w:footnote>
  <w:footnote w:id="4">
    <w:p w14:paraId="3C6F1A1B" w14:textId="77777777" w:rsidR="007B23B1" w:rsidRDefault="007B23B1">
      <w:pPr>
        <w:pStyle w:val="a6"/>
        <w:ind w:left="720" w:hanging="720"/>
        <w:jc w:val="both"/>
        <w:rPr>
          <w:sz w:val="24"/>
          <w:szCs w:val="24"/>
        </w:rPr>
      </w:pPr>
      <w:r>
        <w:rPr>
          <w:rStyle w:val="a8"/>
          <w:sz w:val="24"/>
          <w:szCs w:val="24"/>
        </w:rPr>
        <w:footnoteRef/>
      </w:r>
      <w:r>
        <w:rPr>
          <w:sz w:val="24"/>
          <w:szCs w:val="24"/>
          <w:rtl/>
        </w:rPr>
        <w:t xml:space="preserve"> </w:t>
      </w:r>
      <w:r>
        <w:rPr>
          <w:rFonts w:hint="cs"/>
          <w:sz w:val="24"/>
          <w:szCs w:val="24"/>
          <w:rtl/>
        </w:rPr>
        <w:tab/>
        <w:t>על אלו מעידים אישורים לפיהם הפעיל הנאשם דוכנים לממכר מזון בירידים ופסטיבלים שונים בין השנים 1999-2011 [נ/11], וכן עדותו ואישור בכתב שמסר המעסיק הנוכחי מר ניר זיו [נ/12];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87CAE" w14:textId="77777777" w:rsidR="007B23B1" w:rsidRPr="00C31B3F" w:rsidRDefault="007B23B1" w:rsidP="00C31B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8085-11-11</w:t>
    </w:r>
    <w:r>
      <w:rPr>
        <w:rFonts w:ascii="David" w:hAnsi="David"/>
        <w:color w:val="000000"/>
        <w:sz w:val="22"/>
        <w:szCs w:val="22"/>
        <w:rtl/>
      </w:rPr>
      <w:tab/>
      <w:t xml:space="preserve"> מדינת ישראל נ' שמעון הבר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1AEC6" w14:textId="77777777" w:rsidR="007B23B1" w:rsidRPr="00C31B3F" w:rsidRDefault="007B23B1" w:rsidP="00C31B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8085-11-11</w:t>
    </w:r>
    <w:r>
      <w:rPr>
        <w:rFonts w:ascii="David" w:hAnsi="David"/>
        <w:color w:val="000000"/>
        <w:sz w:val="22"/>
        <w:szCs w:val="22"/>
        <w:rtl/>
      </w:rPr>
      <w:tab/>
      <w:t xml:space="preserve"> מדינת ישראל נ' שמעון הבר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759EE"/>
    <w:rsid w:val="000D2479"/>
    <w:rsid w:val="000F6559"/>
    <w:rsid w:val="004C34C6"/>
    <w:rsid w:val="005704F7"/>
    <w:rsid w:val="006759EE"/>
    <w:rsid w:val="007B23B1"/>
    <w:rsid w:val="008153E5"/>
    <w:rsid w:val="008400D8"/>
    <w:rsid w:val="00860CA9"/>
    <w:rsid w:val="008A13F1"/>
    <w:rsid w:val="00B27F91"/>
    <w:rsid w:val="00C31B3F"/>
    <w:rsid w:val="00D52EA7"/>
    <w:rsid w:val="00FB2C6A"/>
    <w:rsid w:val="00FF3F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04D74D"/>
  <w15:chartTrackingRefBased/>
  <w15:docId w15:val="{960FA389-5DFE-43F6-A5DA-838B1098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59E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759EE"/>
    <w:pPr>
      <w:tabs>
        <w:tab w:val="center" w:pos="4153"/>
        <w:tab w:val="right" w:pos="8306"/>
      </w:tabs>
    </w:pPr>
  </w:style>
  <w:style w:type="paragraph" w:styleId="a4">
    <w:name w:val="footer"/>
    <w:basedOn w:val="a"/>
    <w:rsid w:val="006759EE"/>
    <w:pPr>
      <w:tabs>
        <w:tab w:val="center" w:pos="4153"/>
        <w:tab w:val="right" w:pos="8306"/>
      </w:tabs>
    </w:pPr>
  </w:style>
  <w:style w:type="character" w:styleId="a5">
    <w:name w:val="page number"/>
    <w:basedOn w:val="a0"/>
    <w:rsid w:val="006759EE"/>
  </w:style>
  <w:style w:type="paragraph" w:styleId="a6">
    <w:name w:val="footnote text"/>
    <w:basedOn w:val="a"/>
    <w:link w:val="a7"/>
    <w:rsid w:val="006759EE"/>
    <w:rPr>
      <w:sz w:val="20"/>
      <w:szCs w:val="20"/>
    </w:rPr>
  </w:style>
  <w:style w:type="character" w:customStyle="1" w:styleId="a7">
    <w:name w:val="טקסט הערת שוליים תו"/>
    <w:link w:val="a6"/>
    <w:rsid w:val="006759EE"/>
    <w:rPr>
      <w:rFonts w:cs="David"/>
      <w:lang w:val="en-US" w:eastAsia="en-US" w:bidi="he-IL"/>
    </w:rPr>
  </w:style>
  <w:style w:type="character" w:styleId="a8">
    <w:name w:val="footnote reference"/>
    <w:rsid w:val="006759EE"/>
    <w:rPr>
      <w:vertAlign w:val="superscript"/>
    </w:rPr>
  </w:style>
  <w:style w:type="character" w:styleId="Hyperlink">
    <w:name w:val="Hyperlink"/>
    <w:rsid w:val="00570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70301"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case/5573417" TargetMode="External"/><Relationship Id="rId4" Type="http://schemas.openxmlformats.org/officeDocument/2006/relationships/footnotes" Target="footnotes.xml"/><Relationship Id="rId9" Type="http://schemas.openxmlformats.org/officeDocument/2006/relationships/hyperlink" Target="http://www.nevo.co.il/case/6859579"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2128</Words>
  <Characters>10643</Characters>
  <Application>Microsoft Office Word</Application>
  <DocSecurity>0</DocSecurity>
  <Lines>88</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12746</CharactersWithSpaces>
  <SharedDoc>false</SharedDoc>
  <HLinks>
    <vt:vector size="30" baseType="variant">
      <vt:variant>
        <vt:i4>3211379</vt:i4>
      </vt:variant>
      <vt:variant>
        <vt:i4>12</vt:i4>
      </vt:variant>
      <vt:variant>
        <vt:i4>0</vt:i4>
      </vt:variant>
      <vt:variant>
        <vt:i4>5</vt:i4>
      </vt:variant>
      <vt:variant>
        <vt:lpwstr>http://www.nevo.co.il/case/5573417</vt:lpwstr>
      </vt:variant>
      <vt:variant>
        <vt:lpwstr/>
      </vt:variant>
      <vt:variant>
        <vt:i4>4128882</vt:i4>
      </vt:variant>
      <vt:variant>
        <vt:i4>9</vt:i4>
      </vt:variant>
      <vt:variant>
        <vt:i4>0</vt:i4>
      </vt:variant>
      <vt:variant>
        <vt:i4>5</vt:i4>
      </vt:variant>
      <vt:variant>
        <vt:lpwstr>http://www.nevo.co.il/case/6859579</vt:lpwstr>
      </vt:variant>
      <vt:variant>
        <vt:lpwstr/>
      </vt:variant>
      <vt:variant>
        <vt:i4>7995492</vt:i4>
      </vt:variant>
      <vt:variant>
        <vt:i4>6</vt:i4>
      </vt:variant>
      <vt:variant>
        <vt:i4>0</vt:i4>
      </vt:variant>
      <vt:variant>
        <vt:i4>5</vt:i4>
      </vt:variant>
      <vt:variant>
        <vt:lpwstr>http://www.nevo.co.il/law/70301</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2025-04-22T21:40:00Z</dcterms:created>
  <dcterms:modified xsi:type="dcterms:W3CDTF">2025-04-22T21:40:00Z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8085</vt:lpwstr>
  </property>
  <property fmtid="{D5CDD505-2E9C-101B-9397-08002B2CF9AE}" pid="6" name="NEWPARTB">
    <vt:lpwstr>11</vt:lpwstr>
  </property>
  <property fmtid="{D5CDD505-2E9C-101B-9397-08002B2CF9AE}" pid="7" name="NEWPARTC">
    <vt:lpwstr>11</vt:lpwstr>
  </property>
  <property fmtid="{D5CDD505-2E9C-101B-9397-08002B2CF9AE}" pid="8" name="APPELLEE">
    <vt:lpwstr>שמעון הבר</vt:lpwstr>
  </property>
  <property fmtid="{D5CDD505-2E9C-101B-9397-08002B2CF9AE}" pid="9" name="LAWYER">
    <vt:lpwstr>זאב אלוני</vt:lpwstr>
  </property>
  <property fmtid="{D5CDD505-2E9C-101B-9397-08002B2CF9AE}" pid="10" name="JUDGE">
    <vt:lpwstr>עידו דרויאן</vt:lpwstr>
  </property>
  <property fmtid="{D5CDD505-2E9C-101B-9397-08002B2CF9AE}" pid="11" name="CITY">
    <vt:lpwstr>ת"א</vt:lpwstr>
  </property>
  <property fmtid="{D5CDD505-2E9C-101B-9397-08002B2CF9AE}" pid="12" name="DATE">
    <vt:lpwstr>20131003</vt:lpwstr>
  </property>
  <property fmtid="{D5CDD505-2E9C-101B-9397-08002B2CF9AE}" pid="13" name="TYPE_N_DATE">
    <vt:lpwstr>38020131003</vt:lpwstr>
  </property>
  <property fmtid="{D5CDD505-2E9C-101B-9397-08002B2CF9AE}" pid="14" name="WORDNUMPAGES">
    <vt:lpwstr>8</vt:lpwstr>
  </property>
  <property fmtid="{D5CDD505-2E9C-101B-9397-08002B2CF9AE}" pid="15" name="TYPE_ABS_DATE">
    <vt:lpwstr>380020131003</vt:lpwstr>
  </property>
  <property fmtid="{D5CDD505-2E9C-101B-9397-08002B2CF9AE}" pid="16" name="ISABSTRACT">
    <vt:lpwstr>Y</vt:lpwstr>
  </property>
  <property fmtid="{D5CDD505-2E9C-101B-9397-08002B2CF9AE}" pid="17" name="APPELLANT">
    <vt:lpwstr>מדינת ישראל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6859579;5573417</vt:lpwstr>
  </property>
  <property fmtid="{D5CDD505-2E9C-101B-9397-08002B2CF9AE}" pid="36" name="CASENOTES1">
    <vt:lpwstr>ProcID=213&amp;PartA=200&amp;PartC=40</vt:lpwstr>
  </property>
  <property fmtid="{D5CDD505-2E9C-101B-9397-08002B2CF9AE}" pid="37" name="LAWLISTTMP1">
    <vt:lpwstr>70301:2</vt:lpwstr>
  </property>
</Properties>
</file>