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197D39" w:rsidRPr="00782F75" w14:paraId="13047E79" w14:textId="77777777">
        <w:trPr>
          <w:trHeight w:hRule="exact" w:val="418"/>
          <w:jc w:val="center"/>
        </w:trPr>
        <w:tc>
          <w:tcPr>
            <w:tcW w:w="8720" w:type="dxa"/>
            <w:gridSpan w:val="3"/>
          </w:tcPr>
          <w:p w14:paraId="6154F33E" w14:textId="77777777" w:rsidR="00197D39" w:rsidRPr="00782F75" w:rsidRDefault="00782F75">
            <w:pPr>
              <w:pStyle w:val="a3"/>
              <w:tabs>
                <w:tab w:val="clear" w:pos="8306"/>
              </w:tabs>
              <w:jc w:val="center"/>
              <w:rPr>
                <w:rFonts w:ascii="Tahoma" w:hAnsi="Tahoma" w:cs="Tahoma"/>
                <w:b/>
                <w:bCs/>
                <w:color w:val="000080"/>
                <w:sz w:val="20"/>
                <w:szCs w:val="20"/>
                <w:rtl/>
              </w:rPr>
            </w:pPr>
            <w:bookmarkStart w:id="0" w:name="LastJudge"/>
            <w:r w:rsidRPr="00782F75">
              <w:rPr>
                <w:rFonts w:ascii="Tahoma" w:hAnsi="Tahoma" w:cs="Tahoma"/>
                <w:b/>
                <w:bCs/>
                <w:color w:val="000080"/>
                <w:sz w:val="20"/>
                <w:szCs w:val="20"/>
                <w:rtl/>
              </w:rPr>
              <w:t>בית משפט השלום בתל אביב - יפו</w:t>
            </w:r>
          </w:p>
        </w:tc>
      </w:tr>
      <w:tr w:rsidR="00197D39" w:rsidRPr="00782F75" w14:paraId="6B5E4B3E" w14:textId="77777777">
        <w:trPr>
          <w:trHeight w:val="337"/>
          <w:jc w:val="center"/>
        </w:trPr>
        <w:tc>
          <w:tcPr>
            <w:tcW w:w="3973" w:type="dxa"/>
          </w:tcPr>
          <w:p w14:paraId="2E749F7B" w14:textId="77777777" w:rsidR="00197D39" w:rsidRPr="00782F75" w:rsidRDefault="00782F75">
            <w:pPr>
              <w:rPr>
                <w:b/>
                <w:bCs/>
                <w:sz w:val="26"/>
                <w:szCs w:val="26"/>
                <w:rtl/>
              </w:rPr>
            </w:pPr>
            <w:r w:rsidRPr="00782F75">
              <w:rPr>
                <w:b/>
                <w:bCs/>
                <w:sz w:val="26"/>
                <w:szCs w:val="26"/>
                <w:rtl/>
              </w:rPr>
              <w:t>ת"פ</w:t>
            </w:r>
            <w:r w:rsidRPr="00782F75">
              <w:rPr>
                <w:rFonts w:hint="cs"/>
                <w:b/>
                <w:bCs/>
                <w:sz w:val="26"/>
                <w:szCs w:val="26"/>
                <w:rtl/>
              </w:rPr>
              <w:t xml:space="preserve"> </w:t>
            </w:r>
            <w:r w:rsidRPr="00782F75">
              <w:rPr>
                <w:b/>
                <w:bCs/>
                <w:sz w:val="26"/>
                <w:szCs w:val="26"/>
                <w:rtl/>
              </w:rPr>
              <w:t>9665-12-11</w:t>
            </w:r>
            <w:r w:rsidRPr="00782F75">
              <w:rPr>
                <w:rFonts w:hint="cs"/>
                <w:b/>
                <w:bCs/>
                <w:sz w:val="26"/>
                <w:szCs w:val="26"/>
                <w:rtl/>
              </w:rPr>
              <w:t xml:space="preserve"> </w:t>
            </w:r>
            <w:r w:rsidRPr="00782F75">
              <w:rPr>
                <w:b/>
                <w:bCs/>
                <w:sz w:val="26"/>
                <w:szCs w:val="26"/>
                <w:rtl/>
              </w:rPr>
              <w:t>מדינת ישראל נ' דוויאת</w:t>
            </w:r>
          </w:p>
          <w:p w14:paraId="4B16FC03" w14:textId="77777777" w:rsidR="00197D39" w:rsidRPr="00782F75" w:rsidRDefault="00197D39">
            <w:pPr>
              <w:rPr>
                <w:b/>
                <w:bCs/>
                <w:sz w:val="26"/>
                <w:szCs w:val="26"/>
                <w:rtl/>
              </w:rPr>
            </w:pPr>
          </w:p>
        </w:tc>
        <w:tc>
          <w:tcPr>
            <w:tcW w:w="1068" w:type="dxa"/>
          </w:tcPr>
          <w:p w14:paraId="4BCEE01F" w14:textId="77777777" w:rsidR="00197D39" w:rsidRPr="00782F75" w:rsidRDefault="00197D39">
            <w:pPr>
              <w:pStyle w:val="a3"/>
              <w:jc w:val="right"/>
              <w:rPr>
                <w:b/>
                <w:bCs/>
                <w:sz w:val="26"/>
                <w:szCs w:val="26"/>
                <w:rtl/>
              </w:rPr>
            </w:pPr>
          </w:p>
        </w:tc>
        <w:tc>
          <w:tcPr>
            <w:tcW w:w="3679" w:type="dxa"/>
          </w:tcPr>
          <w:p w14:paraId="5A78E7B7" w14:textId="77777777" w:rsidR="00197D39" w:rsidRPr="00782F75" w:rsidRDefault="00782F75">
            <w:pPr>
              <w:pStyle w:val="a3"/>
              <w:tabs>
                <w:tab w:val="clear" w:pos="4153"/>
              </w:tabs>
              <w:jc w:val="right"/>
              <w:rPr>
                <w:b/>
                <w:bCs/>
                <w:sz w:val="26"/>
                <w:szCs w:val="26"/>
                <w:rtl/>
              </w:rPr>
            </w:pPr>
            <w:r w:rsidRPr="00782F75">
              <w:rPr>
                <w:b/>
                <w:bCs/>
                <w:sz w:val="26"/>
                <w:szCs w:val="26"/>
                <w:rtl/>
              </w:rPr>
              <w:t>07 ינואר 2014</w:t>
            </w:r>
          </w:p>
        </w:tc>
      </w:tr>
    </w:tbl>
    <w:p w14:paraId="1B797BB7" w14:textId="77777777" w:rsidR="00197D39" w:rsidRPr="00782F75" w:rsidRDefault="00197D39">
      <w:pPr>
        <w:pStyle w:val="a3"/>
        <w:jc w:val="center"/>
        <w:rPr>
          <w:rFonts w:ascii="Tahoma" w:hAnsi="Tahoma" w:cs="Tahoma"/>
          <w:b/>
          <w:bCs/>
          <w:color w:val="000080"/>
          <w:sz w:val="20"/>
          <w:szCs w:val="20"/>
          <w:rtl/>
        </w:rPr>
      </w:pPr>
    </w:p>
    <w:p w14:paraId="1E8BEE6E" w14:textId="77777777" w:rsidR="00197D39" w:rsidRPr="00782F75" w:rsidRDefault="00197D39">
      <w:pPr>
        <w:pStyle w:val="a6"/>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197D39" w:rsidRPr="00782F75" w14:paraId="01C10E92" w14:textId="77777777">
        <w:trPr>
          <w:trHeight w:val="337"/>
          <w:jc w:val="center"/>
        </w:trPr>
        <w:tc>
          <w:tcPr>
            <w:tcW w:w="5856" w:type="dxa"/>
          </w:tcPr>
          <w:p w14:paraId="7946A85B" w14:textId="77777777" w:rsidR="00197D39" w:rsidRPr="00782F75" w:rsidRDefault="00782F75">
            <w:pPr>
              <w:spacing w:line="360" w:lineRule="auto"/>
              <w:jc w:val="both"/>
              <w:rPr>
                <w:b/>
                <w:bCs/>
                <w:sz w:val="26"/>
                <w:szCs w:val="26"/>
                <w:rtl/>
              </w:rPr>
            </w:pPr>
            <w:r w:rsidRPr="00782F75">
              <w:rPr>
                <w:rFonts w:hint="cs"/>
                <w:b/>
                <w:bCs/>
                <w:sz w:val="26"/>
                <w:szCs w:val="26"/>
                <w:rtl/>
              </w:rPr>
              <w:t>בפני כב' ה</w:t>
            </w:r>
            <w:r w:rsidRPr="00782F75">
              <w:rPr>
                <w:rFonts w:hint="cs"/>
                <w:rtl/>
              </w:rPr>
              <w:t>שופטת הדסה נאור</w:t>
            </w:r>
          </w:p>
        </w:tc>
        <w:tc>
          <w:tcPr>
            <w:tcW w:w="236" w:type="dxa"/>
          </w:tcPr>
          <w:p w14:paraId="26B5A651" w14:textId="77777777" w:rsidR="00197D39" w:rsidRPr="00782F75" w:rsidRDefault="00197D39">
            <w:pPr>
              <w:pStyle w:val="a3"/>
              <w:jc w:val="both"/>
              <w:rPr>
                <w:b/>
                <w:bCs/>
                <w:sz w:val="26"/>
                <w:szCs w:val="26"/>
                <w:rtl/>
              </w:rPr>
            </w:pPr>
          </w:p>
        </w:tc>
        <w:tc>
          <w:tcPr>
            <w:tcW w:w="2628" w:type="dxa"/>
          </w:tcPr>
          <w:p w14:paraId="21BA43A0" w14:textId="77777777" w:rsidR="00197D39" w:rsidRPr="00782F75" w:rsidRDefault="00197D39">
            <w:pPr>
              <w:pStyle w:val="a3"/>
              <w:jc w:val="both"/>
              <w:rPr>
                <w:b/>
                <w:bCs/>
                <w:sz w:val="26"/>
                <w:szCs w:val="26"/>
                <w:rtl/>
              </w:rPr>
            </w:pPr>
          </w:p>
        </w:tc>
      </w:tr>
    </w:tbl>
    <w:p w14:paraId="6658A86A" w14:textId="77777777" w:rsidR="00197D39" w:rsidRPr="00782F75" w:rsidRDefault="00197D39">
      <w:pPr>
        <w:pStyle w:val="a6"/>
        <w:rPr>
          <w:rFonts w:ascii="Arial" w:hAnsi="Arial"/>
          <w:rtl/>
        </w:rPr>
      </w:pPr>
    </w:p>
    <w:p w14:paraId="7241DF3F" w14:textId="77777777" w:rsidR="00197D39" w:rsidRPr="00782F75" w:rsidRDefault="00197D39">
      <w:pPr>
        <w:pStyle w:val="a6"/>
        <w:rPr>
          <w:rtl/>
        </w:rPr>
      </w:pPr>
    </w:p>
    <w:tbl>
      <w:tblPr>
        <w:bidiVisual/>
        <w:tblW w:w="8802" w:type="dxa"/>
        <w:tblInd w:w="-28" w:type="dxa"/>
        <w:tblLayout w:type="fixed"/>
        <w:tblLook w:val="01E0" w:firstRow="1" w:lastRow="1" w:firstColumn="1" w:lastColumn="1" w:noHBand="0" w:noVBand="0"/>
      </w:tblPr>
      <w:tblGrid>
        <w:gridCol w:w="3240"/>
        <w:gridCol w:w="5562"/>
      </w:tblGrid>
      <w:tr w:rsidR="00197D39" w:rsidRPr="00782F75" w14:paraId="52AC0E90" w14:textId="77777777">
        <w:tc>
          <w:tcPr>
            <w:tcW w:w="3240" w:type="dxa"/>
          </w:tcPr>
          <w:p w14:paraId="641E6494" w14:textId="77777777" w:rsidR="00197D39" w:rsidRPr="00782F75" w:rsidRDefault="00782F75">
            <w:pPr>
              <w:ind w:left="26"/>
              <w:rPr>
                <w:rFonts w:ascii="Times New Roman" w:eastAsia="Times New Roman" w:hAnsi="Times New Roman"/>
                <w:b/>
                <w:bCs/>
                <w:sz w:val="26"/>
                <w:szCs w:val="26"/>
                <w:rtl/>
              </w:rPr>
            </w:pPr>
            <w:bookmarkStart w:id="1" w:name="FirstAppellant"/>
            <w:r w:rsidRPr="00782F75">
              <w:rPr>
                <w:rFonts w:ascii="Times New Roman" w:eastAsia="Times New Roman" w:hAnsi="Times New Roman" w:hint="cs"/>
                <w:b/>
                <w:bCs/>
                <w:sz w:val="26"/>
                <w:szCs w:val="26"/>
                <w:rtl/>
              </w:rPr>
              <w:t>ה</w:t>
            </w:r>
            <w:r w:rsidRPr="00782F75">
              <w:rPr>
                <w:rFonts w:ascii="Times New Roman" w:eastAsia="Times New Roman" w:hAnsi="Times New Roman" w:hint="cs"/>
                <w:rtl/>
              </w:rPr>
              <w:t>מאשימה</w:t>
            </w:r>
          </w:p>
        </w:tc>
        <w:tc>
          <w:tcPr>
            <w:tcW w:w="5562" w:type="dxa"/>
          </w:tcPr>
          <w:p w14:paraId="7D0562CB" w14:textId="77777777" w:rsidR="00197D39" w:rsidRPr="00782F75" w:rsidRDefault="00782F75">
            <w:pPr>
              <w:rPr>
                <w:rFonts w:ascii="Times New Roman" w:eastAsia="Times New Roman" w:hAnsi="Times New Roman"/>
                <w:b/>
                <w:bCs/>
                <w:sz w:val="26"/>
                <w:szCs w:val="26"/>
                <w:rtl/>
              </w:rPr>
            </w:pPr>
            <w:r w:rsidRPr="00782F75">
              <w:rPr>
                <w:rFonts w:ascii="Times New Roman" w:eastAsia="Times New Roman" w:hAnsi="Times New Roman" w:hint="cs"/>
                <w:b/>
                <w:bCs/>
                <w:sz w:val="26"/>
                <w:szCs w:val="26"/>
                <w:rtl/>
              </w:rPr>
              <w:t xml:space="preserve"> </w:t>
            </w:r>
            <w:r w:rsidRPr="00782F75">
              <w:rPr>
                <w:rFonts w:ascii="Times New Roman" w:eastAsia="Times New Roman" w:hAnsi="Times New Roman" w:hint="cs"/>
                <w:rtl/>
              </w:rPr>
              <w:t>מדינת ישראל</w:t>
            </w:r>
          </w:p>
        </w:tc>
      </w:tr>
      <w:bookmarkEnd w:id="1"/>
      <w:tr w:rsidR="00197D39" w:rsidRPr="00782F75" w14:paraId="55E34F00" w14:textId="77777777">
        <w:tc>
          <w:tcPr>
            <w:tcW w:w="8802" w:type="dxa"/>
            <w:gridSpan w:val="2"/>
          </w:tcPr>
          <w:p w14:paraId="2DB79E3A" w14:textId="77777777" w:rsidR="00197D39" w:rsidRPr="00782F75" w:rsidRDefault="00197D39">
            <w:pPr>
              <w:jc w:val="both"/>
              <w:rPr>
                <w:rFonts w:ascii="Arial" w:eastAsia="Times New Roman" w:hAnsi="Arial"/>
                <w:b/>
                <w:bCs/>
                <w:sz w:val="26"/>
                <w:szCs w:val="26"/>
                <w:rtl/>
              </w:rPr>
            </w:pPr>
          </w:p>
          <w:p w14:paraId="783DF0D5" w14:textId="77777777" w:rsidR="00197D39" w:rsidRPr="00782F75" w:rsidRDefault="00782F75">
            <w:pPr>
              <w:jc w:val="center"/>
              <w:rPr>
                <w:rFonts w:ascii="Arial" w:eastAsia="Times New Roman" w:hAnsi="Arial"/>
                <w:b/>
                <w:bCs/>
                <w:sz w:val="26"/>
                <w:szCs w:val="26"/>
                <w:rtl/>
              </w:rPr>
            </w:pPr>
            <w:r w:rsidRPr="00782F75">
              <w:rPr>
                <w:rFonts w:ascii="Arial" w:eastAsia="Times New Roman" w:hAnsi="Arial"/>
                <w:b/>
                <w:bCs/>
                <w:sz w:val="26"/>
                <w:szCs w:val="26"/>
                <w:rtl/>
              </w:rPr>
              <w:t>נגד</w:t>
            </w:r>
          </w:p>
          <w:p w14:paraId="7B4D0C71" w14:textId="77777777" w:rsidR="00197D39" w:rsidRPr="00782F75" w:rsidRDefault="00197D39">
            <w:pPr>
              <w:jc w:val="center"/>
              <w:rPr>
                <w:rFonts w:ascii="Arial" w:eastAsia="Times New Roman" w:hAnsi="Arial"/>
                <w:b/>
                <w:bCs/>
                <w:sz w:val="26"/>
                <w:szCs w:val="26"/>
              </w:rPr>
            </w:pPr>
          </w:p>
        </w:tc>
      </w:tr>
      <w:tr w:rsidR="00197D39" w:rsidRPr="00782F75" w14:paraId="3C298FE6" w14:textId="77777777">
        <w:tc>
          <w:tcPr>
            <w:tcW w:w="3240" w:type="dxa"/>
          </w:tcPr>
          <w:p w14:paraId="0C5A87E6" w14:textId="77777777" w:rsidR="00197D39" w:rsidRPr="00782F75" w:rsidRDefault="00782F75">
            <w:pPr>
              <w:ind w:left="26"/>
              <w:rPr>
                <w:rFonts w:ascii="Times New Roman" w:eastAsia="Times New Roman" w:hAnsi="Times New Roman"/>
                <w:b/>
                <w:bCs/>
                <w:sz w:val="26"/>
                <w:szCs w:val="26"/>
                <w:rtl/>
              </w:rPr>
            </w:pPr>
            <w:r w:rsidRPr="00782F75">
              <w:rPr>
                <w:rFonts w:ascii="Times New Roman" w:eastAsia="Times New Roman" w:hAnsi="Times New Roman" w:hint="cs"/>
                <w:b/>
                <w:bCs/>
                <w:sz w:val="26"/>
                <w:szCs w:val="26"/>
                <w:rtl/>
              </w:rPr>
              <w:t>ה</w:t>
            </w:r>
            <w:r w:rsidRPr="00782F75">
              <w:rPr>
                <w:rFonts w:ascii="Times New Roman" w:eastAsia="Times New Roman" w:hAnsi="Times New Roman" w:hint="cs"/>
                <w:rtl/>
              </w:rPr>
              <w:t>נאשם</w:t>
            </w:r>
          </w:p>
        </w:tc>
        <w:tc>
          <w:tcPr>
            <w:tcW w:w="5562" w:type="dxa"/>
          </w:tcPr>
          <w:p w14:paraId="081C2E51" w14:textId="77777777" w:rsidR="00197D39" w:rsidRPr="00782F75" w:rsidRDefault="00782F75">
            <w:pPr>
              <w:rPr>
                <w:rFonts w:ascii="Times New Roman" w:eastAsia="Times New Roman" w:hAnsi="Times New Roman"/>
                <w:b/>
                <w:bCs/>
                <w:sz w:val="26"/>
                <w:szCs w:val="26"/>
                <w:rtl/>
              </w:rPr>
            </w:pPr>
            <w:r w:rsidRPr="00782F75">
              <w:rPr>
                <w:rFonts w:ascii="Times New Roman" w:eastAsia="Times New Roman" w:hAnsi="Times New Roman" w:hint="cs"/>
                <w:b/>
                <w:bCs/>
                <w:sz w:val="26"/>
                <w:szCs w:val="26"/>
                <w:rtl/>
              </w:rPr>
              <w:t xml:space="preserve"> </w:t>
            </w:r>
            <w:r w:rsidRPr="00782F75">
              <w:rPr>
                <w:rFonts w:ascii="Times New Roman" w:eastAsia="Times New Roman" w:hAnsi="Times New Roman" w:hint="cs"/>
                <w:rtl/>
              </w:rPr>
              <w:t>טארק דוויאת</w:t>
            </w:r>
          </w:p>
        </w:tc>
      </w:tr>
    </w:tbl>
    <w:p w14:paraId="2182466B" w14:textId="77777777" w:rsidR="00197D39" w:rsidRPr="00782F75" w:rsidRDefault="00197D39">
      <w:pPr>
        <w:pStyle w:val="a6"/>
        <w:rPr>
          <w:rtl/>
        </w:rPr>
      </w:pPr>
    </w:p>
    <w:p w14:paraId="1DD444E0" w14:textId="77777777" w:rsidR="00197D39" w:rsidRPr="00782F75" w:rsidRDefault="00782F75">
      <w:pPr>
        <w:pStyle w:val="a6"/>
        <w:rPr>
          <w:sz w:val="6"/>
          <w:szCs w:val="6"/>
          <w:rtl/>
        </w:rPr>
      </w:pPr>
      <w:r w:rsidRPr="00782F75">
        <w:rPr>
          <w:sz w:val="6"/>
          <w:szCs w:val="6"/>
          <w:rtl/>
        </w:rPr>
        <w:t>&lt;#1#&gt;</w:t>
      </w:r>
    </w:p>
    <w:p w14:paraId="7362FC38" w14:textId="77777777" w:rsidR="00197D39" w:rsidRPr="00782F75" w:rsidRDefault="00782F75">
      <w:pPr>
        <w:pStyle w:val="12"/>
        <w:rPr>
          <w:u w:val="none"/>
        </w:rPr>
      </w:pPr>
      <w:r w:rsidRPr="00782F75">
        <w:rPr>
          <w:rFonts w:hint="cs"/>
          <w:u w:val="none"/>
          <w:rtl/>
        </w:rPr>
        <w:t>נוכחים:</w:t>
      </w:r>
    </w:p>
    <w:p w14:paraId="3772EF0C" w14:textId="77777777" w:rsidR="00197D39" w:rsidRPr="00782F75" w:rsidRDefault="00782F75">
      <w:pPr>
        <w:pStyle w:val="12"/>
        <w:rPr>
          <w:b w:val="0"/>
          <w:bCs w:val="0"/>
          <w:sz w:val="26"/>
          <w:szCs w:val="26"/>
          <w:u w:val="none"/>
          <w:rtl/>
        </w:rPr>
      </w:pPr>
      <w:bookmarkStart w:id="2" w:name="FirstLawyer"/>
      <w:r w:rsidRPr="00782F75">
        <w:rPr>
          <w:rFonts w:hint="cs"/>
          <w:b w:val="0"/>
          <w:bCs w:val="0"/>
          <w:sz w:val="26"/>
          <w:szCs w:val="26"/>
          <w:u w:val="none"/>
          <w:rtl/>
        </w:rPr>
        <w:t>ב"כ</w:t>
      </w:r>
      <w:bookmarkEnd w:id="2"/>
      <w:r w:rsidRPr="00782F75">
        <w:rPr>
          <w:rFonts w:hint="cs"/>
          <w:b w:val="0"/>
          <w:bCs w:val="0"/>
          <w:sz w:val="26"/>
          <w:szCs w:val="26"/>
          <w:u w:val="none"/>
          <w:rtl/>
        </w:rPr>
        <w:t xml:space="preserve"> המאשימה עו"ד רעות בן משה </w:t>
      </w:r>
    </w:p>
    <w:p w14:paraId="4F497F31" w14:textId="77777777" w:rsidR="00197D39" w:rsidRPr="00782F75" w:rsidRDefault="00782F75">
      <w:pPr>
        <w:pStyle w:val="12"/>
        <w:rPr>
          <w:b w:val="0"/>
          <w:bCs w:val="0"/>
          <w:sz w:val="26"/>
          <w:szCs w:val="26"/>
          <w:u w:val="none"/>
          <w:rtl/>
        </w:rPr>
      </w:pPr>
      <w:r w:rsidRPr="00782F75">
        <w:rPr>
          <w:rFonts w:hint="cs"/>
          <w:b w:val="0"/>
          <w:bCs w:val="0"/>
          <w:sz w:val="26"/>
          <w:szCs w:val="26"/>
          <w:u w:val="none"/>
          <w:rtl/>
        </w:rPr>
        <w:t xml:space="preserve">הנאשם בעצמו </w:t>
      </w:r>
    </w:p>
    <w:p w14:paraId="51A160DA" w14:textId="77777777" w:rsidR="00197D39" w:rsidRPr="00782F75" w:rsidRDefault="00782F75">
      <w:pPr>
        <w:pStyle w:val="12"/>
        <w:rPr>
          <w:b w:val="0"/>
          <w:bCs w:val="0"/>
          <w:sz w:val="26"/>
          <w:szCs w:val="26"/>
          <w:u w:val="none"/>
          <w:rtl/>
        </w:rPr>
      </w:pPr>
      <w:r w:rsidRPr="00782F75">
        <w:rPr>
          <w:rFonts w:hint="cs"/>
          <w:b w:val="0"/>
          <w:bCs w:val="0"/>
          <w:sz w:val="26"/>
          <w:szCs w:val="26"/>
          <w:u w:val="none"/>
          <w:rtl/>
        </w:rPr>
        <w:t xml:space="preserve">ב"כ  הנאשם עו"ד אלעד רט </w:t>
      </w:r>
    </w:p>
    <w:p w14:paraId="370D742C" w14:textId="77777777" w:rsidR="0091149B" w:rsidRDefault="0091149B">
      <w:pPr>
        <w:spacing w:line="360" w:lineRule="auto"/>
        <w:jc w:val="center"/>
        <w:rPr>
          <w:rFonts w:ascii="Arial" w:hAnsi="Arial"/>
          <w:color w:val="FF0000"/>
          <w:sz w:val="28"/>
          <w:rtl/>
        </w:rPr>
      </w:pPr>
      <w:bookmarkStart w:id="3" w:name="LawTable"/>
    </w:p>
    <w:p w14:paraId="1A2E81D2" w14:textId="77777777" w:rsidR="0091149B" w:rsidRPr="0091149B" w:rsidRDefault="0091149B" w:rsidP="0091149B">
      <w:pPr>
        <w:spacing w:after="120" w:line="240" w:lineRule="exact"/>
        <w:ind w:left="283" w:hanging="283"/>
        <w:jc w:val="both"/>
        <w:rPr>
          <w:rFonts w:ascii="FrankRuehl" w:hAnsi="FrankRuehl" w:cs="FrankRuehl"/>
          <w:color w:val="FF0000"/>
          <w:rtl/>
        </w:rPr>
      </w:pPr>
    </w:p>
    <w:p w14:paraId="053713DC" w14:textId="77777777" w:rsidR="0091149B" w:rsidRPr="0091149B" w:rsidRDefault="0091149B" w:rsidP="0091149B">
      <w:pPr>
        <w:spacing w:after="120" w:line="240" w:lineRule="exact"/>
        <w:ind w:left="283" w:hanging="283"/>
        <w:jc w:val="both"/>
        <w:rPr>
          <w:rFonts w:ascii="FrankRuehl" w:hAnsi="FrankRuehl" w:cs="FrankRuehl"/>
          <w:color w:val="FF0000"/>
          <w:rtl/>
        </w:rPr>
      </w:pPr>
    </w:p>
    <w:p w14:paraId="2D0185BC" w14:textId="77777777" w:rsidR="0091149B" w:rsidRPr="0091149B" w:rsidRDefault="0091149B" w:rsidP="0091149B">
      <w:pPr>
        <w:spacing w:after="120" w:line="240" w:lineRule="exact"/>
        <w:ind w:left="283" w:hanging="283"/>
        <w:jc w:val="both"/>
        <w:rPr>
          <w:rFonts w:ascii="FrankRuehl" w:hAnsi="FrankRuehl" w:cs="FrankRuehl"/>
          <w:rtl/>
        </w:rPr>
      </w:pPr>
      <w:r w:rsidRPr="0091149B">
        <w:rPr>
          <w:rFonts w:ascii="FrankRuehl" w:hAnsi="FrankRuehl" w:cs="FrankRuehl"/>
          <w:rtl/>
        </w:rPr>
        <w:t xml:space="preserve">חקיקה שאוזכרה: </w:t>
      </w:r>
    </w:p>
    <w:p w14:paraId="2E745A96" w14:textId="77777777" w:rsidR="0091149B" w:rsidRPr="0091149B" w:rsidRDefault="0091149B" w:rsidP="0091149B">
      <w:pPr>
        <w:spacing w:after="120" w:line="240" w:lineRule="exact"/>
        <w:ind w:left="283" w:hanging="283"/>
        <w:jc w:val="both"/>
        <w:rPr>
          <w:rFonts w:ascii="FrankRuehl" w:hAnsi="FrankRuehl" w:cs="FrankRuehl"/>
          <w:rtl/>
        </w:rPr>
      </w:pPr>
      <w:hyperlink r:id="rId6" w:history="1">
        <w:r w:rsidRPr="0091149B">
          <w:rPr>
            <w:rFonts w:ascii="FrankRuehl" w:hAnsi="FrankRuehl" w:cs="FrankRuehl"/>
            <w:color w:val="0000FF"/>
            <w:u w:val="single"/>
            <w:rtl/>
          </w:rPr>
          <w:t>פקודת הסמים המסוכנים [נוסח חדש], תשל"ג-1973</w:t>
        </w:r>
      </w:hyperlink>
    </w:p>
    <w:p w14:paraId="40C3E570" w14:textId="77777777" w:rsidR="0091149B" w:rsidRPr="0091149B" w:rsidRDefault="0091149B" w:rsidP="0091149B">
      <w:pPr>
        <w:spacing w:after="120" w:line="240" w:lineRule="exact"/>
        <w:ind w:left="283" w:hanging="283"/>
        <w:jc w:val="both"/>
        <w:rPr>
          <w:rFonts w:ascii="FrankRuehl" w:hAnsi="FrankRuehl" w:cs="FrankRuehl"/>
          <w:rtl/>
        </w:rPr>
      </w:pPr>
      <w:hyperlink r:id="rId7" w:history="1">
        <w:r w:rsidRPr="0091149B">
          <w:rPr>
            <w:rFonts w:ascii="FrankRuehl" w:hAnsi="FrankRuehl" w:cs="FrankRuehl"/>
            <w:color w:val="0000FF"/>
            <w:u w:val="single"/>
            <w:rtl/>
          </w:rPr>
          <w:t>חוק העונשין, תשל"ז-1977</w:t>
        </w:r>
      </w:hyperlink>
      <w:r w:rsidRPr="0091149B">
        <w:rPr>
          <w:rFonts w:ascii="FrankRuehl" w:hAnsi="FrankRuehl" w:cs="FrankRuehl"/>
          <w:rtl/>
        </w:rPr>
        <w:t xml:space="preserve">: סע'  </w:t>
      </w:r>
      <w:hyperlink r:id="rId8" w:history="1">
        <w:r w:rsidRPr="0091149B">
          <w:rPr>
            <w:rFonts w:ascii="FrankRuehl" w:hAnsi="FrankRuehl" w:cs="FrankRuehl"/>
            <w:color w:val="0000FF"/>
            <w:u w:val="single"/>
            <w:rtl/>
          </w:rPr>
          <w:t>40ד</w:t>
        </w:r>
      </w:hyperlink>
    </w:p>
    <w:p w14:paraId="3645D553" w14:textId="77777777" w:rsidR="0091149B" w:rsidRDefault="0091149B">
      <w:pPr>
        <w:spacing w:line="360" w:lineRule="auto"/>
        <w:jc w:val="center"/>
        <w:rPr>
          <w:rFonts w:ascii="Arial" w:hAnsi="Arial"/>
          <w:sz w:val="28"/>
          <w:rtl/>
        </w:rPr>
      </w:pPr>
      <w:bookmarkStart w:id="4" w:name="LawTable_End"/>
    </w:p>
    <w:bookmarkEnd w:id="3"/>
    <w:bookmarkEnd w:id="4"/>
    <w:p w14:paraId="3015B09D" w14:textId="77777777" w:rsidR="00197D39" w:rsidRPr="00782F75" w:rsidRDefault="00782F75">
      <w:pPr>
        <w:spacing w:line="360" w:lineRule="auto"/>
        <w:jc w:val="center"/>
        <w:rPr>
          <w:rFonts w:ascii="Arial" w:hAnsi="Arial"/>
          <w:b/>
          <w:bCs/>
          <w:sz w:val="28"/>
          <w:szCs w:val="28"/>
          <w:rtl/>
        </w:rPr>
      </w:pPr>
      <w:r w:rsidRPr="00782F75">
        <w:rPr>
          <w:rFonts w:ascii="Arial" w:hAnsi="Arial"/>
          <w:b/>
          <w:color w:val="FF0000"/>
          <w:sz w:val="28"/>
          <w:rtl/>
        </w:rPr>
        <w:t>במסמך זה הושמטו פרוטוקולים</w:t>
      </w:r>
    </w:p>
    <w:p w14:paraId="4B253A3F" w14:textId="77777777" w:rsidR="00782F75" w:rsidRPr="00782F75" w:rsidRDefault="00782F75" w:rsidP="00782F75">
      <w:pPr>
        <w:spacing w:line="360" w:lineRule="auto"/>
        <w:jc w:val="center"/>
        <w:rPr>
          <w:rFonts w:ascii="Arial" w:hAnsi="Arial"/>
          <w:b/>
          <w:bCs/>
          <w:sz w:val="28"/>
          <w:szCs w:val="28"/>
          <w:u w:val="single"/>
          <w:rtl/>
        </w:rPr>
      </w:pPr>
      <w:bookmarkStart w:id="5" w:name="PsakDin"/>
      <w:bookmarkEnd w:id="0"/>
      <w:r w:rsidRPr="00782F75">
        <w:rPr>
          <w:rFonts w:ascii="Arial" w:hAnsi="Arial"/>
          <w:b/>
          <w:bCs/>
          <w:sz w:val="28"/>
          <w:szCs w:val="28"/>
          <w:u w:val="single"/>
          <w:rtl/>
        </w:rPr>
        <w:t>גזר דין</w:t>
      </w:r>
    </w:p>
    <w:bookmarkEnd w:id="5"/>
    <w:p w14:paraId="6E385A1A" w14:textId="77777777" w:rsidR="00197D39" w:rsidRDefault="00197D39">
      <w:pPr>
        <w:spacing w:line="360" w:lineRule="auto"/>
        <w:jc w:val="both"/>
        <w:rPr>
          <w:rFonts w:ascii="Arial" w:hAnsi="Arial"/>
        </w:rPr>
      </w:pPr>
    </w:p>
    <w:p w14:paraId="02E581C6" w14:textId="77777777" w:rsidR="00197D39" w:rsidRDefault="00197D39">
      <w:pPr>
        <w:spacing w:line="360" w:lineRule="auto"/>
        <w:jc w:val="center"/>
        <w:rPr>
          <w:rtl/>
        </w:rPr>
      </w:pPr>
    </w:p>
    <w:p w14:paraId="39B032D1" w14:textId="77777777" w:rsidR="00197D39" w:rsidRDefault="00782F75">
      <w:pPr>
        <w:overflowPunct w:val="0"/>
        <w:autoSpaceDE w:val="0"/>
        <w:autoSpaceDN w:val="0"/>
        <w:adjustRightInd w:val="0"/>
        <w:spacing w:line="360" w:lineRule="auto"/>
        <w:rPr>
          <w:b/>
          <w:bCs/>
          <w:sz w:val="26"/>
          <w:szCs w:val="26"/>
          <w:rtl/>
        </w:rPr>
      </w:pPr>
      <w:r>
        <w:rPr>
          <w:rFonts w:hint="eastAsia"/>
          <w:b/>
          <w:bCs/>
          <w:sz w:val="26"/>
          <w:szCs w:val="26"/>
          <w:rtl/>
        </w:rPr>
        <w:t>הנאשם</w:t>
      </w:r>
      <w:r>
        <w:rPr>
          <w:b/>
          <w:bCs/>
          <w:sz w:val="26"/>
          <w:szCs w:val="26"/>
          <w:rtl/>
        </w:rPr>
        <w:t xml:space="preserve"> הורשע על פי הודאתו בעביר</w:t>
      </w:r>
      <w:r>
        <w:rPr>
          <w:rFonts w:hint="cs"/>
          <w:b/>
          <w:bCs/>
          <w:sz w:val="26"/>
          <w:szCs w:val="26"/>
          <w:rtl/>
        </w:rPr>
        <w:t xml:space="preserve">ה של פריצה לבניין שאינו דירה וגניבה, על כך שבתאריך 17.2.09 סמוך לשעה 4:30 פרץ בצוותא חדא עם אחרים לחנות פקטורי 54 בנמל תל אביב, בכך שאחד האחרים ניפץ את זכוכית הכניסה למקום בפטיש ואחרים נכנסו למקום, שעה שהוא חיכה להם ברכב. האחרים נסעו ונטלו מהמקום רכוש רב הכולל ביגוד מסוגים שונים, העמיסו את הרכוש הגנוב לרכב שהיה נהוג על ידי הנאשם והוא נסע מהמקום. </w:t>
      </w:r>
    </w:p>
    <w:p w14:paraId="379A4403" w14:textId="77777777" w:rsidR="00197D39" w:rsidRDefault="00197D39">
      <w:pPr>
        <w:overflowPunct w:val="0"/>
        <w:autoSpaceDE w:val="0"/>
        <w:autoSpaceDN w:val="0"/>
        <w:adjustRightInd w:val="0"/>
        <w:spacing w:line="360" w:lineRule="auto"/>
        <w:rPr>
          <w:b/>
          <w:bCs/>
          <w:sz w:val="26"/>
          <w:szCs w:val="26"/>
          <w:rtl/>
        </w:rPr>
      </w:pPr>
    </w:p>
    <w:p w14:paraId="342FE787"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אין מחלוקת לגבי הערכים המוגנים שנפגעו ממעשיו של הנאשם, בהם שמירה והגנה על רכושו של האחר, ופגיעה בנכסיו. </w:t>
      </w:r>
    </w:p>
    <w:p w14:paraId="2CD207FA" w14:textId="77777777" w:rsidR="00197D39" w:rsidRDefault="00197D39">
      <w:pPr>
        <w:overflowPunct w:val="0"/>
        <w:autoSpaceDE w:val="0"/>
        <w:autoSpaceDN w:val="0"/>
        <w:adjustRightInd w:val="0"/>
        <w:spacing w:line="360" w:lineRule="auto"/>
        <w:rPr>
          <w:b/>
          <w:bCs/>
          <w:sz w:val="26"/>
          <w:szCs w:val="26"/>
          <w:rtl/>
        </w:rPr>
      </w:pPr>
    </w:p>
    <w:p w14:paraId="1088C4CF"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בהתחשב בנסיבות המקרה ובמדיניות הענישה הנוהגת, הציעה המאשימה לקבוע כי מתחם הענישה נע בין 10 חודשים ל-30 חודשי מאסר בפועל, ואילו ב"כ  הנאשם סבר שמתחם הענישה יכול להיקבע החל בעונש של מאסר על תנאי, ולכל היותר בתקופת מאסר קצרה שניתן לרצותה בעבודות שירות. </w:t>
      </w:r>
    </w:p>
    <w:p w14:paraId="69F2FB82" w14:textId="77777777" w:rsidR="00197D39" w:rsidRDefault="00197D39">
      <w:pPr>
        <w:overflowPunct w:val="0"/>
        <w:autoSpaceDE w:val="0"/>
        <w:autoSpaceDN w:val="0"/>
        <w:adjustRightInd w:val="0"/>
        <w:spacing w:line="360" w:lineRule="auto"/>
        <w:rPr>
          <w:b/>
          <w:bCs/>
          <w:sz w:val="26"/>
          <w:szCs w:val="26"/>
          <w:rtl/>
        </w:rPr>
      </w:pPr>
    </w:p>
    <w:p w14:paraId="29A7A0EA"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במסגרת ההסכמות אליהן הגיעו הצדדים, הופנה הנאשם לקבלת תסקיר בו התבקש שירות המבחן לבחון את נסיבות חייו ואת השינויים שעבר בתקופה האחרונה. </w:t>
      </w:r>
    </w:p>
    <w:p w14:paraId="1ED5000F" w14:textId="77777777" w:rsidR="00197D39" w:rsidRDefault="00197D39">
      <w:pPr>
        <w:overflowPunct w:val="0"/>
        <w:autoSpaceDE w:val="0"/>
        <w:autoSpaceDN w:val="0"/>
        <w:adjustRightInd w:val="0"/>
        <w:spacing w:line="360" w:lineRule="auto"/>
        <w:rPr>
          <w:b/>
          <w:bCs/>
          <w:sz w:val="26"/>
          <w:szCs w:val="26"/>
          <w:rtl/>
        </w:rPr>
      </w:pPr>
    </w:p>
    <w:p w14:paraId="6C700B20"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שני תסקירים הונחו לפניי, מהם ניתן ללמוד על נסיבות חייו של הנאשם, על העובדה כי כבר בהיותו כבן 20 החל להשתמש לסירוגין בסמים מסוג חשיש, כשבמהלך אותה תקופה אף ביצע עבירות פליליות ולחובתו רשומות 4 הרשעות קודמות בעבירות רכוש ובעבירות אל </w:t>
      </w:r>
      <w:hyperlink r:id="rId9" w:history="1">
        <w:r w:rsidRPr="00782F75">
          <w:rPr>
            <w:b/>
            <w:bCs/>
            <w:color w:val="0000FF"/>
            <w:sz w:val="26"/>
            <w:szCs w:val="26"/>
            <w:u w:val="single"/>
            <w:rtl/>
          </w:rPr>
          <w:t>פקודת הסמים המסוכנים</w:t>
        </w:r>
      </w:hyperlink>
      <w:r>
        <w:rPr>
          <w:rFonts w:hint="cs"/>
          <w:b/>
          <w:bCs/>
          <w:sz w:val="26"/>
          <w:szCs w:val="26"/>
          <w:rtl/>
        </w:rPr>
        <w:t xml:space="preserve">. </w:t>
      </w:r>
    </w:p>
    <w:p w14:paraId="2167B600" w14:textId="77777777" w:rsidR="00197D39" w:rsidRDefault="00197D39">
      <w:pPr>
        <w:overflowPunct w:val="0"/>
        <w:autoSpaceDE w:val="0"/>
        <w:autoSpaceDN w:val="0"/>
        <w:adjustRightInd w:val="0"/>
        <w:spacing w:line="360" w:lineRule="auto"/>
        <w:rPr>
          <w:b/>
          <w:bCs/>
          <w:sz w:val="26"/>
          <w:szCs w:val="26"/>
          <w:rtl/>
        </w:rPr>
      </w:pPr>
    </w:p>
    <w:p w14:paraId="22BDDCB8"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עם זאת, עולה מהתסקיר שהנאשם כיום מביע רצון ומוטיבציה לערוך שינוי בחייו, וכי בתאריך 31.1.13, במסגרת גזר דין שניתן בעניינו בבית המשפט השלום לתעבורה בירושלים, הועמד בפיקוח שירות המבחן, משתף פעולה בקבוצה הטיפולית של נהיגה בשכרות וניכרת מוטיבציה לעריכת שינוי חיובי ומהותי בחייו. </w:t>
      </w:r>
    </w:p>
    <w:p w14:paraId="68C93397" w14:textId="77777777" w:rsidR="00197D39" w:rsidRDefault="00197D39">
      <w:pPr>
        <w:overflowPunct w:val="0"/>
        <w:autoSpaceDE w:val="0"/>
        <w:autoSpaceDN w:val="0"/>
        <w:adjustRightInd w:val="0"/>
        <w:spacing w:line="360" w:lineRule="auto"/>
        <w:rPr>
          <w:b/>
          <w:bCs/>
          <w:sz w:val="26"/>
          <w:szCs w:val="26"/>
          <w:rtl/>
        </w:rPr>
      </w:pPr>
    </w:p>
    <w:p w14:paraId="09CD2344"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בתסקיר הראשון ציין שירות המבחן שהנאשם מקבל אחריות חלקית למעורבותו בביצוע העבירות עליהן הוא נותן את הדין היום, ניסה להמעיט מחלקו ולהשליך את האחריות על שותפיו לעבירה. עם זאת, סבר שירות המבחן כי לאור העובדה שהנאשם עומד בתנאי הטיפול שנקבעו עבורו ולאור התרשמותו שההליכים המשפטיים שננקטים נגדו מהוים עבורו עונש מוחשי, הוא הפיק לקחים ושומר על יציבות במקום עבודה </w:t>
      </w:r>
      <w:r>
        <w:rPr>
          <w:b/>
          <w:bCs/>
          <w:sz w:val="26"/>
          <w:szCs w:val="26"/>
          <w:rtl/>
        </w:rPr>
        <w:t>–</w:t>
      </w:r>
      <w:r>
        <w:rPr>
          <w:rFonts w:hint="cs"/>
          <w:b/>
          <w:bCs/>
          <w:sz w:val="26"/>
          <w:szCs w:val="26"/>
          <w:rtl/>
        </w:rPr>
        <w:t xml:space="preserve"> קיים חשש שמאסר בפועל עלול לגרום לנסיגה והידרדרות במצבו ולחזק דפוסים שליליים אצלו. לפיכך המליץ על מאסר בעבודות שירות לצד מאסר על תנאי משמעותי. </w:t>
      </w:r>
    </w:p>
    <w:p w14:paraId="1DCEA166" w14:textId="77777777" w:rsidR="00197D39" w:rsidRDefault="00197D39">
      <w:pPr>
        <w:overflowPunct w:val="0"/>
        <w:autoSpaceDE w:val="0"/>
        <w:autoSpaceDN w:val="0"/>
        <w:adjustRightInd w:val="0"/>
        <w:spacing w:line="360" w:lineRule="auto"/>
        <w:rPr>
          <w:b/>
          <w:bCs/>
          <w:sz w:val="26"/>
          <w:szCs w:val="26"/>
          <w:rtl/>
        </w:rPr>
      </w:pPr>
    </w:p>
    <w:p w14:paraId="1B129AA7"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בתסקיר השני שב שירות המבחן על התרשמותו מהמוטיבציה לטיפול של הנאשם ולשינוי בדפוסי התנהגותו הבעייתיים. לפיכך שב גם על המלצתו. </w:t>
      </w:r>
    </w:p>
    <w:p w14:paraId="33C3AEEB" w14:textId="77777777" w:rsidR="00197D39" w:rsidRDefault="00197D39">
      <w:pPr>
        <w:overflowPunct w:val="0"/>
        <w:autoSpaceDE w:val="0"/>
        <w:autoSpaceDN w:val="0"/>
        <w:adjustRightInd w:val="0"/>
        <w:spacing w:line="360" w:lineRule="auto"/>
        <w:rPr>
          <w:b/>
          <w:bCs/>
          <w:sz w:val="26"/>
          <w:szCs w:val="26"/>
          <w:rtl/>
        </w:rPr>
      </w:pPr>
    </w:p>
    <w:p w14:paraId="751A3453"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חרף המלצת שירו המבחן, עמדה המאשימה על עתירתה להטלת מאסר בפועל, כשלטעמה העונש הראוי עומד ברף הגבוה של מתחם הענישה שהציעה ולצד זה ביקשה להטיל עליו מאסר על תנאי, קנס ופיצוי. </w:t>
      </w:r>
    </w:p>
    <w:p w14:paraId="095654E2" w14:textId="77777777" w:rsidR="00197D39" w:rsidRDefault="00197D39">
      <w:pPr>
        <w:overflowPunct w:val="0"/>
        <w:autoSpaceDE w:val="0"/>
        <w:autoSpaceDN w:val="0"/>
        <w:adjustRightInd w:val="0"/>
        <w:spacing w:line="360" w:lineRule="auto"/>
        <w:rPr>
          <w:b/>
          <w:bCs/>
          <w:sz w:val="26"/>
          <w:szCs w:val="26"/>
          <w:rtl/>
        </w:rPr>
      </w:pPr>
    </w:p>
    <w:p w14:paraId="500317F9"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lastRenderedPageBreak/>
        <w:t xml:space="preserve">ב"כ  הנאשם, אף הוא ביקש שלא לאמץ את המלצות שירות המבחן וביקש שהענישה לא תכלול רכיב של מאסר בפועל, אף לא בעבודות שירות, ולהסתפק במאסר על תנאי בלבד, בין אם כעונש המצוי ברף התחתון של מתחם הענישה ובין אם במסגרת </w:t>
      </w:r>
      <w:hyperlink r:id="rId10" w:history="1">
        <w:r w:rsidR="0091149B" w:rsidRPr="0091149B">
          <w:rPr>
            <w:b/>
            <w:bCs/>
            <w:color w:val="0000FF"/>
            <w:sz w:val="26"/>
            <w:szCs w:val="26"/>
            <w:u w:val="single"/>
            <w:rtl/>
          </w:rPr>
          <w:t>סעיף 40ד</w:t>
        </w:r>
      </w:hyperlink>
      <w:r>
        <w:rPr>
          <w:rFonts w:hint="cs"/>
          <w:b/>
          <w:bCs/>
          <w:sz w:val="26"/>
          <w:szCs w:val="26"/>
          <w:rtl/>
        </w:rPr>
        <w:t xml:space="preserve"> ל</w:t>
      </w:r>
      <w:hyperlink r:id="rId11" w:history="1">
        <w:r w:rsidRPr="00782F75">
          <w:rPr>
            <w:b/>
            <w:bCs/>
            <w:color w:val="0000FF"/>
            <w:sz w:val="26"/>
            <w:szCs w:val="26"/>
            <w:u w:val="single"/>
            <w:rtl/>
          </w:rPr>
          <w:t>חוק העונשין</w:t>
        </w:r>
      </w:hyperlink>
      <w:r>
        <w:rPr>
          <w:rFonts w:hint="cs"/>
          <w:b/>
          <w:bCs/>
          <w:sz w:val="26"/>
          <w:szCs w:val="26"/>
          <w:rtl/>
        </w:rPr>
        <w:t xml:space="preserve">, המאפשר לבית המשפט לחרוג לקולא ממתחם הענישה, אם יקבע בית המשפט שהרף התחתון  במתחם הענישה כולל רכיב של מאסר בפועל. </w:t>
      </w:r>
    </w:p>
    <w:p w14:paraId="21BB9C4D" w14:textId="77777777" w:rsidR="00197D39" w:rsidRDefault="00197D39">
      <w:pPr>
        <w:overflowPunct w:val="0"/>
        <w:autoSpaceDE w:val="0"/>
        <w:autoSpaceDN w:val="0"/>
        <w:adjustRightInd w:val="0"/>
        <w:spacing w:line="360" w:lineRule="auto"/>
        <w:rPr>
          <w:b/>
          <w:bCs/>
          <w:sz w:val="26"/>
          <w:szCs w:val="26"/>
          <w:rtl/>
        </w:rPr>
      </w:pPr>
    </w:p>
    <w:p w14:paraId="3567FE94"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בטיעוניו הצביע ב"כ  הנאשם על מס' גורמים שלטענתו מצדיקים את עתירתו, ואלו הם: ראשית, חלקו של הנאשם בביצוע העבירה, כשחבריו שפרצו בפועל וגנבו את הרכוש לא נתפסו ולא נתנו את הדין, כל הרכוש שנגנב הוחזר כך שלא נגרם כל נזק, חלף זמן רב מאז ביצוע העבירה </w:t>
      </w:r>
      <w:r>
        <w:rPr>
          <w:b/>
          <w:bCs/>
          <w:sz w:val="26"/>
          <w:szCs w:val="26"/>
          <w:rtl/>
        </w:rPr>
        <w:t>–</w:t>
      </w:r>
      <w:r>
        <w:rPr>
          <w:rFonts w:hint="cs"/>
          <w:b/>
          <w:bCs/>
          <w:sz w:val="26"/>
          <w:szCs w:val="26"/>
          <w:rtl/>
        </w:rPr>
        <w:t xml:space="preserve"> כשכתב האישום עצמו הוגש רק בחלוף כ- 3 שנים מאז ביצוע העבירות, הנאשם חסך מזמנו של בית המשפט ומזמנה של התביעה כשבחר להודות ולקחת אחריות על מעשיו, עברו הפלילי אינו מכביד, הוא יכול היה לצרף תיק זה לתיק שהתנהל בבית משפט השלום לתעבורה בירושלים כשעונשו לא היה משתנה באופן משמעותי, נסיבות חייו מורכבות כמפורט בתסקיר, בשנתיים האחרונות הוא עלה על מסלול חיים נורמטיבי, הוא עובד כיום בעבודה מסודרת, נולדו לו 3 ילדים ושירות המבחן מדבר על הרצון והמוטיבציה שלו לערוך שינוי בחייו </w:t>
      </w:r>
      <w:r>
        <w:rPr>
          <w:b/>
          <w:bCs/>
          <w:sz w:val="26"/>
          <w:szCs w:val="26"/>
          <w:rtl/>
        </w:rPr>
        <w:t>–</w:t>
      </w:r>
      <w:r>
        <w:rPr>
          <w:rFonts w:hint="cs"/>
          <w:b/>
          <w:bCs/>
          <w:sz w:val="26"/>
          <w:szCs w:val="26"/>
          <w:rtl/>
        </w:rPr>
        <w:t xml:space="preserve"> ומכאן ששליחתו למאסר גם בעבודות שירות לאחר תקופה ממושכת יכולה להיות הרסנית עבורו. </w:t>
      </w:r>
    </w:p>
    <w:p w14:paraId="719E4DFA" w14:textId="77777777" w:rsidR="00197D39" w:rsidRDefault="00197D39">
      <w:pPr>
        <w:overflowPunct w:val="0"/>
        <w:autoSpaceDE w:val="0"/>
        <w:autoSpaceDN w:val="0"/>
        <w:adjustRightInd w:val="0"/>
        <w:spacing w:line="360" w:lineRule="auto"/>
        <w:rPr>
          <w:b/>
          <w:bCs/>
          <w:sz w:val="26"/>
          <w:szCs w:val="26"/>
          <w:rtl/>
        </w:rPr>
      </w:pPr>
    </w:p>
    <w:p w14:paraId="61226455"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דומני כי לא ניתן להפריד בין חלקם של מי שפרץ בפועל לבית העסק לבין מי שהמתין להם על מנת למלט את הרכוש הגנוב, ובכך אינני רואה נסיבה מקלה. </w:t>
      </w:r>
    </w:p>
    <w:p w14:paraId="7F6FFC19" w14:textId="77777777" w:rsidR="00197D39" w:rsidRDefault="00197D39">
      <w:pPr>
        <w:overflowPunct w:val="0"/>
        <w:autoSpaceDE w:val="0"/>
        <w:autoSpaceDN w:val="0"/>
        <w:adjustRightInd w:val="0"/>
        <w:spacing w:line="360" w:lineRule="auto"/>
        <w:rPr>
          <w:b/>
          <w:bCs/>
          <w:sz w:val="26"/>
          <w:szCs w:val="26"/>
          <w:rtl/>
        </w:rPr>
      </w:pPr>
    </w:p>
    <w:p w14:paraId="06274884"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עם זאת, יש משקל נכבד לכל יתר טיעוני ב"כ  הנאשם. </w:t>
      </w:r>
    </w:p>
    <w:p w14:paraId="2C15A621" w14:textId="77777777" w:rsidR="00197D39" w:rsidRDefault="00197D39">
      <w:pPr>
        <w:overflowPunct w:val="0"/>
        <w:autoSpaceDE w:val="0"/>
        <w:autoSpaceDN w:val="0"/>
        <w:adjustRightInd w:val="0"/>
        <w:spacing w:line="360" w:lineRule="auto"/>
        <w:rPr>
          <w:b/>
          <w:bCs/>
          <w:sz w:val="26"/>
          <w:szCs w:val="26"/>
          <w:rtl/>
        </w:rPr>
      </w:pPr>
    </w:p>
    <w:p w14:paraId="5592FFFA"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מתחם הענישה בנסיבות המקרה, בהתחשב באופי הפעולה שכללה התארגנות של מס' חברים לצורך ביצוע העבירה, האופן שבו בוצעה הפריצה, הגניבה וכמות הסחורה שנגנבה </w:t>
      </w:r>
      <w:r>
        <w:rPr>
          <w:b/>
          <w:bCs/>
          <w:sz w:val="26"/>
          <w:szCs w:val="26"/>
          <w:rtl/>
        </w:rPr>
        <w:t>–</w:t>
      </w:r>
      <w:r>
        <w:rPr>
          <w:rFonts w:hint="cs"/>
          <w:b/>
          <w:bCs/>
          <w:sz w:val="26"/>
          <w:szCs w:val="26"/>
          <w:rtl/>
        </w:rPr>
        <w:t xml:space="preserve"> ובהתאם למדיניות הענישה הנוהגת, המקובלת והרצויה, מתחם הענישה שהוצע על ידי המאשימה מקובל עליי. </w:t>
      </w:r>
    </w:p>
    <w:p w14:paraId="0372F84F" w14:textId="77777777" w:rsidR="00197D39" w:rsidRDefault="00197D39">
      <w:pPr>
        <w:overflowPunct w:val="0"/>
        <w:autoSpaceDE w:val="0"/>
        <w:autoSpaceDN w:val="0"/>
        <w:adjustRightInd w:val="0"/>
        <w:spacing w:line="360" w:lineRule="auto"/>
        <w:rPr>
          <w:b/>
          <w:bCs/>
          <w:sz w:val="26"/>
          <w:szCs w:val="26"/>
          <w:rtl/>
        </w:rPr>
      </w:pPr>
    </w:p>
    <w:p w14:paraId="6CACA40C"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עם זאת, בהתחשב בדרך החיובית ובהליך השיקומי אותו עובר הנאשם, ניתן לקבוע את עונשו בחריגה לקולא ממתחם העונש ההולם, בהתחשב באפשרות של ממש לשיקומו. </w:t>
      </w:r>
    </w:p>
    <w:p w14:paraId="361E46CA" w14:textId="77777777" w:rsidR="00197D39" w:rsidRDefault="00197D39">
      <w:pPr>
        <w:overflowPunct w:val="0"/>
        <w:autoSpaceDE w:val="0"/>
        <w:autoSpaceDN w:val="0"/>
        <w:adjustRightInd w:val="0"/>
        <w:spacing w:line="360" w:lineRule="auto"/>
        <w:rPr>
          <w:b/>
          <w:bCs/>
          <w:sz w:val="26"/>
          <w:szCs w:val="26"/>
          <w:rtl/>
        </w:rPr>
      </w:pPr>
    </w:p>
    <w:p w14:paraId="428E728C"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אלא שלטעמי אותה חריגה אינה מגיעה כדי הימנעות מהטלת מאסר בפועל בכלל, אך ראיתי לנכון לקבל בעניינו של הנאשם חוות דעת הממונה על עבודות השירות, על מנת לשקול אפשרות להמיר את תקופת המאסר בפועל שתוטל עליו בדרך של עבודות שירות. </w:t>
      </w:r>
    </w:p>
    <w:p w14:paraId="6DCD436B" w14:textId="77777777" w:rsidR="00197D39" w:rsidRDefault="00197D39">
      <w:pPr>
        <w:overflowPunct w:val="0"/>
        <w:autoSpaceDE w:val="0"/>
        <w:autoSpaceDN w:val="0"/>
        <w:adjustRightInd w:val="0"/>
        <w:spacing w:line="360" w:lineRule="auto"/>
        <w:rPr>
          <w:b/>
          <w:bCs/>
          <w:sz w:val="26"/>
          <w:szCs w:val="26"/>
          <w:rtl/>
        </w:rPr>
      </w:pPr>
    </w:p>
    <w:p w14:paraId="76A0428C"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כאן עליי להדגיש שאף שהממונה מצא בסופו של דבר להמליץ לפנים משורת הדין על ריצוי המאסר בפועל בדרך של עבודות שירות, למדתי מחוות הדעת המסכמת של הממונה על עבודות השירות, כי נסיונות קודמים במסגרת זו, לא עמדו באופן מלא בדרישות הממונה. </w:t>
      </w:r>
    </w:p>
    <w:p w14:paraId="7D25FD9A" w14:textId="77777777" w:rsidR="00197D39" w:rsidRDefault="00197D39">
      <w:pPr>
        <w:overflowPunct w:val="0"/>
        <w:autoSpaceDE w:val="0"/>
        <w:autoSpaceDN w:val="0"/>
        <w:adjustRightInd w:val="0"/>
        <w:spacing w:line="360" w:lineRule="auto"/>
        <w:rPr>
          <w:b/>
          <w:bCs/>
          <w:sz w:val="26"/>
          <w:szCs w:val="26"/>
          <w:rtl/>
        </w:rPr>
      </w:pPr>
    </w:p>
    <w:p w14:paraId="357EE9D1" w14:textId="77777777" w:rsidR="00197D39" w:rsidRDefault="00782F75">
      <w:pPr>
        <w:overflowPunct w:val="0"/>
        <w:autoSpaceDE w:val="0"/>
        <w:autoSpaceDN w:val="0"/>
        <w:adjustRightInd w:val="0"/>
        <w:spacing w:line="360" w:lineRule="auto"/>
        <w:rPr>
          <w:b/>
          <w:bCs/>
          <w:sz w:val="26"/>
          <w:szCs w:val="26"/>
          <w:rtl/>
        </w:rPr>
      </w:pPr>
      <w:r>
        <w:rPr>
          <w:rFonts w:hint="cs"/>
          <w:b/>
          <w:bCs/>
          <w:sz w:val="26"/>
          <w:szCs w:val="26"/>
          <w:rtl/>
        </w:rPr>
        <w:t xml:space="preserve">מצאתי אם כן לנכון להזהיר את הנאשם עוד בטרם אגזור את דינו, שעליו לבצע את העבודות שהוטלו עליו במסגרת עבודות שירות, על פי הנחיות שתינתנה לו על ידי הממונה במקום, וכל הפרה שלהן כולל אי התייצבות או איחור תגרום להפסקה מנהלית של עבודות השירות ולריצוי העונש מאחורי סורג ובריח. </w:t>
      </w:r>
    </w:p>
    <w:p w14:paraId="60DCCDEA" w14:textId="77777777" w:rsidR="00197D39" w:rsidRDefault="00197D39">
      <w:pPr>
        <w:overflowPunct w:val="0"/>
        <w:autoSpaceDE w:val="0"/>
        <w:autoSpaceDN w:val="0"/>
        <w:adjustRightInd w:val="0"/>
        <w:spacing w:line="360" w:lineRule="auto"/>
        <w:rPr>
          <w:b/>
          <w:bCs/>
          <w:sz w:val="26"/>
          <w:szCs w:val="26"/>
          <w:rtl/>
        </w:rPr>
      </w:pPr>
    </w:p>
    <w:p w14:paraId="11D485CB" w14:textId="77777777" w:rsidR="00197D39" w:rsidRDefault="00782F75">
      <w:pPr>
        <w:overflowPunct w:val="0"/>
        <w:autoSpaceDE w:val="0"/>
        <w:autoSpaceDN w:val="0"/>
        <w:adjustRightInd w:val="0"/>
        <w:spacing w:line="360" w:lineRule="auto"/>
        <w:rPr>
          <w:b/>
          <w:bCs/>
          <w:sz w:val="26"/>
          <w:szCs w:val="26"/>
          <w:rtl/>
        </w:rPr>
      </w:pPr>
      <w:r>
        <w:rPr>
          <w:rFonts w:hint="eastAsia"/>
          <w:b/>
          <w:bCs/>
          <w:sz w:val="26"/>
          <w:szCs w:val="26"/>
          <w:rtl/>
        </w:rPr>
        <w:t>בשוקלי</w:t>
      </w:r>
      <w:r>
        <w:rPr>
          <w:b/>
          <w:bCs/>
          <w:sz w:val="26"/>
          <w:szCs w:val="26"/>
          <w:rtl/>
        </w:rPr>
        <w:t xml:space="preserve"> את נסיבות המקרה ואת טיעוני הצדדים, אני מטילה </w:t>
      </w:r>
      <w:r>
        <w:rPr>
          <w:rFonts w:hint="eastAsia"/>
          <w:b/>
          <w:bCs/>
          <w:sz w:val="26"/>
          <w:szCs w:val="26"/>
          <w:rtl/>
        </w:rPr>
        <w:t>על</w:t>
      </w:r>
      <w:r>
        <w:rPr>
          <w:b/>
          <w:bCs/>
          <w:sz w:val="26"/>
          <w:szCs w:val="26"/>
          <w:rtl/>
        </w:rPr>
        <w:t xml:space="preserve"> הנאשם את העונשים הבאים: </w:t>
      </w:r>
    </w:p>
    <w:p w14:paraId="211D72EC" w14:textId="77777777" w:rsidR="00197D39" w:rsidRDefault="00197D39">
      <w:pPr>
        <w:overflowPunct w:val="0"/>
        <w:autoSpaceDE w:val="0"/>
        <w:autoSpaceDN w:val="0"/>
        <w:adjustRightInd w:val="0"/>
        <w:spacing w:line="360" w:lineRule="auto"/>
        <w:rPr>
          <w:b/>
          <w:bCs/>
          <w:sz w:val="26"/>
          <w:szCs w:val="26"/>
          <w:rtl/>
        </w:rPr>
      </w:pPr>
    </w:p>
    <w:p w14:paraId="01CE87BA" w14:textId="77777777" w:rsidR="00197D39" w:rsidRDefault="00782F75">
      <w:pPr>
        <w:overflowPunct w:val="0"/>
        <w:autoSpaceDE w:val="0"/>
        <w:autoSpaceDN w:val="0"/>
        <w:adjustRightInd w:val="0"/>
        <w:spacing w:line="360" w:lineRule="auto"/>
        <w:ind w:left="720" w:hanging="720"/>
        <w:rPr>
          <w:b/>
          <w:bCs/>
          <w:sz w:val="26"/>
          <w:szCs w:val="26"/>
          <w:rtl/>
        </w:rPr>
      </w:pPr>
      <w:r>
        <w:rPr>
          <w:rFonts w:hint="cs"/>
          <w:b/>
          <w:bCs/>
          <w:sz w:val="26"/>
          <w:szCs w:val="26"/>
          <w:rtl/>
        </w:rPr>
        <w:t>1.</w:t>
      </w:r>
      <w:r>
        <w:rPr>
          <w:b/>
          <w:bCs/>
          <w:sz w:val="26"/>
          <w:szCs w:val="26"/>
          <w:rtl/>
        </w:rPr>
        <w:tab/>
      </w:r>
      <w:r>
        <w:rPr>
          <w:rFonts w:hint="eastAsia"/>
          <w:b/>
          <w:bCs/>
          <w:sz w:val="26"/>
          <w:szCs w:val="26"/>
          <w:rtl/>
        </w:rPr>
        <w:t>מאסר</w:t>
      </w:r>
      <w:r>
        <w:rPr>
          <w:b/>
          <w:bCs/>
          <w:sz w:val="26"/>
          <w:szCs w:val="26"/>
          <w:rtl/>
        </w:rPr>
        <w:t xml:space="preserve"> בפועל למשך </w:t>
      </w:r>
      <w:r>
        <w:rPr>
          <w:rFonts w:hint="cs"/>
          <w:b/>
          <w:bCs/>
          <w:sz w:val="26"/>
          <w:szCs w:val="26"/>
          <w:rtl/>
        </w:rPr>
        <w:t xml:space="preserve">5 חודשים בעבודות שירות בבית הזקנים קריית מנחם בירושלים, בהיקף של 5 ימים בשבוע, 8.5 שעות עבודה יומיות. </w:t>
      </w:r>
    </w:p>
    <w:p w14:paraId="6B39A2B0" w14:textId="77777777" w:rsidR="00197D39" w:rsidRDefault="00782F75">
      <w:pPr>
        <w:spacing w:line="360" w:lineRule="auto"/>
        <w:ind w:firstLine="720"/>
        <w:rPr>
          <w:b/>
          <w:bCs/>
          <w:sz w:val="28"/>
          <w:szCs w:val="26"/>
          <w:rtl/>
        </w:rPr>
      </w:pPr>
      <w:r>
        <w:rPr>
          <w:rFonts w:hint="cs"/>
          <w:b/>
          <w:bCs/>
          <w:sz w:val="28"/>
          <w:szCs w:val="26"/>
          <w:rtl/>
        </w:rPr>
        <w:t xml:space="preserve">תחילת בצוע עבודות השירות בתאריך 29.4.14. </w:t>
      </w:r>
    </w:p>
    <w:p w14:paraId="1D233C05" w14:textId="77777777" w:rsidR="00197D39" w:rsidRDefault="00782F75">
      <w:pPr>
        <w:spacing w:line="360" w:lineRule="auto"/>
        <w:ind w:left="720"/>
        <w:rPr>
          <w:b/>
          <w:bCs/>
          <w:sz w:val="28"/>
          <w:szCs w:val="26"/>
          <w:rtl/>
        </w:rPr>
      </w:pPr>
      <w:r>
        <w:rPr>
          <w:rFonts w:hint="cs"/>
          <w:b/>
          <w:bCs/>
          <w:sz w:val="28"/>
          <w:szCs w:val="26"/>
          <w:rtl/>
        </w:rPr>
        <w:t xml:space="preserve">במועד זה בשעה 8:00 יתייצב הנאשם בפני הממונה על עבודות השירות במפקדת מחוז דרום, לצורך קליטה והצבה. </w:t>
      </w:r>
    </w:p>
    <w:p w14:paraId="6BC23C98" w14:textId="77777777" w:rsidR="00197D39" w:rsidRDefault="00782F75">
      <w:pPr>
        <w:spacing w:line="360" w:lineRule="auto"/>
        <w:rPr>
          <w:b/>
          <w:bCs/>
          <w:sz w:val="28"/>
          <w:szCs w:val="26"/>
          <w:rtl/>
        </w:rPr>
      </w:pPr>
      <w:r>
        <w:rPr>
          <w:rFonts w:hint="cs"/>
          <w:b/>
          <w:bCs/>
          <w:sz w:val="28"/>
          <w:szCs w:val="26"/>
          <w:rtl/>
        </w:rPr>
        <w:t xml:space="preserve"> </w:t>
      </w:r>
    </w:p>
    <w:p w14:paraId="159B7694" w14:textId="77777777" w:rsidR="00197D39" w:rsidRDefault="00782F75">
      <w:pPr>
        <w:spacing w:line="360" w:lineRule="auto"/>
        <w:ind w:firstLine="720"/>
        <w:rPr>
          <w:b/>
          <w:bCs/>
          <w:sz w:val="36"/>
          <w:szCs w:val="34"/>
          <w:u w:val="single"/>
          <w:rtl/>
        </w:rPr>
      </w:pPr>
      <w:r>
        <w:rPr>
          <w:rFonts w:hint="cs"/>
          <w:b/>
          <w:bCs/>
          <w:sz w:val="36"/>
          <w:szCs w:val="34"/>
          <w:u w:val="single"/>
          <w:rtl/>
        </w:rPr>
        <w:t xml:space="preserve">המזכירות תעביר לממונה על עבודות השירות העתק החלטה זו. </w:t>
      </w:r>
    </w:p>
    <w:p w14:paraId="0820B9DA" w14:textId="77777777" w:rsidR="00197D39" w:rsidRDefault="00782F75">
      <w:pPr>
        <w:spacing w:line="360" w:lineRule="auto"/>
        <w:ind w:firstLine="720"/>
        <w:rPr>
          <w:b/>
          <w:bCs/>
          <w:sz w:val="28"/>
          <w:szCs w:val="26"/>
          <w:u w:val="single"/>
          <w:rtl/>
        </w:rPr>
      </w:pPr>
      <w:r>
        <w:rPr>
          <w:rFonts w:hint="cs"/>
          <w:b/>
          <w:bCs/>
          <w:sz w:val="28"/>
          <w:szCs w:val="26"/>
          <w:u w:val="single"/>
          <w:rtl/>
        </w:rPr>
        <w:t xml:space="preserve">הממונה ידווח לבית המשפט עם תום ביצוען של העבודות. </w:t>
      </w:r>
    </w:p>
    <w:p w14:paraId="6A868881" w14:textId="77777777" w:rsidR="00197D39" w:rsidRDefault="00782F75">
      <w:pPr>
        <w:spacing w:line="360" w:lineRule="auto"/>
        <w:ind w:firstLine="720"/>
        <w:rPr>
          <w:b/>
          <w:bCs/>
          <w:sz w:val="26"/>
          <w:szCs w:val="26"/>
          <w:rtl/>
        </w:rPr>
      </w:pPr>
      <w:r>
        <w:rPr>
          <w:rFonts w:hint="cs"/>
          <w:b/>
          <w:bCs/>
          <w:sz w:val="26"/>
          <w:szCs w:val="26"/>
          <w:rtl/>
        </w:rPr>
        <w:t xml:space="preserve">מודע בזאת לנאשם כי במקום נערכת ביקורת. </w:t>
      </w:r>
    </w:p>
    <w:p w14:paraId="462FB26D" w14:textId="77777777" w:rsidR="00197D39" w:rsidRDefault="00782F75">
      <w:pPr>
        <w:spacing w:line="360" w:lineRule="auto"/>
        <w:ind w:left="720"/>
        <w:rPr>
          <w:b/>
          <w:bCs/>
          <w:sz w:val="26"/>
          <w:szCs w:val="26"/>
        </w:rPr>
      </w:pPr>
      <w:r>
        <w:rPr>
          <w:rFonts w:hint="cs"/>
          <w:b/>
          <w:bCs/>
          <w:sz w:val="26"/>
          <w:szCs w:val="26"/>
          <w:rtl/>
        </w:rPr>
        <w:t xml:space="preserve">אי עמידה בביקורת עלולה להביא להפסקת עבודות השירות והמרתן במתקן כליאה. אם ישנה הנאשם את כתובתו, עליו להודיע על כך לממונה על עבודות השירות. </w:t>
      </w:r>
    </w:p>
    <w:p w14:paraId="2EDCD937" w14:textId="77777777" w:rsidR="00197D39" w:rsidRDefault="00197D39">
      <w:pPr>
        <w:spacing w:line="360" w:lineRule="auto"/>
        <w:rPr>
          <w:b/>
          <w:bCs/>
          <w:sz w:val="28"/>
          <w:szCs w:val="26"/>
          <w:rtl/>
        </w:rPr>
      </w:pPr>
    </w:p>
    <w:p w14:paraId="6985CFBF" w14:textId="77777777" w:rsidR="00197D39" w:rsidRDefault="00782F75">
      <w:pPr>
        <w:overflowPunct w:val="0"/>
        <w:autoSpaceDE w:val="0"/>
        <w:autoSpaceDN w:val="0"/>
        <w:adjustRightInd w:val="0"/>
        <w:spacing w:line="360" w:lineRule="auto"/>
        <w:ind w:left="720" w:hanging="720"/>
        <w:rPr>
          <w:b/>
          <w:bCs/>
          <w:sz w:val="26"/>
          <w:szCs w:val="26"/>
          <w:rtl/>
        </w:rPr>
      </w:pPr>
      <w:r>
        <w:rPr>
          <w:rFonts w:hint="cs"/>
          <w:b/>
          <w:bCs/>
          <w:sz w:val="26"/>
          <w:szCs w:val="26"/>
          <w:rtl/>
        </w:rPr>
        <w:t>2.</w:t>
      </w:r>
      <w:r>
        <w:rPr>
          <w:b/>
          <w:bCs/>
          <w:sz w:val="26"/>
          <w:szCs w:val="26"/>
          <w:rtl/>
        </w:rPr>
        <w:tab/>
      </w:r>
      <w:r>
        <w:rPr>
          <w:rFonts w:hint="eastAsia"/>
          <w:b/>
          <w:bCs/>
          <w:sz w:val="26"/>
          <w:szCs w:val="26"/>
          <w:rtl/>
        </w:rPr>
        <w:t>מאסר</w:t>
      </w:r>
      <w:r>
        <w:rPr>
          <w:b/>
          <w:bCs/>
          <w:sz w:val="26"/>
          <w:szCs w:val="26"/>
          <w:rtl/>
        </w:rPr>
        <w:t xml:space="preserve"> על תנאי למשך </w:t>
      </w:r>
      <w:r>
        <w:rPr>
          <w:rFonts w:hint="cs"/>
          <w:b/>
          <w:bCs/>
          <w:sz w:val="26"/>
          <w:szCs w:val="26"/>
          <w:rtl/>
        </w:rPr>
        <w:t xml:space="preserve">6 חודשים </w:t>
      </w:r>
      <w:r>
        <w:rPr>
          <w:rFonts w:hint="eastAsia"/>
          <w:b/>
          <w:bCs/>
          <w:sz w:val="26"/>
          <w:szCs w:val="26"/>
          <w:rtl/>
        </w:rPr>
        <w:t>והתנאי</w:t>
      </w:r>
      <w:r>
        <w:rPr>
          <w:b/>
          <w:bCs/>
          <w:sz w:val="26"/>
          <w:szCs w:val="26"/>
          <w:rtl/>
        </w:rPr>
        <w:t xml:space="preserve"> הוא שהנאשם לא יעבור את העביר</w:t>
      </w:r>
      <w:r>
        <w:rPr>
          <w:rFonts w:hint="cs"/>
          <w:b/>
          <w:bCs/>
          <w:sz w:val="26"/>
          <w:szCs w:val="26"/>
          <w:rtl/>
        </w:rPr>
        <w:t>ה</w:t>
      </w:r>
      <w:r>
        <w:rPr>
          <w:b/>
          <w:bCs/>
          <w:sz w:val="26"/>
          <w:szCs w:val="26"/>
          <w:rtl/>
        </w:rPr>
        <w:t xml:space="preserve">  </w:t>
      </w:r>
      <w:r>
        <w:rPr>
          <w:rFonts w:hint="eastAsia"/>
          <w:b/>
          <w:bCs/>
          <w:sz w:val="26"/>
          <w:szCs w:val="26"/>
          <w:rtl/>
        </w:rPr>
        <w:t>בה</w:t>
      </w:r>
      <w:r>
        <w:rPr>
          <w:b/>
          <w:bCs/>
          <w:sz w:val="26"/>
          <w:szCs w:val="26"/>
          <w:rtl/>
        </w:rPr>
        <w:t xml:space="preserve"> הורשע  </w:t>
      </w:r>
      <w:r>
        <w:rPr>
          <w:rFonts w:hint="eastAsia"/>
          <w:b/>
          <w:bCs/>
          <w:sz w:val="26"/>
          <w:szCs w:val="26"/>
          <w:rtl/>
        </w:rPr>
        <w:t>במשך</w:t>
      </w:r>
      <w:r>
        <w:rPr>
          <w:b/>
          <w:bCs/>
          <w:sz w:val="26"/>
          <w:szCs w:val="26"/>
          <w:rtl/>
        </w:rPr>
        <w:t xml:space="preserve"> </w:t>
      </w:r>
      <w:r>
        <w:rPr>
          <w:rFonts w:hint="cs"/>
          <w:b/>
          <w:bCs/>
          <w:sz w:val="26"/>
          <w:szCs w:val="26"/>
          <w:rtl/>
        </w:rPr>
        <w:t xml:space="preserve">3 </w:t>
      </w:r>
      <w:r>
        <w:rPr>
          <w:rFonts w:hint="eastAsia"/>
          <w:b/>
          <w:bCs/>
          <w:sz w:val="26"/>
          <w:szCs w:val="26"/>
          <w:rtl/>
        </w:rPr>
        <w:t>שנים</w:t>
      </w:r>
      <w:r>
        <w:rPr>
          <w:b/>
          <w:bCs/>
          <w:sz w:val="26"/>
          <w:szCs w:val="26"/>
          <w:rtl/>
        </w:rPr>
        <w:t xml:space="preserve"> מהיום. </w:t>
      </w:r>
    </w:p>
    <w:p w14:paraId="4D7FB824" w14:textId="77777777" w:rsidR="00197D39" w:rsidRDefault="00197D39">
      <w:pPr>
        <w:overflowPunct w:val="0"/>
        <w:autoSpaceDE w:val="0"/>
        <w:autoSpaceDN w:val="0"/>
        <w:adjustRightInd w:val="0"/>
        <w:spacing w:line="360" w:lineRule="auto"/>
        <w:ind w:left="720" w:hanging="720"/>
        <w:rPr>
          <w:b/>
          <w:bCs/>
          <w:sz w:val="26"/>
          <w:szCs w:val="26"/>
          <w:rtl/>
        </w:rPr>
      </w:pPr>
    </w:p>
    <w:p w14:paraId="37C80A2E" w14:textId="77777777" w:rsidR="00197D39" w:rsidRDefault="00782F75">
      <w:pPr>
        <w:overflowPunct w:val="0"/>
        <w:autoSpaceDE w:val="0"/>
        <w:autoSpaceDN w:val="0"/>
        <w:adjustRightInd w:val="0"/>
        <w:spacing w:line="360" w:lineRule="auto"/>
        <w:ind w:left="720" w:hanging="720"/>
        <w:rPr>
          <w:b/>
          <w:bCs/>
          <w:sz w:val="26"/>
          <w:szCs w:val="26"/>
          <w:rtl/>
        </w:rPr>
      </w:pPr>
      <w:r>
        <w:rPr>
          <w:rFonts w:hint="cs"/>
          <w:b/>
          <w:bCs/>
          <w:sz w:val="26"/>
          <w:szCs w:val="26"/>
          <w:rtl/>
        </w:rPr>
        <w:t>3.</w:t>
      </w:r>
      <w:r>
        <w:rPr>
          <w:b/>
          <w:bCs/>
          <w:sz w:val="26"/>
          <w:szCs w:val="26"/>
          <w:rtl/>
        </w:rPr>
        <w:tab/>
      </w:r>
      <w:r>
        <w:rPr>
          <w:rFonts w:hint="eastAsia"/>
          <w:b/>
          <w:bCs/>
          <w:sz w:val="26"/>
          <w:szCs w:val="26"/>
          <w:rtl/>
        </w:rPr>
        <w:t>הנאשם</w:t>
      </w:r>
      <w:r>
        <w:rPr>
          <w:b/>
          <w:bCs/>
          <w:sz w:val="26"/>
          <w:szCs w:val="26"/>
          <w:rtl/>
        </w:rPr>
        <w:t xml:space="preserve"> ישלם קנס בסך </w:t>
      </w:r>
      <w:r>
        <w:rPr>
          <w:rFonts w:hint="cs"/>
          <w:b/>
          <w:bCs/>
          <w:sz w:val="26"/>
          <w:szCs w:val="26"/>
          <w:rtl/>
        </w:rPr>
        <w:t xml:space="preserve">2000 </w:t>
      </w:r>
      <w:r>
        <w:rPr>
          <w:rFonts w:hint="eastAsia"/>
          <w:b/>
          <w:bCs/>
          <w:sz w:val="26"/>
          <w:szCs w:val="26"/>
          <w:rtl/>
        </w:rPr>
        <w:t>ש</w:t>
      </w:r>
      <w:r>
        <w:rPr>
          <w:b/>
          <w:bCs/>
          <w:sz w:val="26"/>
          <w:szCs w:val="26"/>
          <w:rtl/>
        </w:rPr>
        <w:t>"</w:t>
      </w:r>
      <w:r>
        <w:rPr>
          <w:rFonts w:hint="eastAsia"/>
          <w:b/>
          <w:bCs/>
          <w:sz w:val="26"/>
          <w:szCs w:val="26"/>
          <w:rtl/>
        </w:rPr>
        <w:t>ח</w:t>
      </w:r>
      <w:r>
        <w:rPr>
          <w:b/>
          <w:bCs/>
          <w:sz w:val="26"/>
          <w:szCs w:val="26"/>
          <w:rtl/>
        </w:rPr>
        <w:t xml:space="preserve"> או </w:t>
      </w:r>
      <w:r>
        <w:rPr>
          <w:rFonts w:hint="cs"/>
          <w:b/>
          <w:bCs/>
          <w:sz w:val="26"/>
          <w:szCs w:val="26"/>
          <w:rtl/>
        </w:rPr>
        <w:t xml:space="preserve">30 </w:t>
      </w:r>
      <w:r>
        <w:rPr>
          <w:rFonts w:hint="eastAsia"/>
          <w:b/>
          <w:bCs/>
          <w:sz w:val="26"/>
          <w:szCs w:val="26"/>
          <w:rtl/>
        </w:rPr>
        <w:t>ימי</w:t>
      </w:r>
      <w:r>
        <w:rPr>
          <w:b/>
          <w:bCs/>
          <w:sz w:val="26"/>
          <w:szCs w:val="26"/>
          <w:rtl/>
        </w:rPr>
        <w:t xml:space="preserve"> מאסר  </w:t>
      </w:r>
      <w:r>
        <w:rPr>
          <w:rFonts w:hint="eastAsia"/>
          <w:b/>
          <w:bCs/>
          <w:sz w:val="26"/>
          <w:szCs w:val="26"/>
          <w:rtl/>
        </w:rPr>
        <w:t>תמורתו</w:t>
      </w:r>
      <w:r>
        <w:rPr>
          <w:b/>
          <w:bCs/>
          <w:sz w:val="26"/>
          <w:szCs w:val="26"/>
          <w:rtl/>
        </w:rPr>
        <w:t xml:space="preserve">. </w:t>
      </w:r>
    </w:p>
    <w:p w14:paraId="103B5D08" w14:textId="77777777" w:rsidR="00197D39" w:rsidRDefault="00782F75">
      <w:pPr>
        <w:spacing w:line="360" w:lineRule="auto"/>
        <w:ind w:left="720"/>
        <w:rPr>
          <w:b/>
          <w:bCs/>
          <w:sz w:val="26"/>
          <w:szCs w:val="26"/>
          <w:rtl/>
        </w:rPr>
      </w:pPr>
      <w:r>
        <w:rPr>
          <w:rFonts w:hint="eastAsia"/>
          <w:b/>
          <w:bCs/>
          <w:sz w:val="26"/>
          <w:szCs w:val="26"/>
          <w:rtl/>
        </w:rPr>
        <w:t>הקנס</w:t>
      </w:r>
      <w:r>
        <w:rPr>
          <w:b/>
          <w:bCs/>
          <w:sz w:val="26"/>
          <w:szCs w:val="26"/>
          <w:rtl/>
        </w:rPr>
        <w:t xml:space="preserve"> </w:t>
      </w:r>
      <w:r>
        <w:rPr>
          <w:rFonts w:hint="eastAsia"/>
          <w:b/>
          <w:bCs/>
          <w:sz w:val="26"/>
          <w:szCs w:val="26"/>
          <w:rtl/>
        </w:rPr>
        <w:t>ישולם</w:t>
      </w:r>
      <w:r>
        <w:rPr>
          <w:b/>
          <w:bCs/>
          <w:sz w:val="26"/>
          <w:szCs w:val="26"/>
          <w:rtl/>
        </w:rPr>
        <w:t xml:space="preserve"> </w:t>
      </w:r>
      <w:r>
        <w:rPr>
          <w:rFonts w:hint="cs"/>
          <w:b/>
          <w:bCs/>
          <w:sz w:val="26"/>
          <w:szCs w:val="26"/>
          <w:rtl/>
        </w:rPr>
        <w:t xml:space="preserve">ב-5 תשלומים שווים ורצופים בסך 400 ₪ כ"א, החל בתאריך 15.2.14 ובכל 15 בחודש שלאחריו. </w:t>
      </w:r>
    </w:p>
    <w:p w14:paraId="506CB8F9" w14:textId="77777777" w:rsidR="00197D39" w:rsidRDefault="00782F75">
      <w:pPr>
        <w:overflowPunct w:val="0"/>
        <w:autoSpaceDE w:val="0"/>
        <w:autoSpaceDN w:val="0"/>
        <w:adjustRightInd w:val="0"/>
        <w:spacing w:line="360" w:lineRule="auto"/>
        <w:ind w:left="1440" w:hanging="720"/>
        <w:rPr>
          <w:b/>
          <w:bCs/>
          <w:sz w:val="28"/>
          <w:szCs w:val="26"/>
          <w:rtl/>
        </w:rPr>
      </w:pPr>
      <w:r>
        <w:rPr>
          <w:rFonts w:hint="cs"/>
          <w:b/>
          <w:bCs/>
          <w:sz w:val="28"/>
          <w:szCs w:val="26"/>
          <w:rtl/>
        </w:rPr>
        <w:t>אי עמידה באחד התשלומים תביא לפרעון מיידי של הקנס כולו.</w:t>
      </w:r>
    </w:p>
    <w:p w14:paraId="760103B7" w14:textId="77777777" w:rsidR="00197D39" w:rsidRDefault="00197D39">
      <w:pPr>
        <w:overflowPunct w:val="0"/>
        <w:autoSpaceDE w:val="0"/>
        <w:autoSpaceDN w:val="0"/>
        <w:adjustRightInd w:val="0"/>
        <w:spacing w:line="360" w:lineRule="auto"/>
        <w:rPr>
          <w:b/>
          <w:bCs/>
          <w:sz w:val="26"/>
          <w:szCs w:val="26"/>
          <w:rtl/>
        </w:rPr>
      </w:pPr>
    </w:p>
    <w:p w14:paraId="1FF88CD4" w14:textId="77777777" w:rsidR="00197D39" w:rsidRDefault="00782F75">
      <w:pPr>
        <w:spacing w:line="360" w:lineRule="auto"/>
        <w:rPr>
          <w:b/>
          <w:bCs/>
          <w:szCs w:val="26"/>
          <w:rtl/>
        </w:rPr>
      </w:pPr>
      <w:r>
        <w:rPr>
          <w:rFonts w:hint="cs"/>
          <w:b/>
          <w:bCs/>
          <w:sz w:val="26"/>
          <w:szCs w:val="26"/>
          <w:rtl/>
        </w:rPr>
        <w:t>4.</w:t>
      </w:r>
      <w:r>
        <w:rPr>
          <w:rFonts w:hint="cs"/>
          <w:b/>
          <w:bCs/>
          <w:szCs w:val="26"/>
          <w:rtl/>
        </w:rPr>
        <w:t xml:space="preserve">  </w:t>
      </w:r>
      <w:r>
        <w:rPr>
          <w:rFonts w:hint="cs"/>
          <w:b/>
          <w:bCs/>
          <w:szCs w:val="26"/>
          <w:rtl/>
        </w:rPr>
        <w:tab/>
        <w:t xml:space="preserve">ניתן בזה צו מבחן למשך שנה מהיום. </w:t>
      </w:r>
    </w:p>
    <w:p w14:paraId="1D3F528C" w14:textId="77777777" w:rsidR="00197D39" w:rsidRDefault="00782F75">
      <w:pPr>
        <w:spacing w:line="360" w:lineRule="auto"/>
        <w:ind w:left="720"/>
        <w:rPr>
          <w:b/>
          <w:bCs/>
          <w:sz w:val="26"/>
          <w:szCs w:val="26"/>
          <w:rtl/>
        </w:rPr>
      </w:pPr>
      <w:r>
        <w:rPr>
          <w:rFonts w:hint="cs"/>
          <w:b/>
          <w:bCs/>
          <w:sz w:val="26"/>
          <w:szCs w:val="26"/>
          <w:rtl/>
        </w:rPr>
        <w:t>הנאשם מוזהר שאם לא ימלא אחר הצו מכל בחינה שהיא או יעבור עבירה נוספת, יהיה צפוי לעונש על העבירה שבגללה ניתן הצו.</w:t>
      </w:r>
    </w:p>
    <w:p w14:paraId="214E7ACF" w14:textId="77777777" w:rsidR="00197D39" w:rsidRDefault="00782F75">
      <w:pPr>
        <w:spacing w:line="360" w:lineRule="auto"/>
        <w:ind w:left="720"/>
        <w:rPr>
          <w:b/>
          <w:bCs/>
          <w:szCs w:val="26"/>
          <w:rtl/>
        </w:rPr>
      </w:pPr>
      <w:r>
        <w:rPr>
          <w:rFonts w:hint="cs"/>
          <w:b/>
          <w:bCs/>
          <w:szCs w:val="26"/>
          <w:rtl/>
        </w:rPr>
        <w:t xml:space="preserve">המזכירות תמציא עותק מגזר הדין לשירות המבחן, שיגיש לבית המשפט דו"ח ביניים בתום ששת חודשי המבחן הראשונים. </w:t>
      </w:r>
    </w:p>
    <w:p w14:paraId="5ACA28A5" w14:textId="77777777" w:rsidR="00197D39" w:rsidRDefault="00197D39">
      <w:pPr>
        <w:spacing w:line="360" w:lineRule="auto"/>
        <w:ind w:left="720"/>
        <w:rPr>
          <w:b/>
          <w:bCs/>
          <w:szCs w:val="26"/>
          <w:rtl/>
        </w:rPr>
      </w:pPr>
    </w:p>
    <w:p w14:paraId="18862CCB" w14:textId="77777777" w:rsidR="00197D39" w:rsidRDefault="00782F75">
      <w:pPr>
        <w:pStyle w:val="a7"/>
        <w:spacing w:line="360" w:lineRule="auto"/>
        <w:rPr>
          <w:b/>
          <w:sz w:val="26"/>
          <w:szCs w:val="26"/>
          <w:rtl/>
        </w:rPr>
      </w:pPr>
      <w:r>
        <w:rPr>
          <w:rFonts w:hint="cs"/>
          <w:b/>
          <w:sz w:val="26"/>
          <w:szCs w:val="26"/>
          <w:rtl/>
        </w:rPr>
        <w:t xml:space="preserve">הרכוש שנתפס יוחזר לבעליו ובהיעדר בעלים יחולט לטובת אוצר המדינה או יושמד. </w:t>
      </w:r>
    </w:p>
    <w:p w14:paraId="6E711BF8" w14:textId="77777777" w:rsidR="00197D39" w:rsidRDefault="00782F75">
      <w:pPr>
        <w:spacing w:line="360" w:lineRule="auto"/>
        <w:rPr>
          <w:b/>
          <w:sz w:val="26"/>
          <w:szCs w:val="26"/>
          <w:rtl/>
        </w:rPr>
      </w:pPr>
      <w:r>
        <w:rPr>
          <w:rFonts w:hint="cs"/>
          <w:b/>
          <w:bCs/>
          <w:szCs w:val="26"/>
          <w:rtl/>
        </w:rPr>
        <w:t xml:space="preserve">  </w:t>
      </w:r>
    </w:p>
    <w:p w14:paraId="044AEA17" w14:textId="77777777" w:rsidR="00197D39" w:rsidRDefault="00782F75">
      <w:pPr>
        <w:pStyle w:val="a7"/>
        <w:spacing w:line="360" w:lineRule="auto"/>
        <w:rPr>
          <w:b/>
          <w:sz w:val="26"/>
          <w:szCs w:val="26"/>
          <w:rtl/>
        </w:rPr>
      </w:pPr>
      <w:r>
        <w:rPr>
          <w:rFonts w:hint="eastAsia"/>
          <w:b/>
          <w:sz w:val="26"/>
          <w:szCs w:val="26"/>
          <w:rtl/>
        </w:rPr>
        <w:t>זכות</w:t>
      </w:r>
      <w:r>
        <w:rPr>
          <w:b/>
          <w:sz w:val="26"/>
          <w:szCs w:val="26"/>
          <w:rtl/>
        </w:rPr>
        <w:t xml:space="preserve"> ערעור תוך 45 יום. </w:t>
      </w:r>
    </w:p>
    <w:p w14:paraId="49032489" w14:textId="77777777" w:rsidR="00197D39" w:rsidRDefault="00782F75">
      <w:pPr>
        <w:spacing w:line="360" w:lineRule="auto"/>
        <w:rPr>
          <w:b/>
          <w:bCs/>
          <w:sz w:val="6"/>
          <w:szCs w:val="6"/>
          <w:rtl/>
        </w:rPr>
      </w:pPr>
      <w:r>
        <w:rPr>
          <w:b/>
          <w:bCs/>
          <w:sz w:val="6"/>
          <w:szCs w:val="6"/>
          <w:rtl/>
        </w:rPr>
        <w:t>&lt;#5#&gt;</w:t>
      </w:r>
    </w:p>
    <w:p w14:paraId="189D6DBE" w14:textId="77777777" w:rsidR="00197D39" w:rsidRPr="00782F75" w:rsidRDefault="00782F75">
      <w:pPr>
        <w:jc w:val="right"/>
        <w:rPr>
          <w:color w:val="FFFFFF"/>
          <w:sz w:val="2"/>
          <w:szCs w:val="2"/>
          <w:rtl/>
        </w:rPr>
      </w:pPr>
      <w:r w:rsidRPr="00782F75">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97D39" w14:paraId="3A69825B" w14:textId="77777777">
        <w:trPr>
          <w:trHeight w:val="364"/>
          <w:jc w:val="right"/>
        </w:trPr>
        <w:tc>
          <w:tcPr>
            <w:tcW w:w="3708" w:type="dxa"/>
          </w:tcPr>
          <w:p w14:paraId="6A87E0EC" w14:textId="77777777" w:rsidR="00197D39" w:rsidRDefault="00782F75">
            <w:pPr>
              <w:jc w:val="center"/>
              <w:rPr>
                <w:rFonts w:ascii="Times New Roman" w:eastAsia="Times New Roman" w:hAnsi="Times New Roman" w:cs="Times New Roman"/>
              </w:rPr>
            </w:pPr>
            <w:r w:rsidRPr="00782F75">
              <w:rPr>
                <w:b/>
                <w:bCs/>
                <w:color w:val="FFFFFF"/>
                <w:sz w:val="2"/>
                <w:szCs w:val="2"/>
                <w:rtl/>
              </w:rPr>
              <w:t>54678313</w:t>
            </w:r>
            <w:r>
              <w:rPr>
                <w:b/>
                <w:bCs/>
                <w:rtl/>
              </w:rPr>
              <w:t xml:space="preserve">ניתנה והודעה היום ו' שבט תשע"ד, 07/01/2014 במעמד הנוכחים. </w:t>
            </w:r>
          </w:p>
          <w:p w14:paraId="79CCA1D6" w14:textId="77777777" w:rsidR="00197D39" w:rsidRDefault="00197D39">
            <w:pPr>
              <w:jc w:val="center"/>
              <w:rPr>
                <w:rFonts w:ascii="Times New Roman" w:eastAsia="Times New Roman" w:hAnsi="Times New Roman" w:cs="Times New Roman"/>
                <w:rtl/>
              </w:rPr>
            </w:pPr>
          </w:p>
        </w:tc>
      </w:tr>
      <w:tr w:rsidR="00197D39" w14:paraId="2399D51F" w14:textId="77777777">
        <w:trPr>
          <w:trHeight w:val="415"/>
          <w:jc w:val="right"/>
        </w:trPr>
        <w:tc>
          <w:tcPr>
            <w:tcW w:w="3708" w:type="dxa"/>
          </w:tcPr>
          <w:p w14:paraId="7CBAC162" w14:textId="77777777" w:rsidR="00197D39" w:rsidRDefault="00782F75">
            <w:pPr>
              <w:jc w:val="center"/>
              <w:rPr>
                <w:rFonts w:ascii="Times New Roman" w:eastAsia="Times New Roman" w:hAnsi="Times New Roman"/>
                <w:b/>
                <w:bCs/>
                <w:rtl/>
              </w:rPr>
            </w:pPr>
            <w:r>
              <w:rPr>
                <w:rFonts w:ascii="Times New Roman" w:eastAsia="Times New Roman" w:hAnsi="Times New Roman" w:hint="cs"/>
                <w:rtl/>
              </w:rPr>
              <w:t>הדסה</w:t>
            </w:r>
            <w:r>
              <w:rPr>
                <w:rFonts w:ascii="Times New Roman" w:eastAsia="Times New Roman" w:hAnsi="Times New Roman" w:hint="cs"/>
                <w:b/>
                <w:bCs/>
                <w:rtl/>
              </w:rPr>
              <w:t xml:space="preserve"> </w:t>
            </w:r>
            <w:r>
              <w:rPr>
                <w:rFonts w:ascii="Times New Roman" w:eastAsia="Times New Roman" w:hAnsi="Times New Roman" w:hint="cs"/>
                <w:rtl/>
              </w:rPr>
              <w:t>נאור</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5F91DE4D" w14:textId="77777777" w:rsidR="00197D39" w:rsidRDefault="00782F75">
      <w:pPr>
        <w:rPr>
          <w:rtl/>
        </w:rPr>
      </w:pPr>
      <w:r>
        <w:rPr>
          <w:rFonts w:hint="cs"/>
          <w:rtl/>
        </w:rPr>
        <w:t>אליה</w:t>
      </w:r>
      <w:bookmarkStart w:id="6" w:name="_GoBack"/>
      <w:bookmarkEnd w:id="6"/>
    </w:p>
    <w:p w14:paraId="7A0A1A38" w14:textId="77777777" w:rsidR="00782F75" w:rsidRPr="00782F75" w:rsidRDefault="00782F75" w:rsidP="00782F75">
      <w:pPr>
        <w:keepNext/>
        <w:rPr>
          <w:color w:val="000000"/>
          <w:sz w:val="22"/>
          <w:szCs w:val="22"/>
          <w:rtl/>
        </w:rPr>
      </w:pPr>
    </w:p>
    <w:p w14:paraId="709CC5E9" w14:textId="77777777" w:rsidR="00782F75" w:rsidRPr="00782F75" w:rsidRDefault="00782F75" w:rsidP="00782F75">
      <w:pPr>
        <w:keepNext/>
        <w:rPr>
          <w:color w:val="000000"/>
          <w:sz w:val="22"/>
          <w:szCs w:val="22"/>
          <w:rtl/>
        </w:rPr>
      </w:pPr>
      <w:r w:rsidRPr="00782F75">
        <w:rPr>
          <w:color w:val="000000"/>
          <w:sz w:val="22"/>
          <w:szCs w:val="22"/>
          <w:rtl/>
        </w:rPr>
        <w:t>הדסה נאור 54678313</w:t>
      </w:r>
    </w:p>
    <w:p w14:paraId="49616751" w14:textId="77777777" w:rsidR="00782F75" w:rsidRDefault="00782F75" w:rsidP="00782F75">
      <w:r w:rsidRPr="00782F75">
        <w:rPr>
          <w:color w:val="000000"/>
          <w:rtl/>
        </w:rPr>
        <w:t>נוסח מסמך זה כפוף לשינויי ניסוח ועריכה</w:t>
      </w:r>
    </w:p>
    <w:p w14:paraId="38C56904" w14:textId="77777777" w:rsidR="00782F75" w:rsidRDefault="00782F75" w:rsidP="00782F75">
      <w:pPr>
        <w:rPr>
          <w:rtl/>
        </w:rPr>
      </w:pPr>
    </w:p>
    <w:p w14:paraId="085A8916" w14:textId="77777777" w:rsidR="00782F75" w:rsidRDefault="00782F75" w:rsidP="00782F75">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1449C12D" w14:textId="77777777" w:rsidR="00197D39" w:rsidRPr="00782F75" w:rsidRDefault="00197D39" w:rsidP="00782F75">
      <w:pPr>
        <w:jc w:val="center"/>
        <w:rPr>
          <w:color w:val="0000FF"/>
          <w:u w:val="single"/>
        </w:rPr>
      </w:pPr>
    </w:p>
    <w:sectPr w:rsidR="00197D39" w:rsidRPr="00782F75" w:rsidSect="00782F75">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C015F" w14:textId="77777777" w:rsidR="00263594" w:rsidRPr="00F219C4" w:rsidRDefault="00263594">
      <w:pPr>
        <w:rPr>
          <w:rFonts w:cs="Arial"/>
          <w:szCs w:val="20"/>
        </w:rPr>
      </w:pPr>
      <w:r>
        <w:separator/>
      </w:r>
    </w:p>
  </w:endnote>
  <w:endnote w:type="continuationSeparator" w:id="0">
    <w:p w14:paraId="5C5B57B2" w14:textId="77777777" w:rsidR="00263594" w:rsidRPr="00F219C4" w:rsidRDefault="0026359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9412C" w14:textId="77777777" w:rsidR="00782F75" w:rsidRDefault="00782F75" w:rsidP="00782F7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251617AB" w14:textId="77777777" w:rsidR="00197D39" w:rsidRPr="00782F75" w:rsidRDefault="00782F75" w:rsidP="00782F75">
    <w:pPr>
      <w:pStyle w:val="a4"/>
      <w:pBdr>
        <w:top w:val="single" w:sz="4" w:space="1" w:color="auto"/>
        <w:between w:val="single" w:sz="4" w:space="0" w:color="auto"/>
      </w:pBdr>
      <w:spacing w:after="60"/>
      <w:jc w:val="center"/>
      <w:rPr>
        <w:rFonts w:ascii="FrankRuehl" w:hAnsi="FrankRuehl" w:cs="FrankRuehl"/>
        <w:color w:val="000000"/>
      </w:rPr>
    </w:pPr>
    <w:r w:rsidRPr="00782F7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9C6A4" w14:textId="77777777" w:rsidR="00782F75" w:rsidRDefault="00782F75" w:rsidP="00782F7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C44A4">
      <w:rPr>
        <w:rFonts w:ascii="FrankRuehl" w:hAnsi="FrankRuehl" w:cs="FrankRuehl"/>
        <w:noProof/>
        <w:rtl/>
      </w:rPr>
      <w:t>1</w:t>
    </w:r>
    <w:r>
      <w:rPr>
        <w:rFonts w:ascii="FrankRuehl" w:hAnsi="FrankRuehl" w:cs="FrankRuehl"/>
        <w:rtl/>
      </w:rPr>
      <w:fldChar w:fldCharType="end"/>
    </w:r>
  </w:p>
  <w:p w14:paraId="6C4655A5" w14:textId="77777777" w:rsidR="00197D39" w:rsidRPr="00782F75" w:rsidRDefault="00782F75" w:rsidP="00782F75">
    <w:pPr>
      <w:pStyle w:val="a4"/>
      <w:pBdr>
        <w:top w:val="single" w:sz="4" w:space="1" w:color="auto"/>
        <w:between w:val="single" w:sz="4" w:space="0" w:color="auto"/>
      </w:pBdr>
      <w:spacing w:after="60"/>
      <w:jc w:val="center"/>
      <w:rPr>
        <w:rFonts w:ascii="FrankRuehl" w:hAnsi="FrankRuehl" w:cs="FrankRuehl"/>
        <w:color w:val="000000"/>
      </w:rPr>
    </w:pPr>
    <w:r w:rsidRPr="00782F75">
      <w:rPr>
        <w:rFonts w:ascii="FrankRuehl" w:hAnsi="FrankRuehl" w:cs="FrankRuehl"/>
        <w:color w:val="000000"/>
      </w:rPr>
      <w:pict w14:anchorId="4A385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A33E8" w14:textId="77777777" w:rsidR="00263594" w:rsidRPr="00F219C4" w:rsidRDefault="00263594">
      <w:pPr>
        <w:rPr>
          <w:rFonts w:cs="Arial"/>
          <w:szCs w:val="20"/>
        </w:rPr>
      </w:pPr>
      <w:r>
        <w:separator/>
      </w:r>
    </w:p>
  </w:footnote>
  <w:footnote w:type="continuationSeparator" w:id="0">
    <w:p w14:paraId="45F7D84D" w14:textId="77777777" w:rsidR="00263594" w:rsidRPr="00F219C4" w:rsidRDefault="0026359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F28B6" w14:textId="77777777" w:rsidR="00782F75" w:rsidRPr="00782F75" w:rsidRDefault="00782F75" w:rsidP="00782F7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9665-12-11</w:t>
    </w:r>
    <w:r>
      <w:rPr>
        <w:color w:val="000000"/>
        <w:sz w:val="22"/>
        <w:szCs w:val="22"/>
        <w:rtl/>
      </w:rPr>
      <w:tab/>
      <w:t xml:space="preserve"> מדינת ישראל נ' טארק דוויאת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12303" w14:textId="77777777" w:rsidR="00782F75" w:rsidRPr="00782F75" w:rsidRDefault="00782F75" w:rsidP="00782F7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9665-12-11</w:t>
    </w:r>
    <w:r>
      <w:rPr>
        <w:color w:val="000000"/>
        <w:sz w:val="22"/>
        <w:szCs w:val="22"/>
        <w:rtl/>
      </w:rPr>
      <w:tab/>
      <w:t xml:space="preserve"> מדינת ישראל נ' טארק דוויאת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97D39"/>
    <w:rsid w:val="00197D39"/>
    <w:rsid w:val="001D550A"/>
    <w:rsid w:val="00263594"/>
    <w:rsid w:val="00782F75"/>
    <w:rsid w:val="0091149B"/>
    <w:rsid w:val="009C44A4"/>
    <w:rsid w:val="00CC09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E55B78"/>
  <w15:chartTrackingRefBased/>
  <w15:docId w15:val="{3A66DBC2-6368-4FC7-9A5D-BF48D25A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7D3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97D39"/>
    <w:pPr>
      <w:tabs>
        <w:tab w:val="center" w:pos="4153"/>
        <w:tab w:val="right" w:pos="8306"/>
      </w:tabs>
    </w:pPr>
  </w:style>
  <w:style w:type="paragraph" w:styleId="a4">
    <w:name w:val="footer"/>
    <w:basedOn w:val="a"/>
    <w:rsid w:val="00197D39"/>
    <w:pPr>
      <w:tabs>
        <w:tab w:val="center" w:pos="4153"/>
        <w:tab w:val="right" w:pos="8306"/>
      </w:tabs>
    </w:pPr>
  </w:style>
  <w:style w:type="character" w:styleId="a5">
    <w:name w:val="page number"/>
    <w:basedOn w:val="a0"/>
    <w:rsid w:val="00197D39"/>
  </w:style>
  <w:style w:type="paragraph" w:customStyle="1" w:styleId="a6">
    <w:name w:val="סגנון מיושר לשני הצדדים מרווח בין שורות:  שורה וחצי"/>
    <w:basedOn w:val="a"/>
    <w:rsid w:val="00197D39"/>
    <w:pPr>
      <w:spacing w:line="360" w:lineRule="auto"/>
      <w:jc w:val="both"/>
    </w:pPr>
    <w:rPr>
      <w:rFonts w:eastAsia="Times New Roman"/>
      <w:szCs w:val="26"/>
    </w:rPr>
  </w:style>
  <w:style w:type="paragraph" w:customStyle="1" w:styleId="12">
    <w:name w:val="רגיל + ‏12 נק'"/>
    <w:aliases w:val="מיושר לשני הצדדים,מרווח בין שורות:  שורה וחצי"/>
    <w:basedOn w:val="a"/>
    <w:rsid w:val="00197D39"/>
    <w:rPr>
      <w:rFonts w:ascii="Times New Roman" w:eastAsia="Times New Roman" w:hAnsi="Times New Roman"/>
      <w:b/>
      <w:bCs/>
      <w:u w:val="single"/>
    </w:rPr>
  </w:style>
  <w:style w:type="paragraph" w:customStyle="1" w:styleId="a7">
    <w:name w:val="החלטה"/>
    <w:basedOn w:val="a"/>
    <w:rsid w:val="00197D39"/>
    <w:pPr>
      <w:suppressLineNumbers/>
    </w:pPr>
    <w:rPr>
      <w:rFonts w:ascii="Times New Roman" w:eastAsia="Times New Roman" w:hAnsi="Times New Roman"/>
      <w:bCs/>
      <w:snapToGrid w:val="0"/>
      <w:sz w:val="20"/>
      <w:lang w:eastAsia="he-IL"/>
    </w:rPr>
  </w:style>
  <w:style w:type="character" w:styleId="a8">
    <w:name w:val="line number"/>
    <w:basedOn w:val="a0"/>
    <w:rsid w:val="00197D39"/>
  </w:style>
  <w:style w:type="character" w:styleId="Hyperlink">
    <w:name w:val="Hyperlink"/>
    <w:basedOn w:val="a0"/>
    <w:rsid w:val="00782F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d"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40d"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1153</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6907</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7995492</vt:i4>
      </vt:variant>
      <vt:variant>
        <vt:i4>15</vt:i4>
      </vt:variant>
      <vt:variant>
        <vt:i4>0</vt:i4>
      </vt:variant>
      <vt:variant>
        <vt:i4>5</vt:i4>
      </vt:variant>
      <vt:variant>
        <vt:lpwstr>http://www.nevo.co.il/law/70301</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8257637</vt:i4>
      </vt:variant>
      <vt:variant>
        <vt:i4>9</vt:i4>
      </vt:variant>
      <vt:variant>
        <vt:i4>0</vt:i4>
      </vt:variant>
      <vt:variant>
        <vt:i4>5</vt:i4>
      </vt:variant>
      <vt:variant>
        <vt:lpwstr>http://www.nevo.co.il/law/4216</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2025-04-22T21:41:00Z</dcterms:created>
  <dcterms:modified xsi:type="dcterms:W3CDTF">2025-04-22T21:41:00Z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9665</vt:lpwstr>
  </property>
  <property fmtid="{D5CDD505-2E9C-101B-9397-08002B2CF9AE}" pid="6" name="NEWPARTB">
    <vt:lpwstr>12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טארק דוויאת</vt:lpwstr>
  </property>
  <property fmtid="{D5CDD505-2E9C-101B-9397-08002B2CF9AE}" pid="10" name="LAWYER">
    <vt:lpwstr>רעות בן משה;אלעד רט</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20140107</vt:lpwstr>
  </property>
  <property fmtid="{D5CDD505-2E9C-101B-9397-08002B2CF9AE}" pid="14" name="TYPE_N_DATE">
    <vt:lpwstr>38020140107</vt:lpwstr>
  </property>
  <property fmtid="{D5CDD505-2E9C-101B-9397-08002B2CF9AE}" pid="15" name="WORDNUMPAGES">
    <vt:lpwstr>5</vt:lpwstr>
  </property>
  <property fmtid="{D5CDD505-2E9C-101B-9397-08002B2CF9AE}" pid="16" name="TYPE_ABS_DATE">
    <vt:lpwstr>380020140107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4216</vt:lpwstr>
  </property>
  <property fmtid="{D5CDD505-2E9C-101B-9397-08002B2CF9AE}" pid="35" name="LAWLISTTMP2">
    <vt:lpwstr>70301/040d</vt:lpwstr>
  </property>
</Properties>
</file>