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F47AD9" w:rsidRPr="00783CC6" w14:paraId="25F1BE5E" w14:textId="77777777">
        <w:trPr>
          <w:trHeight w:hRule="exact" w:val="418"/>
          <w:jc w:val="center"/>
        </w:trPr>
        <w:tc>
          <w:tcPr>
            <w:tcW w:w="8720" w:type="dxa"/>
            <w:gridSpan w:val="3"/>
          </w:tcPr>
          <w:p w14:paraId="720431A7" w14:textId="77777777" w:rsidR="00F47AD9" w:rsidRPr="00783CC6" w:rsidRDefault="00783CC6">
            <w:pPr>
              <w:pStyle w:val="a3"/>
              <w:tabs>
                <w:tab w:val="clear" w:pos="8306"/>
              </w:tabs>
              <w:jc w:val="center"/>
              <w:rPr>
                <w:rFonts w:ascii="Tahoma" w:hAnsi="Tahoma" w:cs="Tahoma"/>
                <w:b/>
                <w:bCs/>
                <w:color w:val="000080"/>
                <w:sz w:val="20"/>
                <w:szCs w:val="20"/>
                <w:rtl/>
              </w:rPr>
            </w:pPr>
            <w:bookmarkStart w:id="0" w:name="LastJudge"/>
            <w:r w:rsidRPr="00783CC6">
              <w:rPr>
                <w:rFonts w:ascii="Tahoma" w:hAnsi="Tahoma" w:cs="Tahoma"/>
                <w:b/>
                <w:bCs/>
                <w:color w:val="000080"/>
                <w:sz w:val="20"/>
                <w:szCs w:val="20"/>
                <w:rtl/>
              </w:rPr>
              <w:t>בית משפט השלום בתל אביב - יפו</w:t>
            </w:r>
          </w:p>
        </w:tc>
      </w:tr>
      <w:tr w:rsidR="00F47AD9" w:rsidRPr="00783CC6" w14:paraId="0BC4BC2E" w14:textId="77777777">
        <w:trPr>
          <w:trHeight w:val="337"/>
          <w:jc w:val="center"/>
        </w:trPr>
        <w:tc>
          <w:tcPr>
            <w:tcW w:w="3973" w:type="dxa"/>
          </w:tcPr>
          <w:p w14:paraId="4620E8CD" w14:textId="77777777" w:rsidR="00F47AD9" w:rsidRPr="00783CC6" w:rsidRDefault="00783CC6">
            <w:pPr>
              <w:rPr>
                <w:b/>
                <w:bCs/>
                <w:sz w:val="26"/>
                <w:szCs w:val="26"/>
                <w:rtl/>
              </w:rPr>
            </w:pPr>
            <w:r w:rsidRPr="00783CC6">
              <w:rPr>
                <w:b/>
                <w:bCs/>
                <w:sz w:val="26"/>
                <w:szCs w:val="26"/>
                <w:rtl/>
              </w:rPr>
              <w:t>ת"פ</w:t>
            </w:r>
            <w:r w:rsidRPr="00783CC6">
              <w:rPr>
                <w:rFonts w:hint="cs"/>
                <w:b/>
                <w:bCs/>
                <w:sz w:val="26"/>
                <w:szCs w:val="26"/>
                <w:rtl/>
              </w:rPr>
              <w:t xml:space="preserve"> </w:t>
            </w:r>
            <w:r w:rsidRPr="00783CC6">
              <w:rPr>
                <w:b/>
                <w:bCs/>
                <w:sz w:val="26"/>
                <w:szCs w:val="26"/>
                <w:rtl/>
              </w:rPr>
              <w:t>11789-01-12</w:t>
            </w:r>
            <w:r w:rsidRPr="00783CC6">
              <w:rPr>
                <w:rFonts w:hint="cs"/>
                <w:b/>
                <w:bCs/>
                <w:sz w:val="26"/>
                <w:szCs w:val="26"/>
                <w:rtl/>
              </w:rPr>
              <w:t xml:space="preserve"> </w:t>
            </w:r>
            <w:r w:rsidRPr="00783CC6">
              <w:rPr>
                <w:rtl/>
              </w:rPr>
              <w:br/>
            </w:r>
            <w:r w:rsidRPr="00783CC6">
              <w:rPr>
                <w:rFonts w:hint="cs"/>
                <w:b/>
                <w:bCs/>
                <w:sz w:val="26"/>
                <w:szCs w:val="26"/>
                <w:rtl/>
              </w:rPr>
              <w:t>ת"פ 52044-05-12</w:t>
            </w:r>
            <w:r w:rsidRPr="00783CC6">
              <w:rPr>
                <w:b/>
                <w:bCs/>
                <w:sz w:val="26"/>
                <w:szCs w:val="26"/>
                <w:rtl/>
              </w:rPr>
              <w:br/>
              <w:t>מדינת ישראל נ' חנום</w:t>
            </w:r>
          </w:p>
          <w:p w14:paraId="778FD357" w14:textId="77777777" w:rsidR="00F47AD9" w:rsidRPr="00783CC6" w:rsidRDefault="00F47AD9">
            <w:pPr>
              <w:rPr>
                <w:b/>
                <w:bCs/>
                <w:sz w:val="26"/>
                <w:szCs w:val="26"/>
                <w:rtl/>
              </w:rPr>
            </w:pPr>
          </w:p>
        </w:tc>
        <w:tc>
          <w:tcPr>
            <w:tcW w:w="1068" w:type="dxa"/>
          </w:tcPr>
          <w:p w14:paraId="63ABACC3" w14:textId="77777777" w:rsidR="00F47AD9" w:rsidRPr="00783CC6" w:rsidRDefault="00F47AD9">
            <w:pPr>
              <w:pStyle w:val="a3"/>
              <w:jc w:val="right"/>
              <w:rPr>
                <w:b/>
                <w:bCs/>
                <w:sz w:val="26"/>
                <w:szCs w:val="26"/>
                <w:rtl/>
              </w:rPr>
            </w:pPr>
          </w:p>
        </w:tc>
        <w:tc>
          <w:tcPr>
            <w:tcW w:w="3679" w:type="dxa"/>
          </w:tcPr>
          <w:p w14:paraId="4C0F8DEE" w14:textId="77777777" w:rsidR="00F47AD9" w:rsidRPr="00783CC6" w:rsidRDefault="00783CC6">
            <w:pPr>
              <w:pStyle w:val="a3"/>
              <w:tabs>
                <w:tab w:val="clear" w:pos="4153"/>
              </w:tabs>
              <w:jc w:val="right"/>
              <w:rPr>
                <w:b/>
                <w:bCs/>
                <w:sz w:val="26"/>
                <w:szCs w:val="26"/>
                <w:rtl/>
              </w:rPr>
            </w:pPr>
            <w:r w:rsidRPr="00783CC6">
              <w:rPr>
                <w:b/>
                <w:bCs/>
                <w:sz w:val="26"/>
                <w:szCs w:val="26"/>
                <w:rtl/>
              </w:rPr>
              <w:t>09 פברואר 2014</w:t>
            </w:r>
          </w:p>
        </w:tc>
      </w:tr>
    </w:tbl>
    <w:p w14:paraId="1573E696" w14:textId="77777777" w:rsidR="00F47AD9" w:rsidRPr="00783CC6" w:rsidRDefault="00F47AD9">
      <w:pPr>
        <w:pStyle w:val="a3"/>
        <w:jc w:val="center"/>
        <w:rPr>
          <w:rFonts w:ascii="Tahoma" w:hAnsi="Tahoma" w:cs="Tahoma"/>
          <w:b/>
          <w:bCs/>
          <w:color w:val="000080"/>
          <w:sz w:val="20"/>
          <w:szCs w:val="20"/>
          <w:rtl/>
        </w:rPr>
      </w:pPr>
    </w:p>
    <w:p w14:paraId="1A61D2F9" w14:textId="77777777" w:rsidR="00F47AD9" w:rsidRPr="00783CC6" w:rsidRDefault="00F47AD9">
      <w:pPr>
        <w:pStyle w:val="a6"/>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F47AD9" w:rsidRPr="00783CC6" w14:paraId="2AA1D273" w14:textId="77777777">
        <w:trPr>
          <w:trHeight w:val="337"/>
          <w:jc w:val="center"/>
        </w:trPr>
        <w:tc>
          <w:tcPr>
            <w:tcW w:w="5856" w:type="dxa"/>
          </w:tcPr>
          <w:p w14:paraId="35E76310" w14:textId="77777777" w:rsidR="00F47AD9" w:rsidRPr="00783CC6" w:rsidRDefault="00783CC6">
            <w:pPr>
              <w:spacing w:line="360" w:lineRule="auto"/>
              <w:jc w:val="both"/>
              <w:rPr>
                <w:b/>
                <w:bCs/>
                <w:sz w:val="26"/>
                <w:szCs w:val="26"/>
                <w:rtl/>
              </w:rPr>
            </w:pPr>
            <w:r w:rsidRPr="00783CC6">
              <w:rPr>
                <w:rFonts w:hint="cs"/>
                <w:b/>
                <w:bCs/>
                <w:sz w:val="26"/>
                <w:szCs w:val="26"/>
                <w:rtl/>
              </w:rPr>
              <w:t>בפני כב' ה</w:t>
            </w:r>
            <w:r w:rsidRPr="00783CC6">
              <w:rPr>
                <w:rFonts w:hint="cs"/>
                <w:rtl/>
              </w:rPr>
              <w:t>שופטת הדסה נאור</w:t>
            </w:r>
          </w:p>
        </w:tc>
        <w:tc>
          <w:tcPr>
            <w:tcW w:w="236" w:type="dxa"/>
          </w:tcPr>
          <w:p w14:paraId="08D03708" w14:textId="77777777" w:rsidR="00F47AD9" w:rsidRPr="00783CC6" w:rsidRDefault="00F47AD9">
            <w:pPr>
              <w:pStyle w:val="a3"/>
              <w:jc w:val="both"/>
              <w:rPr>
                <w:b/>
                <w:bCs/>
                <w:sz w:val="26"/>
                <w:szCs w:val="26"/>
                <w:rtl/>
              </w:rPr>
            </w:pPr>
          </w:p>
        </w:tc>
        <w:tc>
          <w:tcPr>
            <w:tcW w:w="2628" w:type="dxa"/>
          </w:tcPr>
          <w:p w14:paraId="36DBD5B2" w14:textId="77777777" w:rsidR="00F47AD9" w:rsidRPr="00783CC6" w:rsidRDefault="00F47AD9">
            <w:pPr>
              <w:pStyle w:val="a3"/>
              <w:jc w:val="both"/>
              <w:rPr>
                <w:b/>
                <w:bCs/>
                <w:sz w:val="26"/>
                <w:szCs w:val="26"/>
                <w:rtl/>
              </w:rPr>
            </w:pPr>
          </w:p>
        </w:tc>
      </w:tr>
    </w:tbl>
    <w:p w14:paraId="1D1355E1" w14:textId="77777777" w:rsidR="00F47AD9" w:rsidRPr="00783CC6" w:rsidRDefault="00F47AD9">
      <w:pPr>
        <w:pStyle w:val="a6"/>
        <w:rPr>
          <w:rFonts w:ascii="Arial" w:hAnsi="Arial"/>
          <w:rtl/>
        </w:rPr>
      </w:pPr>
    </w:p>
    <w:p w14:paraId="09D252E3" w14:textId="77777777" w:rsidR="00F47AD9" w:rsidRPr="00783CC6" w:rsidRDefault="00F47AD9">
      <w:pPr>
        <w:pStyle w:val="a6"/>
        <w:rPr>
          <w:rtl/>
        </w:rPr>
      </w:pPr>
    </w:p>
    <w:tbl>
      <w:tblPr>
        <w:bidiVisual/>
        <w:tblW w:w="8802" w:type="dxa"/>
        <w:tblInd w:w="-28" w:type="dxa"/>
        <w:tblLayout w:type="fixed"/>
        <w:tblLook w:val="01E0" w:firstRow="1" w:lastRow="1" w:firstColumn="1" w:lastColumn="1" w:noHBand="0" w:noVBand="0"/>
      </w:tblPr>
      <w:tblGrid>
        <w:gridCol w:w="3240"/>
        <w:gridCol w:w="5562"/>
      </w:tblGrid>
      <w:tr w:rsidR="00F47AD9" w:rsidRPr="00783CC6" w14:paraId="5DB092B8" w14:textId="77777777">
        <w:tc>
          <w:tcPr>
            <w:tcW w:w="3240" w:type="dxa"/>
          </w:tcPr>
          <w:p w14:paraId="64C28024" w14:textId="77777777" w:rsidR="00F47AD9" w:rsidRPr="00783CC6" w:rsidRDefault="00783CC6">
            <w:pPr>
              <w:ind w:left="26"/>
              <w:rPr>
                <w:rFonts w:ascii="Times New Roman" w:eastAsia="Times New Roman" w:hAnsi="Times New Roman"/>
                <w:b/>
                <w:bCs/>
                <w:sz w:val="26"/>
                <w:szCs w:val="26"/>
                <w:rtl/>
              </w:rPr>
            </w:pPr>
            <w:bookmarkStart w:id="1" w:name="FirstAppellant"/>
            <w:r w:rsidRPr="00783CC6">
              <w:rPr>
                <w:rFonts w:ascii="Times New Roman" w:eastAsia="Times New Roman" w:hAnsi="Times New Roman" w:hint="cs"/>
                <w:b/>
                <w:bCs/>
                <w:sz w:val="26"/>
                <w:szCs w:val="26"/>
                <w:rtl/>
              </w:rPr>
              <w:t>ה</w:t>
            </w:r>
            <w:r w:rsidRPr="00783CC6">
              <w:rPr>
                <w:rFonts w:ascii="Times New Roman" w:eastAsia="Times New Roman" w:hAnsi="Times New Roman" w:hint="cs"/>
                <w:rtl/>
              </w:rPr>
              <w:t>מאשימה</w:t>
            </w:r>
          </w:p>
        </w:tc>
        <w:tc>
          <w:tcPr>
            <w:tcW w:w="5562" w:type="dxa"/>
          </w:tcPr>
          <w:p w14:paraId="14BACF54" w14:textId="77777777" w:rsidR="00F47AD9" w:rsidRPr="00783CC6" w:rsidRDefault="00783CC6">
            <w:pPr>
              <w:rPr>
                <w:rFonts w:ascii="Times New Roman" w:eastAsia="Times New Roman" w:hAnsi="Times New Roman"/>
                <w:b/>
                <w:bCs/>
                <w:sz w:val="26"/>
                <w:szCs w:val="26"/>
                <w:rtl/>
              </w:rPr>
            </w:pPr>
            <w:r w:rsidRPr="00783CC6">
              <w:rPr>
                <w:rFonts w:ascii="Times New Roman" w:eastAsia="Times New Roman" w:hAnsi="Times New Roman" w:hint="cs"/>
                <w:b/>
                <w:bCs/>
                <w:sz w:val="26"/>
                <w:szCs w:val="26"/>
                <w:rtl/>
              </w:rPr>
              <w:t xml:space="preserve"> </w:t>
            </w:r>
            <w:r w:rsidRPr="00783CC6">
              <w:rPr>
                <w:rFonts w:ascii="Times New Roman" w:eastAsia="Times New Roman" w:hAnsi="Times New Roman" w:hint="cs"/>
                <w:rtl/>
              </w:rPr>
              <w:t>מדינת ישראל</w:t>
            </w:r>
          </w:p>
        </w:tc>
      </w:tr>
      <w:bookmarkEnd w:id="1"/>
      <w:tr w:rsidR="00F47AD9" w:rsidRPr="00783CC6" w14:paraId="10A88514" w14:textId="77777777">
        <w:tc>
          <w:tcPr>
            <w:tcW w:w="8802" w:type="dxa"/>
            <w:gridSpan w:val="2"/>
          </w:tcPr>
          <w:p w14:paraId="59F98871" w14:textId="77777777" w:rsidR="00F47AD9" w:rsidRPr="00783CC6" w:rsidRDefault="00F47AD9">
            <w:pPr>
              <w:jc w:val="both"/>
              <w:rPr>
                <w:rFonts w:ascii="Arial" w:eastAsia="Times New Roman" w:hAnsi="Arial"/>
                <w:b/>
                <w:bCs/>
                <w:sz w:val="26"/>
                <w:szCs w:val="26"/>
                <w:rtl/>
              </w:rPr>
            </w:pPr>
          </w:p>
          <w:p w14:paraId="54F42A98" w14:textId="77777777" w:rsidR="00F47AD9" w:rsidRPr="00783CC6" w:rsidRDefault="00783CC6">
            <w:pPr>
              <w:jc w:val="center"/>
              <w:rPr>
                <w:rFonts w:ascii="Arial" w:eastAsia="Times New Roman" w:hAnsi="Arial"/>
                <w:b/>
                <w:bCs/>
                <w:sz w:val="26"/>
                <w:szCs w:val="26"/>
                <w:rtl/>
              </w:rPr>
            </w:pPr>
            <w:r w:rsidRPr="00783CC6">
              <w:rPr>
                <w:rFonts w:ascii="Arial" w:eastAsia="Times New Roman" w:hAnsi="Arial"/>
                <w:b/>
                <w:bCs/>
                <w:sz w:val="26"/>
                <w:szCs w:val="26"/>
                <w:rtl/>
              </w:rPr>
              <w:t>נגד</w:t>
            </w:r>
          </w:p>
          <w:p w14:paraId="3612F75D" w14:textId="77777777" w:rsidR="00F47AD9" w:rsidRPr="00783CC6" w:rsidRDefault="00F47AD9">
            <w:pPr>
              <w:jc w:val="center"/>
              <w:rPr>
                <w:rFonts w:ascii="Arial" w:eastAsia="Times New Roman" w:hAnsi="Arial"/>
                <w:b/>
                <w:bCs/>
                <w:sz w:val="26"/>
                <w:szCs w:val="26"/>
              </w:rPr>
            </w:pPr>
          </w:p>
        </w:tc>
      </w:tr>
      <w:tr w:rsidR="00F47AD9" w:rsidRPr="00783CC6" w14:paraId="34BEB3F1" w14:textId="77777777">
        <w:tc>
          <w:tcPr>
            <w:tcW w:w="3240" w:type="dxa"/>
          </w:tcPr>
          <w:p w14:paraId="2C05FF06" w14:textId="77777777" w:rsidR="00F47AD9" w:rsidRPr="00783CC6" w:rsidRDefault="00783CC6">
            <w:pPr>
              <w:ind w:left="26"/>
              <w:rPr>
                <w:rFonts w:ascii="Times New Roman" w:eastAsia="Times New Roman" w:hAnsi="Times New Roman"/>
                <w:b/>
                <w:bCs/>
                <w:sz w:val="26"/>
                <w:szCs w:val="26"/>
                <w:rtl/>
              </w:rPr>
            </w:pPr>
            <w:r w:rsidRPr="00783CC6">
              <w:rPr>
                <w:rFonts w:ascii="Times New Roman" w:eastAsia="Times New Roman" w:hAnsi="Times New Roman" w:hint="cs"/>
                <w:b/>
                <w:bCs/>
                <w:sz w:val="26"/>
                <w:szCs w:val="26"/>
                <w:rtl/>
              </w:rPr>
              <w:t>ה</w:t>
            </w:r>
            <w:r w:rsidRPr="00783CC6">
              <w:rPr>
                <w:rFonts w:ascii="Times New Roman" w:eastAsia="Times New Roman" w:hAnsi="Times New Roman" w:hint="cs"/>
                <w:rtl/>
              </w:rPr>
              <w:t>נאשמים</w:t>
            </w:r>
          </w:p>
        </w:tc>
        <w:tc>
          <w:tcPr>
            <w:tcW w:w="5562" w:type="dxa"/>
          </w:tcPr>
          <w:p w14:paraId="7D1549D7" w14:textId="77777777" w:rsidR="00F47AD9" w:rsidRPr="00783CC6" w:rsidRDefault="00783CC6">
            <w:pPr>
              <w:rPr>
                <w:rFonts w:ascii="Times New Roman" w:eastAsia="Times New Roman" w:hAnsi="Times New Roman"/>
                <w:b/>
                <w:bCs/>
                <w:sz w:val="26"/>
                <w:szCs w:val="26"/>
                <w:rtl/>
              </w:rPr>
            </w:pPr>
            <w:r w:rsidRPr="00783CC6">
              <w:rPr>
                <w:rFonts w:ascii="Times New Roman" w:eastAsia="Times New Roman" w:hAnsi="Times New Roman" w:hint="cs"/>
                <w:b/>
                <w:bCs/>
                <w:sz w:val="26"/>
                <w:szCs w:val="26"/>
                <w:rtl/>
              </w:rPr>
              <w:t xml:space="preserve"> </w:t>
            </w:r>
            <w:r w:rsidRPr="00783CC6">
              <w:rPr>
                <w:rFonts w:ascii="Times New Roman" w:eastAsia="Times New Roman" w:hAnsi="Times New Roman" w:hint="cs"/>
                <w:rtl/>
              </w:rPr>
              <w:t>לימור חנום</w:t>
            </w:r>
          </w:p>
        </w:tc>
      </w:tr>
    </w:tbl>
    <w:p w14:paraId="130A01B1" w14:textId="77777777" w:rsidR="00F47AD9" w:rsidRPr="00783CC6" w:rsidRDefault="00F47AD9">
      <w:pPr>
        <w:pStyle w:val="a6"/>
        <w:rPr>
          <w:rtl/>
        </w:rPr>
      </w:pPr>
    </w:p>
    <w:p w14:paraId="01EF8E50" w14:textId="77777777" w:rsidR="00F47AD9" w:rsidRPr="00783CC6" w:rsidRDefault="00783CC6">
      <w:pPr>
        <w:pStyle w:val="a6"/>
        <w:rPr>
          <w:sz w:val="6"/>
          <w:szCs w:val="6"/>
          <w:rtl/>
        </w:rPr>
      </w:pPr>
      <w:r w:rsidRPr="00783CC6">
        <w:rPr>
          <w:sz w:val="6"/>
          <w:szCs w:val="6"/>
          <w:rtl/>
        </w:rPr>
        <w:t>&lt;#1#&gt;</w:t>
      </w:r>
    </w:p>
    <w:p w14:paraId="5E335094" w14:textId="77777777" w:rsidR="00F47AD9" w:rsidRPr="00783CC6" w:rsidRDefault="00783CC6">
      <w:pPr>
        <w:pStyle w:val="12"/>
        <w:rPr>
          <w:u w:val="none"/>
        </w:rPr>
      </w:pPr>
      <w:r w:rsidRPr="00783CC6">
        <w:rPr>
          <w:rFonts w:hint="cs"/>
          <w:u w:val="none"/>
          <w:rtl/>
        </w:rPr>
        <w:t>נוכחים:</w:t>
      </w:r>
    </w:p>
    <w:p w14:paraId="71A71C7A" w14:textId="77777777" w:rsidR="00F47AD9" w:rsidRPr="00783CC6" w:rsidRDefault="00783CC6">
      <w:pPr>
        <w:pStyle w:val="12"/>
        <w:rPr>
          <w:b w:val="0"/>
          <w:bCs w:val="0"/>
          <w:sz w:val="26"/>
          <w:szCs w:val="26"/>
          <w:u w:val="none"/>
          <w:rtl/>
        </w:rPr>
      </w:pPr>
      <w:bookmarkStart w:id="2" w:name="FirstLawyer"/>
      <w:r w:rsidRPr="00783CC6">
        <w:rPr>
          <w:rFonts w:hint="cs"/>
          <w:b w:val="0"/>
          <w:bCs w:val="0"/>
          <w:sz w:val="26"/>
          <w:szCs w:val="26"/>
          <w:u w:val="none"/>
          <w:rtl/>
        </w:rPr>
        <w:t>ב"כ</w:t>
      </w:r>
      <w:bookmarkEnd w:id="2"/>
      <w:r w:rsidRPr="00783CC6">
        <w:rPr>
          <w:rFonts w:hint="cs"/>
          <w:b w:val="0"/>
          <w:bCs w:val="0"/>
          <w:sz w:val="26"/>
          <w:szCs w:val="26"/>
          <w:u w:val="none"/>
          <w:rtl/>
        </w:rPr>
        <w:t xml:space="preserve"> המאשימה עו"ד נעמה פנן ומתמחה דרור בוזגלו</w:t>
      </w:r>
    </w:p>
    <w:p w14:paraId="32FC5594" w14:textId="77777777" w:rsidR="00F47AD9" w:rsidRPr="00783CC6" w:rsidRDefault="00783CC6">
      <w:pPr>
        <w:pStyle w:val="12"/>
        <w:rPr>
          <w:b w:val="0"/>
          <w:bCs w:val="0"/>
          <w:sz w:val="26"/>
          <w:szCs w:val="26"/>
          <w:u w:val="none"/>
          <w:rtl/>
        </w:rPr>
      </w:pPr>
      <w:r w:rsidRPr="00783CC6">
        <w:rPr>
          <w:rFonts w:hint="cs"/>
          <w:b w:val="0"/>
          <w:bCs w:val="0"/>
          <w:sz w:val="26"/>
          <w:szCs w:val="26"/>
          <w:u w:val="none"/>
          <w:rtl/>
        </w:rPr>
        <w:t xml:space="preserve">כמו כן, נוכחת נציגת פמת"א </w:t>
      </w:r>
      <w:r w:rsidRPr="00783CC6">
        <w:rPr>
          <w:b w:val="0"/>
          <w:bCs w:val="0"/>
          <w:sz w:val="26"/>
          <w:szCs w:val="26"/>
          <w:u w:val="none"/>
          <w:rtl/>
        </w:rPr>
        <w:t>–</w:t>
      </w:r>
      <w:r w:rsidRPr="00783CC6">
        <w:rPr>
          <w:rFonts w:hint="cs"/>
          <w:b w:val="0"/>
          <w:bCs w:val="0"/>
          <w:sz w:val="26"/>
          <w:szCs w:val="26"/>
          <w:u w:val="none"/>
          <w:rtl/>
        </w:rPr>
        <w:t xml:space="preserve"> מתמחה דניאל מסלה-גביו</w:t>
      </w:r>
    </w:p>
    <w:p w14:paraId="156BDFEA" w14:textId="77777777" w:rsidR="00F47AD9" w:rsidRPr="00783CC6" w:rsidRDefault="00783CC6">
      <w:pPr>
        <w:pStyle w:val="12"/>
        <w:rPr>
          <w:b w:val="0"/>
          <w:bCs w:val="0"/>
          <w:sz w:val="26"/>
          <w:szCs w:val="26"/>
          <w:u w:val="none"/>
          <w:rtl/>
        </w:rPr>
      </w:pPr>
      <w:r w:rsidRPr="00783CC6">
        <w:rPr>
          <w:rFonts w:hint="cs"/>
          <w:b w:val="0"/>
          <w:bCs w:val="0"/>
          <w:sz w:val="26"/>
          <w:szCs w:val="26"/>
          <w:u w:val="none"/>
          <w:rtl/>
        </w:rPr>
        <w:t xml:space="preserve">הנאשם בעצמו </w:t>
      </w:r>
    </w:p>
    <w:p w14:paraId="6679E2FB" w14:textId="77777777" w:rsidR="00F47AD9" w:rsidRPr="00783CC6" w:rsidRDefault="00783CC6">
      <w:pPr>
        <w:pStyle w:val="12"/>
        <w:rPr>
          <w:b w:val="0"/>
          <w:bCs w:val="0"/>
          <w:sz w:val="26"/>
          <w:szCs w:val="26"/>
          <w:u w:val="none"/>
          <w:rtl/>
        </w:rPr>
      </w:pPr>
      <w:r w:rsidRPr="00783CC6">
        <w:rPr>
          <w:rFonts w:hint="cs"/>
          <w:b w:val="0"/>
          <w:bCs w:val="0"/>
          <w:sz w:val="26"/>
          <w:szCs w:val="26"/>
          <w:u w:val="none"/>
          <w:rtl/>
        </w:rPr>
        <w:t xml:space="preserve">ב"כ  הנאשם עו"ד מגי בן ארצי ממשרד עו"ד בני נהרי  </w:t>
      </w:r>
    </w:p>
    <w:p w14:paraId="6D05A241" w14:textId="77777777" w:rsidR="00F47AD9" w:rsidRPr="00783CC6" w:rsidRDefault="00F47AD9">
      <w:pPr>
        <w:pStyle w:val="12"/>
        <w:rPr>
          <w:b w:val="0"/>
          <w:bCs w:val="0"/>
          <w:u w:val="none"/>
          <w:rtl/>
        </w:rPr>
      </w:pPr>
    </w:p>
    <w:p w14:paraId="0C2E871C" w14:textId="77777777" w:rsidR="00F47AD9" w:rsidRPr="00783CC6" w:rsidRDefault="00F47AD9">
      <w:pPr>
        <w:pStyle w:val="12"/>
        <w:rPr>
          <w:b w:val="0"/>
          <w:bCs w:val="0"/>
          <w:u w:val="none"/>
          <w:rtl/>
        </w:rPr>
      </w:pPr>
    </w:p>
    <w:p w14:paraId="7001FB6F" w14:textId="77777777" w:rsidR="00A82C60" w:rsidRDefault="00A82C60">
      <w:pPr>
        <w:spacing w:line="360" w:lineRule="auto"/>
        <w:jc w:val="center"/>
        <w:rPr>
          <w:rFonts w:ascii="Arial" w:hAnsi="Arial"/>
          <w:color w:val="FF0000"/>
          <w:sz w:val="28"/>
          <w:rtl/>
        </w:rPr>
      </w:pPr>
      <w:bookmarkStart w:id="3" w:name="LawTable"/>
    </w:p>
    <w:p w14:paraId="1717CF5B" w14:textId="77777777" w:rsidR="00A82C60" w:rsidRPr="00A82C60" w:rsidRDefault="00A82C60" w:rsidP="00A82C60">
      <w:pPr>
        <w:spacing w:after="120" w:line="240" w:lineRule="exact"/>
        <w:ind w:left="283" w:hanging="283"/>
        <w:jc w:val="both"/>
        <w:rPr>
          <w:rFonts w:ascii="FrankRuehl" w:hAnsi="FrankRuehl" w:cs="FrankRuehl"/>
          <w:color w:val="FF0000"/>
          <w:rtl/>
        </w:rPr>
      </w:pPr>
    </w:p>
    <w:p w14:paraId="077A9D9E" w14:textId="77777777" w:rsidR="00A82C60" w:rsidRPr="00A82C60" w:rsidRDefault="00A82C60" w:rsidP="00A82C60">
      <w:pPr>
        <w:spacing w:after="120" w:line="240" w:lineRule="exact"/>
        <w:ind w:left="283" w:hanging="283"/>
        <w:jc w:val="both"/>
        <w:rPr>
          <w:rFonts w:ascii="FrankRuehl" w:hAnsi="FrankRuehl" w:cs="FrankRuehl"/>
          <w:color w:val="FF0000"/>
          <w:rtl/>
        </w:rPr>
      </w:pPr>
    </w:p>
    <w:p w14:paraId="05FD7BC9" w14:textId="77777777" w:rsidR="00A82C60" w:rsidRPr="00A82C60" w:rsidRDefault="00A82C60" w:rsidP="00A82C60">
      <w:pPr>
        <w:spacing w:after="120" w:line="240" w:lineRule="exact"/>
        <w:ind w:left="283" w:hanging="283"/>
        <w:jc w:val="both"/>
        <w:rPr>
          <w:rFonts w:ascii="FrankRuehl" w:hAnsi="FrankRuehl" w:cs="FrankRuehl"/>
          <w:color w:val="FF0000"/>
          <w:rtl/>
        </w:rPr>
      </w:pPr>
      <w:r w:rsidRPr="00A82C60">
        <w:rPr>
          <w:rFonts w:ascii="FrankRuehl" w:hAnsi="FrankRuehl" w:cs="FrankRuehl"/>
          <w:color w:val="FF0000"/>
          <w:rtl/>
        </w:rPr>
        <w:t xml:space="preserve">חקיקה שאוזכרה: </w:t>
      </w:r>
    </w:p>
    <w:p w14:paraId="68828923" w14:textId="77777777" w:rsidR="00A82C60" w:rsidRPr="00A82C60" w:rsidRDefault="00A82C60" w:rsidP="00A82C60">
      <w:pPr>
        <w:spacing w:after="120" w:line="240" w:lineRule="exact"/>
        <w:ind w:left="283" w:hanging="283"/>
        <w:jc w:val="both"/>
        <w:rPr>
          <w:rFonts w:ascii="FrankRuehl" w:hAnsi="FrankRuehl" w:cs="FrankRuehl"/>
          <w:rtl/>
        </w:rPr>
      </w:pPr>
      <w:hyperlink r:id="rId6" w:history="1">
        <w:r w:rsidRPr="00A82C60">
          <w:rPr>
            <w:rFonts w:ascii="FrankRuehl" w:hAnsi="FrankRuehl" w:cs="FrankRuehl"/>
            <w:color w:val="0000FF"/>
            <w:u w:val="single"/>
            <w:rtl/>
          </w:rPr>
          <w:t>חוק העונשין, תשל"ז-1977</w:t>
        </w:r>
      </w:hyperlink>
      <w:r w:rsidRPr="00A82C60">
        <w:rPr>
          <w:rFonts w:ascii="FrankRuehl" w:hAnsi="FrankRuehl" w:cs="FrankRuehl"/>
          <w:rtl/>
        </w:rPr>
        <w:t xml:space="preserve">: סע'  </w:t>
      </w:r>
      <w:hyperlink r:id="rId7" w:history="1">
        <w:r w:rsidRPr="00A82C60">
          <w:rPr>
            <w:rFonts w:ascii="FrankRuehl" w:hAnsi="FrankRuehl" w:cs="FrankRuehl"/>
            <w:color w:val="0000FF"/>
            <w:u w:val="single"/>
            <w:rtl/>
          </w:rPr>
          <w:t>413</w:t>
        </w:r>
      </w:hyperlink>
    </w:p>
    <w:p w14:paraId="72D3E99D" w14:textId="77777777" w:rsidR="00A82C60" w:rsidRPr="00A82C60" w:rsidRDefault="00A82C60" w:rsidP="00A82C60">
      <w:pPr>
        <w:spacing w:after="120" w:line="240" w:lineRule="exact"/>
        <w:ind w:left="283" w:hanging="283"/>
        <w:jc w:val="both"/>
        <w:rPr>
          <w:rFonts w:ascii="FrankRuehl" w:hAnsi="FrankRuehl" w:cs="FrankRuehl"/>
          <w:rtl/>
        </w:rPr>
      </w:pPr>
      <w:hyperlink r:id="rId8" w:history="1">
        <w:r w:rsidRPr="00A82C60">
          <w:rPr>
            <w:rFonts w:ascii="FrankRuehl" w:hAnsi="FrankRuehl" w:cs="FrankRuehl"/>
            <w:color w:val="0000FF"/>
            <w:u w:val="single"/>
            <w:rtl/>
          </w:rPr>
          <w:t>פקודת הסמים המסוכנים [נוסח חדש], תשל"ג-1973</w:t>
        </w:r>
      </w:hyperlink>
    </w:p>
    <w:p w14:paraId="46B62D70" w14:textId="77777777" w:rsidR="00A82C60" w:rsidRDefault="00A82C60">
      <w:pPr>
        <w:spacing w:line="360" w:lineRule="auto"/>
        <w:jc w:val="center"/>
        <w:rPr>
          <w:rFonts w:ascii="Arial" w:hAnsi="Arial"/>
          <w:sz w:val="28"/>
          <w:rtl/>
        </w:rPr>
      </w:pPr>
      <w:bookmarkStart w:id="4" w:name="LawTable_End"/>
    </w:p>
    <w:bookmarkEnd w:id="3"/>
    <w:bookmarkEnd w:id="4"/>
    <w:p w14:paraId="55F9EFD6" w14:textId="77777777" w:rsidR="00F47AD9" w:rsidRPr="00783CC6" w:rsidRDefault="00783CC6">
      <w:pPr>
        <w:spacing w:line="360" w:lineRule="auto"/>
        <w:jc w:val="center"/>
        <w:rPr>
          <w:rFonts w:ascii="Arial" w:hAnsi="Arial"/>
          <w:b/>
          <w:bCs/>
          <w:sz w:val="28"/>
          <w:szCs w:val="28"/>
          <w:rtl/>
        </w:rPr>
      </w:pPr>
      <w:r w:rsidRPr="00783CC6">
        <w:rPr>
          <w:rFonts w:ascii="Arial" w:hAnsi="Arial"/>
          <w:b/>
          <w:color w:val="FF0000"/>
          <w:sz w:val="28"/>
          <w:rtl/>
        </w:rPr>
        <w:t>במסמך זה הושמטו פרוטוקולים</w:t>
      </w:r>
    </w:p>
    <w:p w14:paraId="7072CFE3" w14:textId="77777777" w:rsidR="00783CC6" w:rsidRPr="00783CC6" w:rsidRDefault="00783CC6">
      <w:pPr>
        <w:spacing w:line="360" w:lineRule="auto"/>
        <w:jc w:val="center"/>
        <w:rPr>
          <w:rFonts w:ascii="Arial" w:hAnsi="Arial"/>
          <w:b/>
          <w:bCs/>
          <w:sz w:val="28"/>
          <w:szCs w:val="28"/>
          <w:rtl/>
        </w:rPr>
      </w:pPr>
    </w:p>
    <w:p w14:paraId="7F9E2DEC" w14:textId="77777777" w:rsidR="00783CC6" w:rsidRPr="00783CC6" w:rsidRDefault="00783CC6" w:rsidP="00783CC6">
      <w:pPr>
        <w:spacing w:line="360" w:lineRule="auto"/>
        <w:jc w:val="center"/>
        <w:rPr>
          <w:rFonts w:ascii="Arial" w:hAnsi="Arial"/>
          <w:b/>
          <w:bCs/>
          <w:sz w:val="28"/>
          <w:szCs w:val="28"/>
          <w:u w:val="single"/>
          <w:rtl/>
        </w:rPr>
      </w:pPr>
      <w:bookmarkStart w:id="5" w:name="PsakDin"/>
      <w:bookmarkEnd w:id="0"/>
      <w:r w:rsidRPr="00783CC6">
        <w:rPr>
          <w:rFonts w:ascii="Arial" w:hAnsi="Arial"/>
          <w:b/>
          <w:bCs/>
          <w:sz w:val="28"/>
          <w:szCs w:val="28"/>
          <w:u w:val="single"/>
          <w:rtl/>
        </w:rPr>
        <w:t>גזר דין</w:t>
      </w:r>
    </w:p>
    <w:bookmarkEnd w:id="5"/>
    <w:p w14:paraId="7254BDAD" w14:textId="77777777" w:rsidR="00F47AD9" w:rsidRDefault="00F47AD9">
      <w:pPr>
        <w:spacing w:line="360" w:lineRule="auto"/>
        <w:jc w:val="both"/>
        <w:rPr>
          <w:rFonts w:ascii="Arial" w:hAnsi="Arial"/>
          <w:rtl/>
        </w:rPr>
      </w:pPr>
    </w:p>
    <w:p w14:paraId="37FD9B4C" w14:textId="77777777" w:rsidR="00F47AD9" w:rsidRDefault="00783CC6">
      <w:pPr>
        <w:overflowPunct w:val="0"/>
        <w:autoSpaceDE w:val="0"/>
        <w:autoSpaceDN w:val="0"/>
        <w:adjustRightInd w:val="0"/>
        <w:spacing w:line="360" w:lineRule="auto"/>
        <w:rPr>
          <w:b/>
          <w:bCs/>
          <w:sz w:val="26"/>
          <w:szCs w:val="26"/>
          <w:rtl/>
        </w:rPr>
      </w:pPr>
      <w:r>
        <w:rPr>
          <w:rFonts w:hint="eastAsia"/>
          <w:b/>
          <w:bCs/>
          <w:sz w:val="26"/>
          <w:szCs w:val="26"/>
          <w:rtl/>
        </w:rPr>
        <w:t>הנאש</w:t>
      </w:r>
      <w:r>
        <w:rPr>
          <w:rFonts w:hint="cs"/>
          <w:b/>
          <w:bCs/>
          <w:sz w:val="26"/>
          <w:szCs w:val="26"/>
          <w:rtl/>
        </w:rPr>
        <w:t>מת</w:t>
      </w:r>
      <w:r>
        <w:rPr>
          <w:b/>
          <w:bCs/>
          <w:sz w:val="26"/>
          <w:szCs w:val="26"/>
          <w:rtl/>
        </w:rPr>
        <w:t xml:space="preserve"> הורשע</w:t>
      </w:r>
      <w:r>
        <w:rPr>
          <w:rFonts w:hint="cs"/>
          <w:b/>
          <w:bCs/>
          <w:sz w:val="26"/>
          <w:szCs w:val="26"/>
          <w:rtl/>
        </w:rPr>
        <w:t>ה</w:t>
      </w:r>
      <w:r>
        <w:rPr>
          <w:b/>
          <w:bCs/>
          <w:sz w:val="26"/>
          <w:szCs w:val="26"/>
          <w:rtl/>
        </w:rPr>
        <w:t xml:space="preserve"> על פי הודאת</w:t>
      </w:r>
      <w:r>
        <w:rPr>
          <w:rFonts w:hint="cs"/>
          <w:b/>
          <w:bCs/>
          <w:sz w:val="26"/>
          <w:szCs w:val="26"/>
          <w:rtl/>
        </w:rPr>
        <w:t>ה</w:t>
      </w:r>
      <w:r>
        <w:rPr>
          <w:b/>
          <w:bCs/>
          <w:sz w:val="26"/>
          <w:szCs w:val="26"/>
          <w:rtl/>
        </w:rPr>
        <w:t xml:space="preserve"> בעבירות </w:t>
      </w:r>
      <w:r>
        <w:rPr>
          <w:rFonts w:hint="cs"/>
          <w:b/>
          <w:bCs/>
          <w:sz w:val="26"/>
          <w:szCs w:val="26"/>
          <w:rtl/>
        </w:rPr>
        <w:t xml:space="preserve">של גניבה והונאה בכרטיס חיוב, נסיון גניבה, הסגת גבול לשם ביצוע עבירה בריבוי מקרים, החזקת שטר כסף מזויף והחזקת סם מסוכן מסוג הרואין במשקל כולל של 0.4672 ג' נטו. </w:t>
      </w:r>
    </w:p>
    <w:p w14:paraId="173B796B" w14:textId="77777777" w:rsidR="00F47AD9" w:rsidRDefault="00783CC6">
      <w:pPr>
        <w:overflowPunct w:val="0"/>
        <w:autoSpaceDE w:val="0"/>
        <w:autoSpaceDN w:val="0"/>
        <w:adjustRightInd w:val="0"/>
        <w:spacing w:line="360" w:lineRule="auto"/>
        <w:rPr>
          <w:b/>
          <w:bCs/>
          <w:sz w:val="26"/>
          <w:szCs w:val="26"/>
          <w:rtl/>
        </w:rPr>
      </w:pPr>
      <w:r>
        <w:rPr>
          <w:rFonts w:hint="cs"/>
          <w:b/>
          <w:bCs/>
          <w:sz w:val="26"/>
          <w:szCs w:val="26"/>
          <w:rtl/>
        </w:rPr>
        <w:t xml:space="preserve">העבירות בוצעו על ידה במהלך השנים 2010 </w:t>
      </w:r>
      <w:r>
        <w:rPr>
          <w:b/>
          <w:bCs/>
          <w:sz w:val="26"/>
          <w:szCs w:val="26"/>
          <w:rtl/>
        </w:rPr>
        <w:t>–</w:t>
      </w:r>
      <w:r>
        <w:rPr>
          <w:rFonts w:hint="cs"/>
          <w:b/>
          <w:bCs/>
          <w:sz w:val="26"/>
          <w:szCs w:val="26"/>
          <w:rtl/>
        </w:rPr>
        <w:t xml:space="preserve"> 2011. </w:t>
      </w:r>
    </w:p>
    <w:p w14:paraId="5FADCA4C" w14:textId="77777777" w:rsidR="00F47AD9" w:rsidRDefault="00783CC6">
      <w:pPr>
        <w:overflowPunct w:val="0"/>
        <w:autoSpaceDE w:val="0"/>
        <w:autoSpaceDN w:val="0"/>
        <w:adjustRightInd w:val="0"/>
        <w:spacing w:line="360" w:lineRule="auto"/>
        <w:rPr>
          <w:b/>
          <w:bCs/>
          <w:sz w:val="26"/>
          <w:szCs w:val="26"/>
          <w:rtl/>
        </w:rPr>
      </w:pPr>
      <w:r>
        <w:rPr>
          <w:rFonts w:hint="cs"/>
          <w:b/>
          <w:bCs/>
          <w:sz w:val="26"/>
          <w:szCs w:val="26"/>
          <w:rtl/>
        </w:rPr>
        <w:lastRenderedPageBreak/>
        <w:t xml:space="preserve">לאחר הגשת כתבי האישום אותם צירפה הנאשמת ובהם הודתה, החלה לעבור הליך טיפולי לגמילה מסמים במסגרת שירות המבחן, כשלאחר חודשים ארוכים של טיפול המליץ להעמידה במבחן למשך שנה בתנאי המשך טיפול במרפאת יסעור, בפיקוחו. </w:t>
      </w:r>
    </w:p>
    <w:p w14:paraId="2936A9F1" w14:textId="77777777" w:rsidR="00F47AD9" w:rsidRDefault="00F47AD9">
      <w:pPr>
        <w:overflowPunct w:val="0"/>
        <w:autoSpaceDE w:val="0"/>
        <w:autoSpaceDN w:val="0"/>
        <w:adjustRightInd w:val="0"/>
        <w:spacing w:line="360" w:lineRule="auto"/>
        <w:rPr>
          <w:b/>
          <w:bCs/>
          <w:sz w:val="26"/>
          <w:szCs w:val="26"/>
          <w:rtl/>
        </w:rPr>
      </w:pPr>
    </w:p>
    <w:p w14:paraId="31223E58" w14:textId="77777777" w:rsidR="00F47AD9" w:rsidRDefault="00783CC6">
      <w:pPr>
        <w:overflowPunct w:val="0"/>
        <w:autoSpaceDE w:val="0"/>
        <w:autoSpaceDN w:val="0"/>
        <w:adjustRightInd w:val="0"/>
        <w:spacing w:line="360" w:lineRule="auto"/>
        <w:rPr>
          <w:b/>
          <w:bCs/>
          <w:sz w:val="26"/>
          <w:szCs w:val="26"/>
          <w:rtl/>
        </w:rPr>
      </w:pPr>
      <w:r>
        <w:rPr>
          <w:rFonts w:hint="cs"/>
          <w:b/>
          <w:bCs/>
          <w:sz w:val="26"/>
          <w:szCs w:val="26"/>
          <w:rtl/>
        </w:rPr>
        <w:t xml:space="preserve">אף שמדובר בנאשמת ילידת 71 שבעברה 4 הרשעות קודמות בשורה ארוכה של עבירות רכוש ומרמה, הסכימה המאשימה המיוצגת, הן על ידי התביעות והן על ידי הפרקליטות, לאמץ את המלצות שירות המבחן, לאור ההליך הטיפולי החיובי אותו היא עוברת. </w:t>
      </w:r>
    </w:p>
    <w:p w14:paraId="09BE8DDD" w14:textId="77777777" w:rsidR="00F47AD9" w:rsidRDefault="00F47AD9">
      <w:pPr>
        <w:overflowPunct w:val="0"/>
        <w:autoSpaceDE w:val="0"/>
        <w:autoSpaceDN w:val="0"/>
        <w:adjustRightInd w:val="0"/>
        <w:spacing w:line="360" w:lineRule="auto"/>
        <w:rPr>
          <w:b/>
          <w:bCs/>
          <w:sz w:val="26"/>
          <w:szCs w:val="26"/>
          <w:rtl/>
        </w:rPr>
      </w:pPr>
    </w:p>
    <w:p w14:paraId="6E550D3B" w14:textId="77777777" w:rsidR="00F47AD9" w:rsidRDefault="00783CC6">
      <w:pPr>
        <w:overflowPunct w:val="0"/>
        <w:autoSpaceDE w:val="0"/>
        <w:autoSpaceDN w:val="0"/>
        <w:adjustRightInd w:val="0"/>
        <w:spacing w:line="360" w:lineRule="auto"/>
        <w:rPr>
          <w:b/>
          <w:bCs/>
          <w:sz w:val="26"/>
          <w:szCs w:val="26"/>
          <w:rtl/>
        </w:rPr>
      </w:pPr>
      <w:r>
        <w:rPr>
          <w:rFonts w:hint="cs"/>
          <w:b/>
          <w:bCs/>
          <w:sz w:val="26"/>
          <w:szCs w:val="26"/>
          <w:rtl/>
        </w:rPr>
        <w:t xml:space="preserve">עם זאת, עתרו נציגות המאשימה להטיל על הנאשמת פיצוי של המתלוננות שנפגעו ממעשיה. </w:t>
      </w:r>
    </w:p>
    <w:p w14:paraId="4FE9883E" w14:textId="77777777" w:rsidR="00F47AD9" w:rsidRDefault="00F47AD9">
      <w:pPr>
        <w:overflowPunct w:val="0"/>
        <w:autoSpaceDE w:val="0"/>
        <w:autoSpaceDN w:val="0"/>
        <w:adjustRightInd w:val="0"/>
        <w:spacing w:line="360" w:lineRule="auto"/>
        <w:rPr>
          <w:b/>
          <w:bCs/>
          <w:sz w:val="26"/>
          <w:szCs w:val="26"/>
          <w:rtl/>
        </w:rPr>
      </w:pPr>
    </w:p>
    <w:p w14:paraId="4D1C9D72" w14:textId="77777777" w:rsidR="00F47AD9" w:rsidRDefault="00783CC6">
      <w:pPr>
        <w:overflowPunct w:val="0"/>
        <w:autoSpaceDE w:val="0"/>
        <w:autoSpaceDN w:val="0"/>
        <w:adjustRightInd w:val="0"/>
        <w:spacing w:line="360" w:lineRule="auto"/>
        <w:rPr>
          <w:b/>
          <w:bCs/>
          <w:sz w:val="26"/>
          <w:szCs w:val="26"/>
          <w:rtl/>
        </w:rPr>
      </w:pPr>
      <w:r>
        <w:rPr>
          <w:rFonts w:hint="cs"/>
          <w:b/>
          <w:bCs/>
          <w:sz w:val="26"/>
          <w:szCs w:val="26"/>
          <w:rtl/>
        </w:rPr>
        <w:t xml:space="preserve">ב"כ  הנאשמת ביקשה להימנע מכך בהתחשב במצבה הכלכלי הקשה, בהיותה מטופלת בשני ילדים ובבעל שאינו עובד לאחר שנפל למשכב, כשהנאשמת משתכרת שכר מינימום מעבודתה בנקיון. </w:t>
      </w:r>
    </w:p>
    <w:p w14:paraId="5DD0FFF8" w14:textId="77777777" w:rsidR="00F47AD9" w:rsidRDefault="00F47AD9">
      <w:pPr>
        <w:overflowPunct w:val="0"/>
        <w:autoSpaceDE w:val="0"/>
        <w:autoSpaceDN w:val="0"/>
        <w:adjustRightInd w:val="0"/>
        <w:spacing w:line="360" w:lineRule="auto"/>
        <w:rPr>
          <w:b/>
          <w:bCs/>
          <w:sz w:val="26"/>
          <w:szCs w:val="26"/>
          <w:rtl/>
        </w:rPr>
      </w:pPr>
    </w:p>
    <w:p w14:paraId="35F8B9F7" w14:textId="77777777" w:rsidR="00F47AD9" w:rsidRDefault="00783CC6">
      <w:pPr>
        <w:overflowPunct w:val="0"/>
        <w:autoSpaceDE w:val="0"/>
        <w:autoSpaceDN w:val="0"/>
        <w:adjustRightInd w:val="0"/>
        <w:spacing w:line="360" w:lineRule="auto"/>
        <w:rPr>
          <w:b/>
          <w:bCs/>
          <w:sz w:val="26"/>
          <w:szCs w:val="26"/>
          <w:rtl/>
        </w:rPr>
      </w:pPr>
      <w:r>
        <w:rPr>
          <w:rFonts w:hint="cs"/>
          <w:b/>
          <w:bCs/>
          <w:sz w:val="26"/>
          <w:szCs w:val="26"/>
          <w:rtl/>
        </w:rPr>
        <w:t>לאחר ששמעתי את טיעוני הצדדים ועל מנת לאפשר לנאשמת המשך הליך שיקומי חיובי, אני מטילה עליה את העונשים  הבאים:</w:t>
      </w:r>
    </w:p>
    <w:p w14:paraId="22030FA6" w14:textId="77777777" w:rsidR="00F47AD9" w:rsidRDefault="00F47AD9">
      <w:pPr>
        <w:overflowPunct w:val="0"/>
        <w:autoSpaceDE w:val="0"/>
        <w:autoSpaceDN w:val="0"/>
        <w:adjustRightInd w:val="0"/>
        <w:spacing w:line="360" w:lineRule="auto"/>
        <w:ind w:left="720" w:hanging="720"/>
        <w:rPr>
          <w:b/>
          <w:bCs/>
          <w:sz w:val="26"/>
          <w:szCs w:val="26"/>
          <w:rtl/>
        </w:rPr>
      </w:pPr>
    </w:p>
    <w:p w14:paraId="6A7C21C1" w14:textId="77777777" w:rsidR="00F47AD9" w:rsidRDefault="00783CC6">
      <w:pPr>
        <w:overflowPunct w:val="0"/>
        <w:autoSpaceDE w:val="0"/>
        <w:autoSpaceDN w:val="0"/>
        <w:adjustRightInd w:val="0"/>
        <w:spacing w:line="360" w:lineRule="auto"/>
        <w:ind w:left="720" w:hanging="720"/>
        <w:rPr>
          <w:b/>
          <w:bCs/>
          <w:sz w:val="26"/>
          <w:szCs w:val="26"/>
          <w:rtl/>
        </w:rPr>
      </w:pPr>
      <w:r>
        <w:rPr>
          <w:rFonts w:hint="cs"/>
          <w:b/>
          <w:bCs/>
          <w:sz w:val="26"/>
          <w:szCs w:val="26"/>
          <w:rtl/>
        </w:rPr>
        <w:t>1.</w:t>
      </w:r>
      <w:r>
        <w:rPr>
          <w:b/>
          <w:bCs/>
          <w:sz w:val="26"/>
          <w:szCs w:val="26"/>
          <w:rtl/>
        </w:rPr>
        <w:tab/>
      </w:r>
      <w:r>
        <w:rPr>
          <w:rFonts w:hint="eastAsia"/>
          <w:b/>
          <w:bCs/>
          <w:sz w:val="26"/>
          <w:szCs w:val="26"/>
          <w:rtl/>
        </w:rPr>
        <w:t>מאסר</w:t>
      </w:r>
      <w:r>
        <w:rPr>
          <w:b/>
          <w:bCs/>
          <w:sz w:val="26"/>
          <w:szCs w:val="26"/>
          <w:rtl/>
        </w:rPr>
        <w:t xml:space="preserve"> על תנאי למשך </w:t>
      </w:r>
      <w:r>
        <w:rPr>
          <w:rFonts w:hint="cs"/>
          <w:b/>
          <w:bCs/>
          <w:sz w:val="26"/>
          <w:szCs w:val="26"/>
          <w:rtl/>
        </w:rPr>
        <w:t xml:space="preserve">6 חודשים </w:t>
      </w:r>
      <w:r>
        <w:rPr>
          <w:rFonts w:hint="eastAsia"/>
          <w:b/>
          <w:bCs/>
          <w:sz w:val="26"/>
          <w:szCs w:val="26"/>
          <w:rtl/>
        </w:rPr>
        <w:t>והתנאי</w:t>
      </w:r>
      <w:r>
        <w:rPr>
          <w:b/>
          <w:bCs/>
          <w:sz w:val="26"/>
          <w:szCs w:val="26"/>
          <w:rtl/>
        </w:rPr>
        <w:t xml:space="preserve"> הוא שהנאש</w:t>
      </w:r>
      <w:r>
        <w:rPr>
          <w:rFonts w:hint="cs"/>
          <w:b/>
          <w:bCs/>
          <w:sz w:val="26"/>
          <w:szCs w:val="26"/>
          <w:rtl/>
        </w:rPr>
        <w:t>מת</w:t>
      </w:r>
      <w:r>
        <w:rPr>
          <w:b/>
          <w:bCs/>
          <w:sz w:val="26"/>
          <w:szCs w:val="26"/>
          <w:rtl/>
        </w:rPr>
        <w:t xml:space="preserve"> לא </w:t>
      </w:r>
      <w:r>
        <w:rPr>
          <w:rFonts w:hint="cs"/>
          <w:b/>
          <w:bCs/>
          <w:sz w:val="26"/>
          <w:szCs w:val="26"/>
          <w:rtl/>
        </w:rPr>
        <w:t>ת</w:t>
      </w:r>
      <w:r>
        <w:rPr>
          <w:b/>
          <w:bCs/>
          <w:sz w:val="26"/>
          <w:szCs w:val="26"/>
          <w:rtl/>
        </w:rPr>
        <w:t xml:space="preserve">עבור </w:t>
      </w:r>
      <w:r>
        <w:rPr>
          <w:rFonts w:hint="cs"/>
          <w:b/>
          <w:bCs/>
          <w:sz w:val="26"/>
          <w:szCs w:val="26"/>
          <w:rtl/>
        </w:rPr>
        <w:t xml:space="preserve">כל עבירת רכוש, או עבירה של החזקת שטר כסף מזויף, למעט עבירה על </w:t>
      </w:r>
      <w:hyperlink r:id="rId9" w:history="1">
        <w:r w:rsidR="00A82C60" w:rsidRPr="00A82C60">
          <w:rPr>
            <w:b/>
            <w:bCs/>
            <w:color w:val="0000FF"/>
            <w:sz w:val="26"/>
            <w:szCs w:val="26"/>
            <w:u w:val="single"/>
            <w:rtl/>
          </w:rPr>
          <w:t>סעיף 413</w:t>
        </w:r>
      </w:hyperlink>
      <w:r>
        <w:rPr>
          <w:rFonts w:hint="cs"/>
          <w:b/>
          <w:bCs/>
          <w:sz w:val="26"/>
          <w:szCs w:val="26"/>
          <w:rtl/>
        </w:rPr>
        <w:t xml:space="preserve"> ל</w:t>
      </w:r>
      <w:hyperlink r:id="rId10" w:history="1">
        <w:r w:rsidRPr="00783CC6">
          <w:rPr>
            <w:b/>
            <w:bCs/>
            <w:color w:val="0000FF"/>
            <w:sz w:val="26"/>
            <w:szCs w:val="26"/>
            <w:u w:val="single"/>
            <w:rtl/>
          </w:rPr>
          <w:t>חוק העונשין</w:t>
        </w:r>
      </w:hyperlink>
      <w:r>
        <w:rPr>
          <w:rFonts w:hint="cs"/>
          <w:b/>
          <w:bCs/>
          <w:sz w:val="26"/>
          <w:szCs w:val="26"/>
          <w:rtl/>
        </w:rPr>
        <w:t xml:space="preserve">,  במשך 3 שנים מהיום. </w:t>
      </w:r>
    </w:p>
    <w:p w14:paraId="3727C9C6" w14:textId="77777777" w:rsidR="00F47AD9" w:rsidRDefault="00F47AD9">
      <w:pPr>
        <w:overflowPunct w:val="0"/>
        <w:autoSpaceDE w:val="0"/>
        <w:autoSpaceDN w:val="0"/>
        <w:adjustRightInd w:val="0"/>
        <w:spacing w:line="360" w:lineRule="auto"/>
        <w:ind w:left="720" w:hanging="720"/>
        <w:rPr>
          <w:b/>
          <w:bCs/>
          <w:sz w:val="26"/>
          <w:szCs w:val="26"/>
          <w:rtl/>
        </w:rPr>
      </w:pPr>
    </w:p>
    <w:p w14:paraId="0C74708C" w14:textId="77777777" w:rsidR="00F47AD9" w:rsidRDefault="00783CC6">
      <w:pPr>
        <w:overflowPunct w:val="0"/>
        <w:autoSpaceDE w:val="0"/>
        <w:autoSpaceDN w:val="0"/>
        <w:adjustRightInd w:val="0"/>
        <w:spacing w:line="360" w:lineRule="auto"/>
        <w:ind w:left="720" w:hanging="720"/>
        <w:rPr>
          <w:b/>
          <w:bCs/>
          <w:sz w:val="26"/>
          <w:szCs w:val="26"/>
          <w:rtl/>
        </w:rPr>
      </w:pPr>
      <w:r>
        <w:rPr>
          <w:rFonts w:hint="cs"/>
          <w:b/>
          <w:bCs/>
          <w:sz w:val="26"/>
          <w:szCs w:val="26"/>
          <w:rtl/>
        </w:rPr>
        <w:t>2.</w:t>
      </w:r>
      <w:r>
        <w:rPr>
          <w:rFonts w:hint="cs"/>
          <w:b/>
          <w:bCs/>
          <w:sz w:val="26"/>
          <w:szCs w:val="26"/>
          <w:rtl/>
        </w:rPr>
        <w:tab/>
        <w:t xml:space="preserve">מאסר על תנאי למשך 3 חודשים והתנאי הוא שהנאשמת לא תעבור כל עבירה על </w:t>
      </w:r>
      <w:hyperlink r:id="rId11" w:history="1">
        <w:r w:rsidRPr="00783CC6">
          <w:rPr>
            <w:b/>
            <w:bCs/>
            <w:color w:val="0000FF"/>
            <w:sz w:val="26"/>
            <w:szCs w:val="26"/>
            <w:u w:val="single"/>
            <w:rtl/>
          </w:rPr>
          <w:t>פקודת הסמים המסוכנים</w:t>
        </w:r>
      </w:hyperlink>
      <w:r>
        <w:rPr>
          <w:rFonts w:hint="cs"/>
          <w:b/>
          <w:bCs/>
          <w:sz w:val="26"/>
          <w:szCs w:val="26"/>
          <w:rtl/>
        </w:rPr>
        <w:t xml:space="preserve">, במשך 3 שנים מהיום. </w:t>
      </w:r>
    </w:p>
    <w:p w14:paraId="6A0E6680" w14:textId="77777777" w:rsidR="00F47AD9" w:rsidRDefault="00F47AD9">
      <w:pPr>
        <w:overflowPunct w:val="0"/>
        <w:autoSpaceDE w:val="0"/>
        <w:autoSpaceDN w:val="0"/>
        <w:adjustRightInd w:val="0"/>
        <w:spacing w:line="360" w:lineRule="auto"/>
        <w:ind w:left="720" w:hanging="720"/>
        <w:rPr>
          <w:b/>
          <w:bCs/>
          <w:sz w:val="26"/>
          <w:szCs w:val="26"/>
          <w:rtl/>
        </w:rPr>
      </w:pPr>
    </w:p>
    <w:p w14:paraId="457F2CD1" w14:textId="77777777" w:rsidR="00F47AD9" w:rsidRDefault="00783CC6">
      <w:pPr>
        <w:overflowPunct w:val="0"/>
        <w:autoSpaceDE w:val="0"/>
        <w:autoSpaceDN w:val="0"/>
        <w:adjustRightInd w:val="0"/>
        <w:spacing w:line="360" w:lineRule="auto"/>
        <w:ind w:left="720" w:hanging="720"/>
        <w:rPr>
          <w:b/>
          <w:bCs/>
          <w:sz w:val="26"/>
          <w:szCs w:val="26"/>
          <w:rtl/>
        </w:rPr>
      </w:pPr>
      <w:r>
        <w:rPr>
          <w:rFonts w:hint="cs"/>
          <w:b/>
          <w:bCs/>
          <w:sz w:val="26"/>
          <w:szCs w:val="26"/>
          <w:rtl/>
        </w:rPr>
        <w:t>3.</w:t>
      </w:r>
      <w:r>
        <w:rPr>
          <w:rFonts w:hint="cs"/>
          <w:b/>
          <w:bCs/>
          <w:sz w:val="26"/>
          <w:szCs w:val="26"/>
          <w:rtl/>
        </w:rPr>
        <w:tab/>
        <w:t xml:space="preserve">הנאשמת תחתום על התחייבות בסך 2000 ₪ להימנע מביצוע עבירה מהעבירות בהן הורשע במשך 3 שנים מהיום. </w:t>
      </w:r>
    </w:p>
    <w:p w14:paraId="3AE7327B" w14:textId="77777777" w:rsidR="00F47AD9" w:rsidRDefault="00F47AD9">
      <w:pPr>
        <w:overflowPunct w:val="0"/>
        <w:autoSpaceDE w:val="0"/>
        <w:autoSpaceDN w:val="0"/>
        <w:adjustRightInd w:val="0"/>
        <w:spacing w:line="360" w:lineRule="auto"/>
        <w:ind w:left="720" w:hanging="720"/>
        <w:rPr>
          <w:b/>
          <w:bCs/>
          <w:sz w:val="26"/>
          <w:szCs w:val="26"/>
          <w:rtl/>
        </w:rPr>
      </w:pPr>
    </w:p>
    <w:p w14:paraId="52886961" w14:textId="77777777" w:rsidR="00F47AD9" w:rsidRDefault="00783CC6">
      <w:pPr>
        <w:overflowPunct w:val="0"/>
        <w:autoSpaceDE w:val="0"/>
        <w:autoSpaceDN w:val="0"/>
        <w:adjustRightInd w:val="0"/>
        <w:spacing w:line="360" w:lineRule="auto"/>
        <w:ind w:left="720" w:hanging="720"/>
        <w:rPr>
          <w:b/>
          <w:bCs/>
          <w:sz w:val="26"/>
          <w:szCs w:val="26"/>
          <w:rtl/>
        </w:rPr>
      </w:pPr>
      <w:r>
        <w:rPr>
          <w:rFonts w:hint="cs"/>
          <w:b/>
          <w:bCs/>
          <w:sz w:val="26"/>
          <w:szCs w:val="26"/>
          <w:rtl/>
        </w:rPr>
        <w:t>4.</w:t>
      </w:r>
      <w:r>
        <w:rPr>
          <w:b/>
          <w:bCs/>
          <w:sz w:val="26"/>
          <w:szCs w:val="26"/>
          <w:rtl/>
        </w:rPr>
        <w:tab/>
      </w:r>
      <w:r>
        <w:rPr>
          <w:rFonts w:hint="cs"/>
          <w:b/>
          <w:bCs/>
          <w:sz w:val="26"/>
          <w:szCs w:val="26"/>
          <w:rtl/>
        </w:rPr>
        <w:t xml:space="preserve">ניתן צו מבחן למשך 18 חודשים. </w:t>
      </w:r>
    </w:p>
    <w:p w14:paraId="563FA021" w14:textId="77777777" w:rsidR="00F47AD9" w:rsidRDefault="00783CC6">
      <w:pPr>
        <w:spacing w:line="360" w:lineRule="auto"/>
        <w:ind w:left="720"/>
        <w:rPr>
          <w:b/>
          <w:bCs/>
          <w:sz w:val="28"/>
          <w:szCs w:val="26"/>
          <w:rtl/>
        </w:rPr>
      </w:pPr>
      <w:r>
        <w:rPr>
          <w:rFonts w:hint="cs"/>
          <w:b/>
          <w:bCs/>
          <w:sz w:val="28"/>
          <w:szCs w:val="26"/>
          <w:rtl/>
        </w:rPr>
        <w:t>הנאשמת מוזהרת שאם לא תמלא אחר הצו מכל בחינה שהיא או תעבור עבירה נוספת, תהיה צפויה לעונש על העבירה שבגללה ניתן הצו.</w:t>
      </w:r>
    </w:p>
    <w:p w14:paraId="61EEEF6C" w14:textId="77777777" w:rsidR="00F47AD9" w:rsidRDefault="00F47AD9">
      <w:pPr>
        <w:spacing w:line="360" w:lineRule="auto"/>
        <w:rPr>
          <w:b/>
          <w:bCs/>
          <w:szCs w:val="26"/>
          <w:rtl/>
        </w:rPr>
      </w:pPr>
    </w:p>
    <w:p w14:paraId="2663EF7B" w14:textId="77777777" w:rsidR="00F47AD9" w:rsidRDefault="00783CC6">
      <w:pPr>
        <w:pStyle w:val="a8"/>
        <w:spacing w:line="360" w:lineRule="auto"/>
        <w:ind w:left="720"/>
        <w:rPr>
          <w:b/>
          <w:bCs/>
          <w:sz w:val="26"/>
          <w:szCs w:val="26"/>
          <w:rtl/>
        </w:rPr>
      </w:pPr>
      <w:r>
        <w:rPr>
          <w:rFonts w:hint="cs"/>
          <w:b/>
          <w:bCs/>
          <w:sz w:val="26"/>
          <w:szCs w:val="26"/>
          <w:rtl/>
        </w:rPr>
        <w:t>המזכירות תמציא עותק מגזר הדין לשירות המבחן, אשר ידווח לבית המשפט עם תום תקופת הפיקוח או בכל מקרה של הפרת הצו על ידי הנאשמת.</w:t>
      </w:r>
    </w:p>
    <w:p w14:paraId="62E71514" w14:textId="77777777" w:rsidR="00F47AD9" w:rsidRDefault="00F47AD9">
      <w:pPr>
        <w:spacing w:line="360" w:lineRule="auto"/>
        <w:rPr>
          <w:b/>
          <w:bCs/>
          <w:szCs w:val="26"/>
          <w:rtl/>
        </w:rPr>
      </w:pPr>
    </w:p>
    <w:p w14:paraId="56208079" w14:textId="77777777" w:rsidR="00F47AD9" w:rsidRDefault="00783CC6">
      <w:pPr>
        <w:spacing w:line="360" w:lineRule="auto"/>
        <w:ind w:left="720"/>
        <w:rPr>
          <w:b/>
          <w:bCs/>
          <w:szCs w:val="26"/>
          <w:rtl/>
        </w:rPr>
      </w:pPr>
      <w:r>
        <w:rPr>
          <w:rFonts w:hint="cs"/>
          <w:b/>
          <w:bCs/>
          <w:szCs w:val="26"/>
          <w:rtl/>
        </w:rPr>
        <w:t>הנאשמת תחתום על צו המבחן תוך 7 ימים מהיום.</w:t>
      </w:r>
    </w:p>
    <w:p w14:paraId="37ED847D" w14:textId="77777777" w:rsidR="00F47AD9" w:rsidRDefault="00F47AD9">
      <w:pPr>
        <w:spacing w:line="360" w:lineRule="auto"/>
        <w:rPr>
          <w:b/>
          <w:bCs/>
          <w:szCs w:val="26"/>
          <w:rtl/>
        </w:rPr>
      </w:pPr>
    </w:p>
    <w:p w14:paraId="2E0083C8" w14:textId="77777777" w:rsidR="00F47AD9" w:rsidRDefault="00783CC6">
      <w:pPr>
        <w:spacing w:line="360" w:lineRule="auto"/>
        <w:ind w:left="720" w:hanging="720"/>
        <w:rPr>
          <w:b/>
          <w:bCs/>
          <w:szCs w:val="26"/>
          <w:rtl/>
        </w:rPr>
      </w:pPr>
      <w:r>
        <w:rPr>
          <w:rFonts w:hint="cs"/>
          <w:b/>
          <w:bCs/>
          <w:szCs w:val="26"/>
          <w:rtl/>
        </w:rPr>
        <w:t>5.</w:t>
      </w:r>
      <w:r>
        <w:rPr>
          <w:rFonts w:hint="cs"/>
          <w:b/>
          <w:bCs/>
          <w:szCs w:val="26"/>
          <w:rtl/>
        </w:rPr>
        <w:tab/>
        <w:t xml:space="preserve">לאור מצבה הכלכלי הקשה של הנאשמת ובהתחשב בכך שעליה להשקיע מאמצים בהליך הטיפולי, אמנע מהטלת עונש הכולל רכיב כספי ממשי. </w:t>
      </w:r>
    </w:p>
    <w:p w14:paraId="64CC575C" w14:textId="77777777" w:rsidR="00F47AD9" w:rsidRDefault="00783CC6">
      <w:pPr>
        <w:spacing w:line="360" w:lineRule="auto"/>
        <w:ind w:left="720"/>
        <w:rPr>
          <w:b/>
          <w:bCs/>
          <w:szCs w:val="26"/>
          <w:rtl/>
        </w:rPr>
      </w:pPr>
      <w:r>
        <w:rPr>
          <w:rFonts w:hint="cs"/>
          <w:b/>
          <w:bCs/>
          <w:szCs w:val="26"/>
          <w:rtl/>
        </w:rPr>
        <w:t xml:space="preserve">לפיכך אמנע מהטלת פיצוי. </w:t>
      </w:r>
    </w:p>
    <w:p w14:paraId="0E405E1C" w14:textId="77777777" w:rsidR="00F47AD9" w:rsidRDefault="00F47AD9">
      <w:pPr>
        <w:spacing w:line="360" w:lineRule="auto"/>
      </w:pPr>
    </w:p>
    <w:p w14:paraId="56670B0C" w14:textId="77777777" w:rsidR="00F47AD9" w:rsidRDefault="00F47AD9">
      <w:pPr>
        <w:overflowPunct w:val="0"/>
        <w:autoSpaceDE w:val="0"/>
        <w:autoSpaceDN w:val="0"/>
        <w:adjustRightInd w:val="0"/>
        <w:spacing w:line="360" w:lineRule="auto"/>
        <w:ind w:left="720" w:hanging="720"/>
        <w:rPr>
          <w:b/>
          <w:bCs/>
          <w:sz w:val="26"/>
          <w:szCs w:val="26"/>
          <w:rtl/>
        </w:rPr>
      </w:pPr>
    </w:p>
    <w:p w14:paraId="4A1FB203" w14:textId="77777777" w:rsidR="00F47AD9" w:rsidRDefault="00783CC6">
      <w:pPr>
        <w:pStyle w:val="a7"/>
        <w:spacing w:line="360" w:lineRule="auto"/>
        <w:rPr>
          <w:b/>
          <w:sz w:val="26"/>
          <w:szCs w:val="26"/>
          <w:rtl/>
        </w:rPr>
      </w:pPr>
      <w:r>
        <w:rPr>
          <w:rFonts w:hint="eastAsia"/>
          <w:b/>
          <w:sz w:val="26"/>
          <w:szCs w:val="26"/>
          <w:rtl/>
        </w:rPr>
        <w:t>זכות</w:t>
      </w:r>
      <w:r>
        <w:rPr>
          <w:b/>
          <w:sz w:val="26"/>
          <w:szCs w:val="26"/>
          <w:rtl/>
        </w:rPr>
        <w:t xml:space="preserve"> ערעור תוך 45 יום. </w:t>
      </w:r>
    </w:p>
    <w:p w14:paraId="3CFCF116" w14:textId="77777777" w:rsidR="00F47AD9" w:rsidRDefault="00F47AD9"/>
    <w:p w14:paraId="4EB9A438" w14:textId="77777777" w:rsidR="00F47AD9" w:rsidRDefault="00F47AD9">
      <w:pPr>
        <w:spacing w:line="360" w:lineRule="auto"/>
        <w:jc w:val="both"/>
        <w:rPr>
          <w:rFonts w:ascii="Arial" w:hAnsi="Arial"/>
          <w:rtl/>
        </w:rPr>
      </w:pPr>
    </w:p>
    <w:p w14:paraId="42DDE045" w14:textId="77777777" w:rsidR="00F47AD9" w:rsidRDefault="00783CC6">
      <w:pPr>
        <w:spacing w:line="360" w:lineRule="auto"/>
        <w:jc w:val="both"/>
        <w:rPr>
          <w:rFonts w:ascii="Arial" w:hAnsi="Arial"/>
          <w:b/>
          <w:bCs/>
          <w:sz w:val="26"/>
          <w:szCs w:val="26"/>
          <w:rtl/>
        </w:rPr>
      </w:pPr>
      <w:r>
        <w:rPr>
          <w:rFonts w:ascii="Arial" w:hAnsi="Arial" w:hint="cs"/>
          <w:b/>
          <w:bCs/>
          <w:sz w:val="26"/>
          <w:szCs w:val="26"/>
          <w:rtl/>
        </w:rPr>
        <w:t xml:space="preserve">השטר המזויף והסמים יושמדו. </w:t>
      </w:r>
    </w:p>
    <w:p w14:paraId="54F18E6F" w14:textId="77777777" w:rsidR="00F47AD9" w:rsidRDefault="00783CC6">
      <w:pPr>
        <w:spacing w:line="360" w:lineRule="auto"/>
        <w:jc w:val="both"/>
        <w:rPr>
          <w:rFonts w:ascii="Arial" w:hAnsi="Arial"/>
          <w:b/>
          <w:bCs/>
          <w:sz w:val="26"/>
          <w:szCs w:val="26"/>
          <w:rtl/>
        </w:rPr>
      </w:pPr>
      <w:r>
        <w:rPr>
          <w:rFonts w:ascii="Arial" w:hAnsi="Arial" w:hint="cs"/>
          <w:b/>
          <w:bCs/>
          <w:sz w:val="26"/>
          <w:szCs w:val="26"/>
          <w:rtl/>
        </w:rPr>
        <w:t xml:space="preserve">המסמכים יושבו לבעליהם ובהיעדר בעלים יושמדו. </w:t>
      </w:r>
    </w:p>
    <w:p w14:paraId="51F20A38" w14:textId="77777777" w:rsidR="00F47AD9" w:rsidRDefault="00783CC6">
      <w:pPr>
        <w:spacing w:line="360" w:lineRule="auto"/>
        <w:jc w:val="both"/>
        <w:rPr>
          <w:rFonts w:ascii="Arial" w:hAnsi="Arial"/>
          <w:b/>
          <w:bCs/>
          <w:sz w:val="6"/>
          <w:szCs w:val="6"/>
          <w:rtl/>
        </w:rPr>
      </w:pPr>
      <w:r>
        <w:rPr>
          <w:rFonts w:ascii="Arial" w:hAnsi="Arial"/>
          <w:b/>
          <w:bCs/>
          <w:sz w:val="6"/>
          <w:szCs w:val="6"/>
          <w:rtl/>
        </w:rPr>
        <w:t>&lt;#4#&gt;</w:t>
      </w:r>
    </w:p>
    <w:p w14:paraId="4D7EF4A3" w14:textId="77777777" w:rsidR="00F47AD9" w:rsidRDefault="00F47AD9">
      <w:pPr>
        <w:jc w:val="right"/>
        <w:rPr>
          <w:rtl/>
        </w:rPr>
      </w:pPr>
    </w:p>
    <w:p w14:paraId="1A7BF971" w14:textId="77777777" w:rsidR="00F47AD9" w:rsidRDefault="00783CC6">
      <w:pPr>
        <w:jc w:val="center"/>
        <w:rPr>
          <w:rtl/>
        </w:rPr>
      </w:pPr>
      <w:r w:rsidRPr="00783CC6">
        <w:rPr>
          <w:b/>
          <w:bCs/>
          <w:color w:val="FFFFFF"/>
          <w:sz w:val="2"/>
          <w:szCs w:val="2"/>
          <w:rtl/>
        </w:rPr>
        <w:t>5129371</w:t>
      </w:r>
      <w:r>
        <w:rPr>
          <w:b/>
          <w:bCs/>
          <w:rtl/>
        </w:rPr>
        <w:t xml:space="preserve">ניתנה והודעה היום ט' אדר תשע"ד, 09/02/2014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F47AD9" w14:paraId="0801E9CF" w14:textId="77777777">
        <w:trPr>
          <w:trHeight w:val="364"/>
          <w:jc w:val="right"/>
        </w:trPr>
        <w:tc>
          <w:tcPr>
            <w:tcW w:w="3708" w:type="dxa"/>
          </w:tcPr>
          <w:p w14:paraId="211D30EE" w14:textId="77777777" w:rsidR="00F47AD9" w:rsidRPr="00783CC6" w:rsidRDefault="00783CC6">
            <w:pPr>
              <w:jc w:val="center"/>
              <w:rPr>
                <w:rFonts w:ascii="Times New Roman" w:eastAsia="Times New Roman" w:hAnsi="Times New Roman" w:cs="Times New Roman"/>
                <w:color w:val="FFFFFF"/>
                <w:sz w:val="2"/>
                <w:szCs w:val="2"/>
              </w:rPr>
            </w:pPr>
            <w:r w:rsidRPr="00783CC6">
              <w:rPr>
                <w:rFonts w:ascii="Times New Roman" w:eastAsia="Times New Roman" w:hAnsi="Times New Roman" w:cs="Times New Roman"/>
                <w:color w:val="FFFFFF"/>
                <w:sz w:val="2"/>
                <w:szCs w:val="2"/>
                <w:rtl/>
              </w:rPr>
              <w:t>54678313</w:t>
            </w:r>
          </w:p>
          <w:p w14:paraId="77EADBDF" w14:textId="77777777" w:rsidR="00F47AD9" w:rsidRDefault="00F47AD9">
            <w:pPr>
              <w:jc w:val="center"/>
              <w:rPr>
                <w:rFonts w:ascii="Times New Roman" w:eastAsia="Times New Roman" w:hAnsi="Times New Roman" w:cs="Times New Roman"/>
                <w:rtl/>
              </w:rPr>
            </w:pPr>
          </w:p>
        </w:tc>
      </w:tr>
      <w:tr w:rsidR="00F47AD9" w14:paraId="00E90702" w14:textId="77777777">
        <w:trPr>
          <w:trHeight w:val="415"/>
          <w:jc w:val="right"/>
        </w:trPr>
        <w:tc>
          <w:tcPr>
            <w:tcW w:w="3708" w:type="dxa"/>
          </w:tcPr>
          <w:p w14:paraId="4C735DF9" w14:textId="77777777" w:rsidR="00F47AD9" w:rsidRDefault="00783CC6">
            <w:pPr>
              <w:jc w:val="center"/>
              <w:rPr>
                <w:rFonts w:ascii="Times New Roman" w:eastAsia="Times New Roman" w:hAnsi="Times New Roman"/>
                <w:b/>
                <w:bCs/>
                <w:rtl/>
              </w:rPr>
            </w:pPr>
            <w:r>
              <w:rPr>
                <w:rFonts w:ascii="Times New Roman" w:eastAsia="Times New Roman" w:hAnsi="Times New Roman" w:hint="cs"/>
                <w:rtl/>
              </w:rPr>
              <w:t>הדסה</w:t>
            </w:r>
            <w:r>
              <w:rPr>
                <w:rFonts w:ascii="Times New Roman" w:eastAsia="Times New Roman" w:hAnsi="Times New Roman" w:hint="cs"/>
                <w:b/>
                <w:bCs/>
                <w:rtl/>
              </w:rPr>
              <w:t xml:space="preserve"> </w:t>
            </w:r>
            <w:r>
              <w:rPr>
                <w:rFonts w:ascii="Times New Roman" w:eastAsia="Times New Roman" w:hAnsi="Times New Roman" w:hint="cs"/>
                <w:rtl/>
              </w:rPr>
              <w:t>נאור</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06BE7A46" w14:textId="77777777" w:rsidR="00F47AD9" w:rsidRDefault="00F47AD9">
      <w:pPr>
        <w:jc w:val="right"/>
        <w:rPr>
          <w:rtl/>
        </w:rPr>
      </w:pPr>
    </w:p>
    <w:p w14:paraId="546578CA" w14:textId="77777777" w:rsidR="00F47AD9" w:rsidRDefault="00A736FF">
      <w:pPr>
        <w:spacing w:line="360" w:lineRule="auto"/>
        <w:jc w:val="both"/>
        <w:rPr>
          <w:rtl/>
        </w:rPr>
      </w:pPr>
      <w:bookmarkStart w:id="6" w:name="_GoBack"/>
      <w:bookmarkEnd w:id="6"/>
      <w:r w:rsidRPr="00A736FF">
        <w:rPr>
          <w:color w:val="FFFFFF"/>
          <w:sz w:val="2"/>
          <w:szCs w:val="2"/>
          <w:rtl/>
        </w:rPr>
        <w:t>5129371</w:t>
      </w:r>
      <w:r w:rsidR="00783CC6">
        <w:rPr>
          <w:rFonts w:hint="cs"/>
          <w:rtl/>
        </w:rPr>
        <w:t>אליה</w:t>
      </w:r>
    </w:p>
    <w:p w14:paraId="53D7CCEA" w14:textId="77777777" w:rsidR="00783CC6" w:rsidRPr="00A736FF" w:rsidRDefault="00A736FF" w:rsidP="00783CC6">
      <w:pPr>
        <w:keepNext/>
        <w:rPr>
          <w:color w:val="FFFFFF"/>
          <w:sz w:val="2"/>
          <w:szCs w:val="2"/>
          <w:rtl/>
        </w:rPr>
      </w:pPr>
      <w:r w:rsidRPr="00A736FF">
        <w:rPr>
          <w:color w:val="FFFFFF"/>
          <w:sz w:val="2"/>
          <w:szCs w:val="2"/>
          <w:rtl/>
        </w:rPr>
        <w:t>54678313</w:t>
      </w:r>
    </w:p>
    <w:p w14:paraId="18DD01FB" w14:textId="77777777" w:rsidR="00783CC6" w:rsidRPr="00783CC6" w:rsidRDefault="00783CC6" w:rsidP="00783CC6">
      <w:pPr>
        <w:keepNext/>
        <w:rPr>
          <w:color w:val="000000"/>
          <w:sz w:val="22"/>
          <w:szCs w:val="22"/>
          <w:rtl/>
        </w:rPr>
      </w:pPr>
      <w:r w:rsidRPr="00783CC6">
        <w:rPr>
          <w:color w:val="000000"/>
          <w:sz w:val="22"/>
          <w:szCs w:val="22"/>
          <w:rtl/>
        </w:rPr>
        <w:t>הדסה נאור 54678313</w:t>
      </w:r>
    </w:p>
    <w:p w14:paraId="71A1ACE8" w14:textId="77777777" w:rsidR="00783CC6" w:rsidRDefault="00783CC6" w:rsidP="00783CC6">
      <w:r w:rsidRPr="00783CC6">
        <w:rPr>
          <w:color w:val="000000"/>
          <w:rtl/>
        </w:rPr>
        <w:t>נוסח מסמך זה כפוף לשינויי ניסוח ועריכה</w:t>
      </w:r>
    </w:p>
    <w:p w14:paraId="62733F5C" w14:textId="77777777" w:rsidR="00783CC6" w:rsidRDefault="00783CC6" w:rsidP="00783CC6">
      <w:pPr>
        <w:rPr>
          <w:rtl/>
        </w:rPr>
      </w:pPr>
    </w:p>
    <w:p w14:paraId="7A5288A8" w14:textId="77777777" w:rsidR="00783CC6" w:rsidRDefault="00783CC6" w:rsidP="00783CC6">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p w14:paraId="4B5185DF" w14:textId="77777777" w:rsidR="00A736FF" w:rsidRPr="00A736FF" w:rsidRDefault="00A736FF" w:rsidP="00A736FF">
      <w:pPr>
        <w:keepNext/>
        <w:rPr>
          <w:color w:val="000000"/>
          <w:sz w:val="22"/>
          <w:szCs w:val="22"/>
          <w:rtl/>
        </w:rPr>
      </w:pPr>
    </w:p>
    <w:p w14:paraId="1189AB22" w14:textId="77777777" w:rsidR="00F47AD9" w:rsidRPr="00783CC6" w:rsidRDefault="00F47AD9" w:rsidP="00A736FF">
      <w:pPr>
        <w:rPr>
          <w:color w:val="0000FF"/>
          <w:u w:val="single"/>
        </w:rPr>
      </w:pPr>
    </w:p>
    <w:sectPr w:rsidR="00F47AD9" w:rsidRPr="00783CC6" w:rsidSect="00A736FF">
      <w:headerReference w:type="even" r:id="rId13"/>
      <w:headerReference w:type="default" r:id="rId14"/>
      <w:footerReference w:type="even" r:id="rId15"/>
      <w:footerReference w:type="default" r:id="rId1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4AF666" w14:textId="77777777" w:rsidR="00DD37FB" w:rsidRPr="00B46A65" w:rsidRDefault="00DD37FB">
      <w:pPr>
        <w:rPr>
          <w:rFonts w:cs="Arial"/>
          <w:szCs w:val="20"/>
        </w:rPr>
      </w:pPr>
      <w:r>
        <w:separator/>
      </w:r>
    </w:p>
  </w:endnote>
  <w:endnote w:type="continuationSeparator" w:id="0">
    <w:p w14:paraId="11DAE11D" w14:textId="77777777" w:rsidR="00DD37FB" w:rsidRPr="00B46A65" w:rsidRDefault="00DD37F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3B81F" w14:textId="77777777" w:rsidR="00A736FF" w:rsidRDefault="00A736FF" w:rsidP="00A736FF">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92B55C0" w14:textId="77777777" w:rsidR="00F47AD9" w:rsidRPr="00A736FF" w:rsidRDefault="00A736FF" w:rsidP="00A736FF">
    <w:pPr>
      <w:pStyle w:val="a4"/>
      <w:pBdr>
        <w:top w:val="single" w:sz="4" w:space="1" w:color="auto"/>
        <w:between w:val="single" w:sz="4" w:space="0" w:color="auto"/>
      </w:pBdr>
      <w:spacing w:after="60"/>
      <w:jc w:val="center"/>
      <w:rPr>
        <w:rFonts w:ascii="FrankRuehl" w:hAnsi="FrankRuehl" w:cs="FrankRuehl"/>
        <w:color w:val="000000"/>
      </w:rPr>
    </w:pPr>
    <w:r w:rsidRPr="00A736F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CB043" w14:textId="77777777" w:rsidR="00A736FF" w:rsidRDefault="00A736FF" w:rsidP="00A736FF">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83DC8">
      <w:rPr>
        <w:rFonts w:ascii="FrankRuehl" w:hAnsi="FrankRuehl" w:cs="FrankRuehl"/>
        <w:noProof/>
        <w:rtl/>
      </w:rPr>
      <w:t>1</w:t>
    </w:r>
    <w:r>
      <w:rPr>
        <w:rFonts w:ascii="FrankRuehl" w:hAnsi="FrankRuehl" w:cs="FrankRuehl"/>
        <w:rtl/>
      </w:rPr>
      <w:fldChar w:fldCharType="end"/>
    </w:r>
  </w:p>
  <w:p w14:paraId="67229B75" w14:textId="77777777" w:rsidR="00F47AD9" w:rsidRPr="00A736FF" w:rsidRDefault="00A736FF" w:rsidP="00A736FF">
    <w:pPr>
      <w:pStyle w:val="a4"/>
      <w:pBdr>
        <w:top w:val="single" w:sz="4" w:space="1" w:color="auto"/>
        <w:between w:val="single" w:sz="4" w:space="0" w:color="auto"/>
      </w:pBdr>
      <w:spacing w:after="60"/>
      <w:jc w:val="center"/>
      <w:rPr>
        <w:rFonts w:ascii="FrankRuehl" w:hAnsi="FrankRuehl" w:cs="FrankRuehl"/>
        <w:color w:val="000000"/>
      </w:rPr>
    </w:pPr>
    <w:r w:rsidRPr="00A736FF">
      <w:rPr>
        <w:rFonts w:ascii="FrankRuehl" w:hAnsi="FrankRuehl" w:cs="FrankRuehl"/>
        <w:color w:val="000000"/>
      </w:rPr>
      <w:pict w14:anchorId="58E027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409FFD" w14:textId="77777777" w:rsidR="00DD37FB" w:rsidRPr="00B46A65" w:rsidRDefault="00DD37FB">
      <w:pPr>
        <w:rPr>
          <w:rFonts w:cs="Arial"/>
          <w:szCs w:val="20"/>
        </w:rPr>
      </w:pPr>
      <w:r>
        <w:separator/>
      </w:r>
    </w:p>
  </w:footnote>
  <w:footnote w:type="continuationSeparator" w:id="0">
    <w:p w14:paraId="3FA14878" w14:textId="77777777" w:rsidR="00DD37FB" w:rsidRPr="00B46A65" w:rsidRDefault="00DD37F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66CFE" w14:textId="77777777" w:rsidR="00783CC6" w:rsidRPr="00A736FF" w:rsidRDefault="00A736FF" w:rsidP="00A736F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11789-01-12</w:t>
    </w:r>
    <w:r>
      <w:rPr>
        <w:color w:val="000000"/>
        <w:sz w:val="22"/>
        <w:szCs w:val="22"/>
        <w:rtl/>
      </w:rPr>
      <w:tab/>
      <w:t xml:space="preserve"> מדינת ישראל נ' לימור חנום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2AB97" w14:textId="77777777" w:rsidR="00783CC6" w:rsidRPr="00A736FF" w:rsidRDefault="00A736FF" w:rsidP="00A736F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11789-01-12</w:t>
    </w:r>
    <w:r>
      <w:rPr>
        <w:color w:val="000000"/>
        <w:sz w:val="22"/>
        <w:szCs w:val="22"/>
        <w:rtl/>
      </w:rPr>
      <w:tab/>
      <w:t xml:space="preserve"> מדינת ישראל נ' לימור חנום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47AD9"/>
    <w:rsid w:val="002C52D3"/>
    <w:rsid w:val="003A11EE"/>
    <w:rsid w:val="00783CC6"/>
    <w:rsid w:val="00783DC8"/>
    <w:rsid w:val="00A736FF"/>
    <w:rsid w:val="00A82C60"/>
    <w:rsid w:val="00DD37FB"/>
    <w:rsid w:val="00F47AD9"/>
    <w:rsid w:val="00FC5F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B4C536A"/>
  <w15:chartTrackingRefBased/>
  <w15:docId w15:val="{E8CF4ED4-170C-4A88-8171-9A4327D53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47AD9"/>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47AD9"/>
    <w:pPr>
      <w:tabs>
        <w:tab w:val="center" w:pos="4153"/>
        <w:tab w:val="right" w:pos="8306"/>
      </w:tabs>
    </w:pPr>
  </w:style>
  <w:style w:type="paragraph" w:styleId="a4">
    <w:name w:val="footer"/>
    <w:basedOn w:val="a"/>
    <w:rsid w:val="00F47AD9"/>
    <w:pPr>
      <w:tabs>
        <w:tab w:val="center" w:pos="4153"/>
        <w:tab w:val="right" w:pos="8306"/>
      </w:tabs>
    </w:pPr>
  </w:style>
  <w:style w:type="character" w:styleId="a5">
    <w:name w:val="page number"/>
    <w:basedOn w:val="a0"/>
    <w:rsid w:val="00F47AD9"/>
  </w:style>
  <w:style w:type="paragraph" w:customStyle="1" w:styleId="a6">
    <w:name w:val="סגנון מיושר לשני הצדדים מרווח בין שורות:  שורה וחצי"/>
    <w:basedOn w:val="a"/>
    <w:rsid w:val="00F47AD9"/>
    <w:pPr>
      <w:spacing w:line="360" w:lineRule="auto"/>
      <w:jc w:val="both"/>
    </w:pPr>
    <w:rPr>
      <w:rFonts w:eastAsia="Times New Roman"/>
      <w:szCs w:val="26"/>
    </w:rPr>
  </w:style>
  <w:style w:type="paragraph" w:customStyle="1" w:styleId="12">
    <w:name w:val="רגיל + ‏12 נק'"/>
    <w:aliases w:val="מיושר לשני הצדדים,מרווח בין שורות:  שורה וחצי"/>
    <w:basedOn w:val="a"/>
    <w:rsid w:val="00F47AD9"/>
    <w:rPr>
      <w:rFonts w:ascii="Times New Roman" w:eastAsia="Times New Roman" w:hAnsi="Times New Roman"/>
      <w:b/>
      <w:bCs/>
      <w:u w:val="single"/>
    </w:rPr>
  </w:style>
  <w:style w:type="paragraph" w:customStyle="1" w:styleId="a7">
    <w:name w:val="החלטה"/>
    <w:basedOn w:val="a"/>
    <w:rsid w:val="00F47AD9"/>
    <w:pPr>
      <w:suppressLineNumbers/>
    </w:pPr>
    <w:rPr>
      <w:rFonts w:ascii="Times New Roman" w:eastAsia="Times New Roman" w:hAnsi="Times New Roman"/>
      <w:bCs/>
      <w:snapToGrid w:val="0"/>
      <w:sz w:val="20"/>
      <w:lang w:eastAsia="he-IL"/>
    </w:rPr>
  </w:style>
  <w:style w:type="paragraph" w:styleId="a8">
    <w:name w:val="Body Text"/>
    <w:basedOn w:val="a"/>
    <w:link w:val="a9"/>
    <w:rsid w:val="00F47AD9"/>
    <w:pPr>
      <w:spacing w:after="120"/>
    </w:pPr>
  </w:style>
  <w:style w:type="character" w:customStyle="1" w:styleId="a9">
    <w:name w:val="גוף טקסט תו"/>
    <w:link w:val="a8"/>
    <w:rsid w:val="00F47AD9"/>
    <w:rPr>
      <w:rFonts w:ascii="David" w:eastAsia="David" w:hAnsi="David" w:cs="David"/>
      <w:sz w:val="24"/>
      <w:szCs w:val="24"/>
      <w:lang w:val="en-US" w:eastAsia="en-US" w:bidi="he-IL"/>
    </w:rPr>
  </w:style>
  <w:style w:type="character" w:styleId="aa">
    <w:name w:val="line number"/>
    <w:basedOn w:val="a0"/>
    <w:rsid w:val="00F47AD9"/>
  </w:style>
  <w:style w:type="character" w:styleId="Hyperlink">
    <w:name w:val="Hyperlink"/>
    <w:rsid w:val="00783C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70301/413"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413"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512</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3068</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8257637</vt:i4>
      </vt:variant>
      <vt:variant>
        <vt:i4>15</vt:i4>
      </vt:variant>
      <vt:variant>
        <vt:i4>0</vt:i4>
      </vt:variant>
      <vt:variant>
        <vt:i4>5</vt:i4>
      </vt:variant>
      <vt:variant>
        <vt:lpwstr>http://www.nevo.co.il/law/4216</vt:lpwstr>
      </vt:variant>
      <vt:variant>
        <vt:lpwstr/>
      </vt:variant>
      <vt:variant>
        <vt:i4>7995492</vt:i4>
      </vt:variant>
      <vt:variant>
        <vt:i4>12</vt:i4>
      </vt:variant>
      <vt:variant>
        <vt:i4>0</vt:i4>
      </vt:variant>
      <vt:variant>
        <vt:i4>5</vt:i4>
      </vt:variant>
      <vt:variant>
        <vt:lpwstr>http://www.nevo.co.il/law/70301</vt:lpwstr>
      </vt:variant>
      <vt:variant>
        <vt:lpwstr/>
      </vt:variant>
      <vt:variant>
        <vt:i4>6553697</vt:i4>
      </vt:variant>
      <vt:variant>
        <vt:i4>9</vt:i4>
      </vt:variant>
      <vt:variant>
        <vt:i4>0</vt:i4>
      </vt:variant>
      <vt:variant>
        <vt:i4>5</vt:i4>
      </vt:variant>
      <vt:variant>
        <vt:lpwstr>http://www.nevo.co.il/law/70301/413</vt:lpwstr>
      </vt:variant>
      <vt:variant>
        <vt:lpwstr/>
      </vt:variant>
      <vt:variant>
        <vt:i4>8257637</vt:i4>
      </vt:variant>
      <vt:variant>
        <vt:i4>6</vt:i4>
      </vt:variant>
      <vt:variant>
        <vt:i4>0</vt:i4>
      </vt:variant>
      <vt:variant>
        <vt:i4>5</vt:i4>
      </vt:variant>
      <vt:variant>
        <vt:lpwstr>http://www.nevo.co.il/law/4216</vt:lpwstr>
      </vt:variant>
      <vt:variant>
        <vt:lpwstr/>
      </vt:variant>
      <vt:variant>
        <vt:i4>6553697</vt:i4>
      </vt:variant>
      <vt:variant>
        <vt:i4>3</vt:i4>
      </vt:variant>
      <vt:variant>
        <vt:i4>0</vt:i4>
      </vt:variant>
      <vt:variant>
        <vt:i4>5</vt:i4>
      </vt:variant>
      <vt:variant>
        <vt:lpwstr>http://www.nevo.co.il/law/70301/413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2025-04-22T21:41:00Z</dcterms:created>
  <dcterms:modified xsi:type="dcterms:W3CDTF">2025-04-22T21:41:00Z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11789;52044</vt:lpwstr>
  </property>
  <property fmtid="{D5CDD505-2E9C-101B-9397-08002B2CF9AE}" pid="6" name="NEWPARTB">
    <vt:lpwstr>01;05</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לימור חנום</vt:lpwstr>
  </property>
  <property fmtid="{D5CDD505-2E9C-101B-9397-08002B2CF9AE}" pid="10" name="LAWYER">
    <vt:lpwstr>נעמה פנן;דרור בוזגלו;מגי בן ארצי</vt:lpwstr>
  </property>
  <property fmtid="{D5CDD505-2E9C-101B-9397-08002B2CF9AE}" pid="11" name="JUDGE">
    <vt:lpwstr>הדסה נאור</vt:lpwstr>
  </property>
  <property fmtid="{D5CDD505-2E9C-101B-9397-08002B2CF9AE}" pid="12" name="CITY">
    <vt:lpwstr>ת"א</vt:lpwstr>
  </property>
  <property fmtid="{D5CDD505-2E9C-101B-9397-08002B2CF9AE}" pid="13" name="DATE">
    <vt:lpwstr>20140209</vt:lpwstr>
  </property>
  <property fmtid="{D5CDD505-2E9C-101B-9397-08002B2CF9AE}" pid="14" name="TYPE_N_DATE">
    <vt:lpwstr>38020140209</vt:lpwstr>
  </property>
  <property fmtid="{D5CDD505-2E9C-101B-9397-08002B2CF9AE}" pid="15" name="WORDNUMPAGES">
    <vt:lpwstr>3</vt:lpwstr>
  </property>
  <property fmtid="{D5CDD505-2E9C-101B-9397-08002B2CF9AE}" pid="16" name="TYPE_ABS_DATE">
    <vt:lpwstr>380020140209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LAWLISTTMP1">
    <vt:lpwstr>70301/413</vt:lpwstr>
  </property>
  <property fmtid="{D5CDD505-2E9C-101B-9397-08002B2CF9AE}" pid="35" name="LAWLISTTMP2">
    <vt:lpwstr>4216</vt:lpwstr>
  </property>
</Properties>
</file>