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B435DF" w:rsidRPr="00D36281" w14:paraId="5BDDB571" w14:textId="77777777">
        <w:trPr>
          <w:trHeight w:hRule="exact" w:val="418"/>
          <w:jc w:val="center"/>
        </w:trPr>
        <w:tc>
          <w:tcPr>
            <w:tcW w:w="8721" w:type="dxa"/>
            <w:gridSpan w:val="2"/>
          </w:tcPr>
          <w:p w14:paraId="5BDD8254" w14:textId="77777777" w:rsidR="00B435DF" w:rsidRPr="00D36281" w:rsidRDefault="00D36281">
            <w:pPr>
              <w:pStyle w:val="a3"/>
              <w:jc w:val="center"/>
              <w:rPr>
                <w:rFonts w:ascii="Tahoma" w:hAnsi="Tahoma" w:cs="Tahoma"/>
                <w:color w:val="000080"/>
                <w:rtl/>
              </w:rPr>
            </w:pPr>
            <w:bookmarkStart w:id="0" w:name="FirstLawyer"/>
            <w:bookmarkStart w:id="1" w:name="LastJudge"/>
            <w:r w:rsidRPr="00D36281">
              <w:rPr>
                <w:rFonts w:ascii="Tahoma" w:hAnsi="Tahoma" w:cs="Tahoma"/>
                <w:b/>
                <w:bCs/>
                <w:color w:val="000080"/>
                <w:rtl/>
              </w:rPr>
              <w:t>בית משפט השלום בכפר סבא</w:t>
            </w:r>
          </w:p>
        </w:tc>
      </w:tr>
      <w:tr w:rsidR="00B435DF" w:rsidRPr="00D36281" w14:paraId="72A62D67" w14:textId="77777777">
        <w:trPr>
          <w:trHeight w:val="337"/>
          <w:jc w:val="center"/>
        </w:trPr>
        <w:tc>
          <w:tcPr>
            <w:tcW w:w="5051" w:type="dxa"/>
          </w:tcPr>
          <w:p w14:paraId="6386A397" w14:textId="77777777" w:rsidR="00B435DF" w:rsidRPr="00D36281" w:rsidRDefault="00D36281">
            <w:pPr>
              <w:rPr>
                <w:rFonts w:cs="FrankRuehl"/>
                <w:sz w:val="28"/>
                <w:szCs w:val="28"/>
                <w:rtl/>
              </w:rPr>
            </w:pPr>
            <w:r w:rsidRPr="00D36281">
              <w:rPr>
                <w:rFonts w:cs="FrankRuehl"/>
                <w:sz w:val="28"/>
                <w:szCs w:val="28"/>
                <w:rtl/>
              </w:rPr>
              <w:t>ת"פ</w:t>
            </w:r>
            <w:r w:rsidRPr="00D36281">
              <w:rPr>
                <w:rFonts w:cs="FrankRuehl" w:hint="cs"/>
                <w:sz w:val="28"/>
                <w:szCs w:val="28"/>
                <w:rtl/>
              </w:rPr>
              <w:t xml:space="preserve"> </w:t>
            </w:r>
            <w:r w:rsidRPr="00D36281">
              <w:rPr>
                <w:rFonts w:cs="FrankRuehl"/>
                <w:sz w:val="28"/>
                <w:szCs w:val="28"/>
                <w:rtl/>
              </w:rPr>
              <w:t>15319-01-12</w:t>
            </w:r>
            <w:r w:rsidRPr="00D36281">
              <w:rPr>
                <w:rFonts w:cs="FrankRuehl" w:hint="cs"/>
                <w:sz w:val="28"/>
                <w:szCs w:val="28"/>
                <w:rtl/>
              </w:rPr>
              <w:t xml:space="preserve"> </w:t>
            </w:r>
            <w:r w:rsidRPr="00D36281">
              <w:rPr>
                <w:rFonts w:cs="FrankRuehl"/>
                <w:sz w:val="28"/>
                <w:szCs w:val="28"/>
                <w:rtl/>
              </w:rPr>
              <w:t>מדינת ישראל נ' מלצב(עציר)</w:t>
            </w:r>
          </w:p>
          <w:p w14:paraId="3F3EB524" w14:textId="77777777" w:rsidR="00B435DF" w:rsidRPr="00D36281" w:rsidRDefault="00B435DF">
            <w:pPr>
              <w:pStyle w:val="a3"/>
              <w:rPr>
                <w:rFonts w:cs="FrankRuehl"/>
                <w:sz w:val="28"/>
                <w:szCs w:val="28"/>
                <w:rtl/>
              </w:rPr>
            </w:pPr>
          </w:p>
          <w:p w14:paraId="63B80563" w14:textId="77777777" w:rsidR="00B435DF" w:rsidRPr="00D36281" w:rsidRDefault="00D36281">
            <w:r w:rsidRPr="00D36281">
              <w:rPr>
                <w:rtl/>
              </w:rPr>
              <w:t>ת"פ</w:t>
            </w:r>
            <w:r w:rsidRPr="00D36281">
              <w:rPr>
                <w:rFonts w:hint="cs"/>
                <w:rtl/>
              </w:rPr>
              <w:t xml:space="preserve"> </w:t>
            </w:r>
            <w:r w:rsidRPr="00D36281">
              <w:rPr>
                <w:rtl/>
              </w:rPr>
              <w:t>59723-05-12</w:t>
            </w:r>
            <w:r w:rsidRPr="00D36281">
              <w:rPr>
                <w:rFonts w:hint="cs"/>
                <w:rtl/>
              </w:rPr>
              <w:t xml:space="preserve"> </w:t>
            </w:r>
            <w:r w:rsidRPr="00D36281">
              <w:rPr>
                <w:rtl/>
              </w:rPr>
              <w:t>מדינת ישראל נ' מלצב(עציר)</w:t>
            </w:r>
          </w:p>
        </w:tc>
        <w:tc>
          <w:tcPr>
            <w:tcW w:w="3670" w:type="dxa"/>
          </w:tcPr>
          <w:p w14:paraId="25B3829B" w14:textId="77777777" w:rsidR="00B435DF" w:rsidRPr="00D36281" w:rsidRDefault="00D36281">
            <w:pPr>
              <w:pStyle w:val="a3"/>
              <w:jc w:val="right"/>
              <w:rPr>
                <w:rFonts w:cs="FrankRuehl"/>
                <w:sz w:val="28"/>
                <w:szCs w:val="28"/>
                <w:rtl/>
              </w:rPr>
            </w:pPr>
            <w:r w:rsidRPr="00D36281">
              <w:rPr>
                <w:rFonts w:cs="FrankRuehl" w:hint="cs"/>
                <w:sz w:val="28"/>
                <w:szCs w:val="28"/>
                <w:rtl/>
              </w:rPr>
              <w:t>4 פברואר</w:t>
            </w:r>
            <w:r w:rsidRPr="00D36281">
              <w:rPr>
                <w:rFonts w:cs="FrankRuehl"/>
                <w:sz w:val="28"/>
                <w:szCs w:val="28"/>
                <w:rtl/>
              </w:rPr>
              <w:t xml:space="preserve"> 2013</w:t>
            </w:r>
          </w:p>
        </w:tc>
      </w:tr>
    </w:tbl>
    <w:p w14:paraId="6C28B1FD" w14:textId="77777777" w:rsidR="00B435DF" w:rsidRPr="00D36281" w:rsidRDefault="00D36281">
      <w:pPr>
        <w:pStyle w:val="a3"/>
      </w:pPr>
      <w:r w:rsidRPr="00D3628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435DF" w:rsidRPr="00D36281" w14:paraId="418F9A09" w14:textId="77777777">
        <w:trPr>
          <w:trHeight w:val="295"/>
          <w:jc w:val="center"/>
        </w:trPr>
        <w:tc>
          <w:tcPr>
            <w:tcW w:w="923" w:type="dxa"/>
            <w:tcBorders>
              <w:top w:val="nil"/>
              <w:left w:val="nil"/>
              <w:bottom w:val="nil"/>
              <w:right w:val="nil"/>
            </w:tcBorders>
          </w:tcPr>
          <w:p w14:paraId="70413490" w14:textId="77777777" w:rsidR="00B435DF" w:rsidRPr="00D36281" w:rsidRDefault="00D36281">
            <w:pPr>
              <w:jc w:val="both"/>
              <w:rPr>
                <w:rFonts w:ascii="Arial" w:hAnsi="Arial" w:cs="FrankRuehl"/>
                <w:sz w:val="28"/>
                <w:szCs w:val="28"/>
              </w:rPr>
            </w:pPr>
            <w:r w:rsidRPr="00D36281">
              <w:rPr>
                <w:rFonts w:ascii="Arial" w:hAnsi="Arial" w:cs="FrankRuehl" w:hint="cs"/>
                <w:sz w:val="28"/>
                <w:szCs w:val="28"/>
                <w:rtl/>
              </w:rPr>
              <w:t>ב</w:t>
            </w:r>
            <w:r w:rsidRPr="00D36281">
              <w:rPr>
                <w:rFonts w:ascii="Arial" w:hAnsi="Arial" w:cs="FrankRuehl"/>
                <w:sz w:val="28"/>
                <w:szCs w:val="28"/>
                <w:rtl/>
              </w:rPr>
              <w:t xml:space="preserve">פני </w:t>
            </w:r>
          </w:p>
        </w:tc>
        <w:tc>
          <w:tcPr>
            <w:tcW w:w="7897" w:type="dxa"/>
            <w:gridSpan w:val="2"/>
            <w:tcBorders>
              <w:top w:val="nil"/>
              <w:left w:val="nil"/>
              <w:bottom w:val="nil"/>
              <w:right w:val="nil"/>
            </w:tcBorders>
          </w:tcPr>
          <w:p w14:paraId="108A69AF" w14:textId="77777777" w:rsidR="00B435DF" w:rsidRPr="00D36281" w:rsidRDefault="00D36281" w:rsidP="00C2593F">
            <w:pPr>
              <w:rPr>
                <w:rtl/>
              </w:rPr>
            </w:pPr>
            <w:r w:rsidRPr="00D36281">
              <w:rPr>
                <w:rFonts w:ascii="Arial" w:hAnsi="Arial" w:hint="cs"/>
                <w:b/>
                <w:bCs/>
                <w:rtl/>
              </w:rPr>
              <w:t>כב' ה</w:t>
            </w:r>
            <w:r w:rsidRPr="00D36281">
              <w:rPr>
                <w:rFonts w:hint="cs"/>
                <w:rtl/>
              </w:rPr>
              <w:t>שופטת</w:t>
            </w:r>
            <w:r w:rsidRPr="00D36281">
              <w:rPr>
                <w:rFonts w:ascii="Arial" w:hAnsi="Arial" w:hint="cs"/>
                <w:b/>
                <w:bCs/>
                <w:rtl/>
              </w:rPr>
              <w:t xml:space="preserve">  </w:t>
            </w:r>
            <w:r w:rsidRPr="00D36281">
              <w:rPr>
                <w:rFonts w:hint="cs"/>
                <w:rtl/>
              </w:rPr>
              <w:t>דנה מרשק מרום</w:t>
            </w:r>
          </w:p>
          <w:p w14:paraId="29050B4F" w14:textId="77777777" w:rsidR="00B435DF" w:rsidRPr="00D36281" w:rsidRDefault="00B435DF">
            <w:pPr>
              <w:jc w:val="both"/>
              <w:rPr>
                <w:rFonts w:ascii="Arial" w:hAnsi="Arial" w:cs="FrankRuehl"/>
                <w:sz w:val="28"/>
                <w:szCs w:val="28"/>
              </w:rPr>
            </w:pPr>
          </w:p>
        </w:tc>
      </w:tr>
      <w:tr w:rsidR="00B435DF" w:rsidRPr="00D36281" w14:paraId="4D9E9CFF" w14:textId="77777777">
        <w:trPr>
          <w:trHeight w:val="355"/>
          <w:jc w:val="center"/>
        </w:trPr>
        <w:tc>
          <w:tcPr>
            <w:tcW w:w="923" w:type="dxa"/>
            <w:tcBorders>
              <w:top w:val="nil"/>
              <w:left w:val="nil"/>
              <w:bottom w:val="nil"/>
              <w:right w:val="nil"/>
            </w:tcBorders>
          </w:tcPr>
          <w:p w14:paraId="3D1517EC" w14:textId="77777777" w:rsidR="00B435DF" w:rsidRPr="00D36281" w:rsidRDefault="00B435DF">
            <w:pPr>
              <w:jc w:val="both"/>
              <w:rPr>
                <w:rFonts w:ascii="Arial" w:hAnsi="Arial" w:cs="FrankRuehl"/>
                <w:sz w:val="28"/>
                <w:szCs w:val="28"/>
                <w:rtl/>
              </w:rPr>
            </w:pPr>
            <w:bookmarkStart w:id="2" w:name="FirstAppellant"/>
          </w:p>
          <w:p w14:paraId="6D438B9A" w14:textId="77777777" w:rsidR="00B435DF" w:rsidRPr="00D36281" w:rsidRDefault="00D36281">
            <w:pPr>
              <w:jc w:val="both"/>
              <w:rPr>
                <w:rFonts w:ascii="Arial" w:hAnsi="Arial" w:cs="FrankRuehl"/>
                <w:sz w:val="28"/>
                <w:szCs w:val="28"/>
              </w:rPr>
            </w:pPr>
            <w:r w:rsidRPr="00D36281">
              <w:rPr>
                <w:rFonts w:ascii="Arial" w:hAnsi="Arial" w:cs="FrankRuehl" w:hint="cs"/>
                <w:sz w:val="28"/>
                <w:szCs w:val="28"/>
                <w:rtl/>
              </w:rPr>
              <w:t>בעניין:</w:t>
            </w:r>
          </w:p>
        </w:tc>
        <w:tc>
          <w:tcPr>
            <w:tcW w:w="4126" w:type="dxa"/>
            <w:tcBorders>
              <w:top w:val="nil"/>
              <w:left w:val="nil"/>
              <w:bottom w:val="nil"/>
              <w:right w:val="nil"/>
            </w:tcBorders>
          </w:tcPr>
          <w:p w14:paraId="534F8F1A" w14:textId="77777777" w:rsidR="00B435DF" w:rsidRPr="00D36281" w:rsidRDefault="00B435DF">
            <w:pPr>
              <w:jc w:val="both"/>
              <w:rPr>
                <w:rFonts w:ascii="Arial" w:hAnsi="Arial" w:cs="FrankRuehl"/>
                <w:sz w:val="28"/>
                <w:szCs w:val="28"/>
                <w:rtl/>
              </w:rPr>
            </w:pPr>
          </w:p>
          <w:p w14:paraId="2E31B189" w14:textId="77777777" w:rsidR="00B435DF" w:rsidRPr="00D36281" w:rsidRDefault="00D36281">
            <w:pPr>
              <w:rPr>
                <w:b/>
                <w:bCs/>
              </w:rPr>
            </w:pPr>
            <w:r w:rsidRPr="00D36281">
              <w:rPr>
                <w:rFonts w:hint="cs"/>
                <w:b/>
                <w:bCs/>
                <w:rtl/>
              </w:rPr>
              <w:t>מדינת ישראל ע"י עו"ד קובי לן</w:t>
            </w:r>
          </w:p>
          <w:p w14:paraId="4374AD7C" w14:textId="77777777" w:rsidR="00B435DF" w:rsidRPr="00D36281" w:rsidRDefault="00B435DF">
            <w:pPr>
              <w:jc w:val="both"/>
              <w:rPr>
                <w:rFonts w:ascii="Arial" w:hAnsi="Arial" w:cs="FrankRuehl"/>
                <w:sz w:val="28"/>
                <w:szCs w:val="28"/>
              </w:rPr>
            </w:pPr>
          </w:p>
        </w:tc>
        <w:tc>
          <w:tcPr>
            <w:tcW w:w="3771" w:type="dxa"/>
            <w:tcBorders>
              <w:top w:val="nil"/>
              <w:left w:val="nil"/>
              <w:bottom w:val="nil"/>
              <w:right w:val="nil"/>
            </w:tcBorders>
          </w:tcPr>
          <w:p w14:paraId="6E304A48" w14:textId="77777777" w:rsidR="00B435DF" w:rsidRPr="00D36281" w:rsidRDefault="00B435DF">
            <w:pPr>
              <w:jc w:val="both"/>
              <w:rPr>
                <w:rFonts w:ascii="Arial" w:hAnsi="Arial" w:cs="FrankRuehl"/>
                <w:sz w:val="28"/>
                <w:szCs w:val="28"/>
              </w:rPr>
            </w:pPr>
          </w:p>
        </w:tc>
      </w:tr>
      <w:bookmarkEnd w:id="2"/>
      <w:tr w:rsidR="00B435DF" w:rsidRPr="00D36281" w14:paraId="67843392" w14:textId="77777777">
        <w:trPr>
          <w:trHeight w:val="355"/>
          <w:jc w:val="center"/>
        </w:trPr>
        <w:tc>
          <w:tcPr>
            <w:tcW w:w="923" w:type="dxa"/>
            <w:tcBorders>
              <w:top w:val="nil"/>
              <w:left w:val="nil"/>
              <w:bottom w:val="nil"/>
              <w:right w:val="nil"/>
            </w:tcBorders>
          </w:tcPr>
          <w:p w14:paraId="58F9D1C1" w14:textId="77777777" w:rsidR="00B435DF" w:rsidRPr="00D36281" w:rsidRDefault="00B435DF">
            <w:pPr>
              <w:jc w:val="both"/>
              <w:rPr>
                <w:rFonts w:ascii="Arial" w:hAnsi="Arial" w:cs="FrankRuehl"/>
                <w:sz w:val="28"/>
                <w:szCs w:val="28"/>
                <w:rtl/>
              </w:rPr>
            </w:pPr>
          </w:p>
        </w:tc>
        <w:tc>
          <w:tcPr>
            <w:tcW w:w="4126" w:type="dxa"/>
            <w:tcBorders>
              <w:top w:val="nil"/>
              <w:left w:val="nil"/>
              <w:bottom w:val="nil"/>
              <w:right w:val="nil"/>
            </w:tcBorders>
          </w:tcPr>
          <w:p w14:paraId="02F0C145" w14:textId="77777777" w:rsidR="00B435DF" w:rsidRPr="00D36281" w:rsidRDefault="00B435DF">
            <w:pPr>
              <w:jc w:val="both"/>
              <w:rPr>
                <w:rtl/>
              </w:rPr>
            </w:pPr>
          </w:p>
        </w:tc>
        <w:tc>
          <w:tcPr>
            <w:tcW w:w="3771" w:type="dxa"/>
            <w:tcBorders>
              <w:top w:val="nil"/>
              <w:left w:val="nil"/>
              <w:bottom w:val="nil"/>
              <w:right w:val="nil"/>
            </w:tcBorders>
          </w:tcPr>
          <w:p w14:paraId="6933139C" w14:textId="77777777" w:rsidR="00B435DF" w:rsidRPr="00D36281" w:rsidRDefault="00D36281">
            <w:pPr>
              <w:jc w:val="right"/>
              <w:rPr>
                <w:rFonts w:ascii="Arial" w:hAnsi="Arial" w:cs="FrankRuehl"/>
                <w:sz w:val="28"/>
                <w:szCs w:val="28"/>
                <w:rtl/>
              </w:rPr>
            </w:pPr>
            <w:r w:rsidRPr="00D36281">
              <w:rPr>
                <w:rFonts w:ascii="Arial" w:hAnsi="Arial" w:cs="FrankRuehl" w:hint="cs"/>
                <w:sz w:val="28"/>
                <w:szCs w:val="28"/>
                <w:rtl/>
              </w:rPr>
              <w:t>ה</w:t>
            </w:r>
            <w:r w:rsidRPr="00D36281">
              <w:rPr>
                <w:rFonts w:hint="cs"/>
                <w:rtl/>
              </w:rPr>
              <w:t>מאשימה</w:t>
            </w:r>
          </w:p>
        </w:tc>
      </w:tr>
      <w:tr w:rsidR="00B435DF" w:rsidRPr="00D36281" w14:paraId="607C7204" w14:textId="77777777">
        <w:trPr>
          <w:trHeight w:val="355"/>
          <w:jc w:val="center"/>
        </w:trPr>
        <w:tc>
          <w:tcPr>
            <w:tcW w:w="923" w:type="dxa"/>
            <w:tcBorders>
              <w:top w:val="nil"/>
              <w:left w:val="nil"/>
              <w:bottom w:val="nil"/>
              <w:right w:val="nil"/>
            </w:tcBorders>
          </w:tcPr>
          <w:p w14:paraId="55BB4819" w14:textId="77777777" w:rsidR="00B435DF" w:rsidRPr="00D36281" w:rsidRDefault="00B435DF">
            <w:pPr>
              <w:jc w:val="both"/>
              <w:rPr>
                <w:rFonts w:ascii="Arial" w:hAnsi="Arial" w:cs="FrankRuehl"/>
                <w:sz w:val="28"/>
                <w:szCs w:val="28"/>
                <w:rtl/>
              </w:rPr>
            </w:pPr>
          </w:p>
        </w:tc>
        <w:tc>
          <w:tcPr>
            <w:tcW w:w="7897" w:type="dxa"/>
            <w:gridSpan w:val="2"/>
            <w:tcBorders>
              <w:top w:val="nil"/>
              <w:left w:val="nil"/>
              <w:bottom w:val="nil"/>
              <w:right w:val="nil"/>
            </w:tcBorders>
          </w:tcPr>
          <w:p w14:paraId="0CC9BBAE" w14:textId="77777777" w:rsidR="00B435DF" w:rsidRPr="00D36281" w:rsidRDefault="00B435DF">
            <w:pPr>
              <w:jc w:val="center"/>
              <w:rPr>
                <w:rFonts w:ascii="Arial" w:hAnsi="Arial" w:cs="FrankRuehl"/>
                <w:b/>
                <w:bCs/>
                <w:sz w:val="28"/>
                <w:szCs w:val="28"/>
                <w:rtl/>
              </w:rPr>
            </w:pPr>
          </w:p>
          <w:p w14:paraId="3231B876" w14:textId="77777777" w:rsidR="00B435DF" w:rsidRPr="00D36281" w:rsidRDefault="00D36281">
            <w:pPr>
              <w:jc w:val="center"/>
              <w:rPr>
                <w:rFonts w:ascii="Arial" w:hAnsi="Arial" w:cs="FrankRuehl"/>
                <w:b/>
                <w:bCs/>
                <w:sz w:val="28"/>
                <w:szCs w:val="28"/>
                <w:rtl/>
              </w:rPr>
            </w:pPr>
            <w:r w:rsidRPr="00D36281">
              <w:rPr>
                <w:rFonts w:ascii="Arial" w:hAnsi="Arial" w:cs="FrankRuehl"/>
                <w:b/>
                <w:bCs/>
                <w:sz w:val="28"/>
                <w:szCs w:val="28"/>
                <w:rtl/>
              </w:rPr>
              <w:t>נגד</w:t>
            </w:r>
          </w:p>
          <w:p w14:paraId="387E4DD3" w14:textId="77777777" w:rsidR="00B435DF" w:rsidRPr="00D36281" w:rsidRDefault="00B435DF">
            <w:pPr>
              <w:jc w:val="both"/>
              <w:rPr>
                <w:rFonts w:ascii="Arial" w:hAnsi="Arial" w:cs="FrankRuehl"/>
                <w:sz w:val="28"/>
                <w:szCs w:val="28"/>
              </w:rPr>
            </w:pPr>
          </w:p>
        </w:tc>
      </w:tr>
      <w:tr w:rsidR="00B435DF" w:rsidRPr="00D36281" w14:paraId="64BC8C25" w14:textId="77777777">
        <w:trPr>
          <w:trHeight w:val="355"/>
          <w:jc w:val="center"/>
        </w:trPr>
        <w:tc>
          <w:tcPr>
            <w:tcW w:w="923" w:type="dxa"/>
            <w:tcBorders>
              <w:top w:val="nil"/>
              <w:left w:val="nil"/>
              <w:bottom w:val="nil"/>
              <w:right w:val="nil"/>
            </w:tcBorders>
          </w:tcPr>
          <w:p w14:paraId="212EDF8B" w14:textId="77777777" w:rsidR="00B435DF" w:rsidRPr="00D36281" w:rsidRDefault="00B435DF">
            <w:pPr>
              <w:jc w:val="both"/>
              <w:rPr>
                <w:b/>
                <w:bCs/>
                <w:rtl/>
              </w:rPr>
            </w:pPr>
          </w:p>
        </w:tc>
        <w:tc>
          <w:tcPr>
            <w:tcW w:w="4126" w:type="dxa"/>
            <w:tcBorders>
              <w:top w:val="nil"/>
              <w:left w:val="nil"/>
              <w:bottom w:val="nil"/>
              <w:right w:val="nil"/>
            </w:tcBorders>
          </w:tcPr>
          <w:p w14:paraId="1E42940A" w14:textId="77777777" w:rsidR="00B435DF" w:rsidRPr="00D36281" w:rsidRDefault="00D36281">
            <w:pPr>
              <w:jc w:val="both"/>
              <w:rPr>
                <w:b/>
                <w:bCs/>
                <w:rtl/>
              </w:rPr>
            </w:pPr>
            <w:r w:rsidRPr="00D36281">
              <w:rPr>
                <w:rFonts w:hint="cs"/>
                <w:b/>
                <w:bCs/>
                <w:rtl/>
              </w:rPr>
              <w:t>קונסטנט מלצב (עציר) – הובא וע"י עו"ד מירי אוזן</w:t>
            </w:r>
          </w:p>
        </w:tc>
        <w:tc>
          <w:tcPr>
            <w:tcW w:w="3771" w:type="dxa"/>
            <w:tcBorders>
              <w:top w:val="nil"/>
              <w:left w:val="nil"/>
              <w:bottom w:val="nil"/>
              <w:right w:val="nil"/>
            </w:tcBorders>
          </w:tcPr>
          <w:p w14:paraId="7B36147A" w14:textId="77777777" w:rsidR="00B435DF" w:rsidRPr="00D36281" w:rsidRDefault="00B435DF">
            <w:pPr>
              <w:jc w:val="right"/>
              <w:rPr>
                <w:rFonts w:ascii="Arial" w:hAnsi="Arial" w:cs="FrankRuehl"/>
                <w:sz w:val="28"/>
                <w:szCs w:val="28"/>
              </w:rPr>
            </w:pPr>
          </w:p>
        </w:tc>
      </w:tr>
      <w:tr w:rsidR="00B435DF" w:rsidRPr="00D36281" w14:paraId="04015DBC" w14:textId="77777777">
        <w:trPr>
          <w:trHeight w:val="355"/>
          <w:jc w:val="center"/>
        </w:trPr>
        <w:tc>
          <w:tcPr>
            <w:tcW w:w="923" w:type="dxa"/>
            <w:tcBorders>
              <w:top w:val="nil"/>
              <w:left w:val="nil"/>
              <w:bottom w:val="nil"/>
              <w:right w:val="nil"/>
            </w:tcBorders>
          </w:tcPr>
          <w:p w14:paraId="30596326" w14:textId="77777777" w:rsidR="00B435DF" w:rsidRPr="00D36281" w:rsidRDefault="00B435DF">
            <w:pPr>
              <w:jc w:val="both"/>
              <w:rPr>
                <w:rFonts w:ascii="Arial" w:hAnsi="Arial" w:cs="FrankRuehl"/>
                <w:sz w:val="28"/>
                <w:szCs w:val="28"/>
                <w:rtl/>
              </w:rPr>
            </w:pPr>
          </w:p>
        </w:tc>
        <w:tc>
          <w:tcPr>
            <w:tcW w:w="4126" w:type="dxa"/>
            <w:tcBorders>
              <w:top w:val="nil"/>
              <w:left w:val="nil"/>
              <w:bottom w:val="nil"/>
              <w:right w:val="nil"/>
            </w:tcBorders>
          </w:tcPr>
          <w:p w14:paraId="703D7E5F" w14:textId="77777777" w:rsidR="00B435DF" w:rsidRPr="00D36281" w:rsidRDefault="00B435DF">
            <w:pPr>
              <w:jc w:val="both"/>
              <w:rPr>
                <w:rtl/>
              </w:rPr>
            </w:pPr>
          </w:p>
        </w:tc>
        <w:tc>
          <w:tcPr>
            <w:tcW w:w="3771" w:type="dxa"/>
            <w:tcBorders>
              <w:top w:val="nil"/>
              <w:left w:val="nil"/>
              <w:bottom w:val="nil"/>
              <w:right w:val="nil"/>
            </w:tcBorders>
          </w:tcPr>
          <w:p w14:paraId="0225ECFD" w14:textId="77777777" w:rsidR="00B435DF" w:rsidRPr="00D36281" w:rsidRDefault="00D36281">
            <w:pPr>
              <w:jc w:val="right"/>
              <w:rPr>
                <w:rFonts w:ascii="Arial" w:hAnsi="Arial" w:cs="FrankRuehl"/>
                <w:sz w:val="28"/>
                <w:szCs w:val="28"/>
              </w:rPr>
            </w:pPr>
            <w:r w:rsidRPr="00D36281">
              <w:rPr>
                <w:rFonts w:ascii="Arial" w:hAnsi="Arial" w:cs="FrankRuehl" w:hint="cs"/>
                <w:sz w:val="28"/>
                <w:szCs w:val="28"/>
                <w:rtl/>
              </w:rPr>
              <w:t>ה</w:t>
            </w:r>
            <w:r w:rsidRPr="00D36281">
              <w:rPr>
                <w:rFonts w:hint="cs"/>
                <w:rtl/>
              </w:rPr>
              <w:t>נאשם</w:t>
            </w:r>
          </w:p>
        </w:tc>
      </w:tr>
    </w:tbl>
    <w:p w14:paraId="4375B523" w14:textId="77777777" w:rsidR="002739FF" w:rsidRDefault="002739FF">
      <w:pPr>
        <w:rPr>
          <w:rtl/>
        </w:rPr>
      </w:pPr>
      <w:bookmarkStart w:id="3" w:name="LawTable"/>
      <w:bookmarkEnd w:id="3"/>
    </w:p>
    <w:p w14:paraId="15B2E742" w14:textId="77777777" w:rsidR="002739FF" w:rsidRPr="002739FF" w:rsidRDefault="002739FF" w:rsidP="002739FF">
      <w:pPr>
        <w:spacing w:after="120" w:line="240" w:lineRule="exact"/>
        <w:ind w:left="283" w:hanging="283"/>
        <w:jc w:val="both"/>
        <w:rPr>
          <w:rFonts w:ascii="FrankRuehl" w:hAnsi="FrankRuehl" w:cs="FrankRuehl"/>
          <w:rtl/>
        </w:rPr>
      </w:pPr>
    </w:p>
    <w:p w14:paraId="0B5E9A95" w14:textId="77777777" w:rsidR="002739FF" w:rsidRPr="002739FF" w:rsidRDefault="002739FF" w:rsidP="002739FF">
      <w:pPr>
        <w:spacing w:after="120" w:line="240" w:lineRule="exact"/>
        <w:ind w:left="283" w:hanging="283"/>
        <w:jc w:val="both"/>
        <w:rPr>
          <w:rFonts w:ascii="FrankRuehl" w:hAnsi="FrankRuehl" w:cs="FrankRuehl"/>
          <w:rtl/>
        </w:rPr>
      </w:pPr>
      <w:r w:rsidRPr="002739FF">
        <w:rPr>
          <w:rFonts w:ascii="FrankRuehl" w:hAnsi="FrankRuehl" w:cs="FrankRuehl"/>
          <w:rtl/>
        </w:rPr>
        <w:t xml:space="preserve">חקיקה שאוזכרה: </w:t>
      </w:r>
    </w:p>
    <w:p w14:paraId="475D042B" w14:textId="77777777" w:rsidR="002739FF" w:rsidRPr="002739FF" w:rsidRDefault="002739FF" w:rsidP="002739FF">
      <w:pPr>
        <w:spacing w:after="120" w:line="240" w:lineRule="exact"/>
        <w:ind w:left="283" w:hanging="283"/>
        <w:jc w:val="both"/>
        <w:rPr>
          <w:rFonts w:ascii="FrankRuehl" w:hAnsi="FrankRuehl" w:cs="FrankRuehl"/>
          <w:color w:val="0000FF"/>
          <w:u w:val="single"/>
          <w:rtl/>
        </w:rPr>
      </w:pPr>
      <w:hyperlink r:id="rId6" w:history="1">
        <w:r w:rsidRPr="002739FF">
          <w:rPr>
            <w:rStyle w:val="Hyperlink"/>
            <w:rFonts w:ascii="FrankRuehl" w:hAnsi="FrankRuehl" w:cs="FrankRuehl"/>
            <w:rtl/>
          </w:rPr>
          <w:t>פקודת הסמים המסוכנים [נוסח חדש], תשל"ג-1973</w:t>
        </w:r>
      </w:hyperlink>
      <w:r w:rsidRPr="002739FF">
        <w:rPr>
          <w:rFonts w:ascii="FrankRuehl" w:hAnsi="FrankRuehl" w:cs="FrankRuehl"/>
          <w:color w:val="0000FF"/>
          <w:u w:val="single"/>
          <w:rtl/>
        </w:rPr>
        <w:t xml:space="preserve">: סע'  </w:t>
      </w:r>
      <w:hyperlink r:id="rId7" w:history="1">
        <w:r w:rsidRPr="002739FF">
          <w:rPr>
            <w:rStyle w:val="Hyperlink"/>
            <w:rFonts w:ascii="FrankRuehl" w:hAnsi="FrankRuehl" w:cs="FrankRuehl"/>
          </w:rPr>
          <w:t>7(</w:t>
        </w:r>
        <w:r w:rsidRPr="002739FF">
          <w:rPr>
            <w:rStyle w:val="Hyperlink"/>
            <w:rFonts w:ascii="FrankRuehl" w:hAnsi="FrankRuehl" w:cs="FrankRuehl"/>
            <w:rtl/>
          </w:rPr>
          <w:t>א</w:t>
        </w:r>
        <w:r w:rsidRPr="002739FF">
          <w:rPr>
            <w:rStyle w:val="Hyperlink"/>
            <w:rFonts w:ascii="FrankRuehl" w:hAnsi="FrankRuehl" w:cs="FrankRuehl"/>
          </w:rPr>
          <w:t>)</w:t>
        </w:r>
      </w:hyperlink>
      <w:r w:rsidRPr="002739FF">
        <w:rPr>
          <w:rFonts w:ascii="FrankRuehl" w:hAnsi="FrankRuehl" w:cs="FrankRuehl"/>
          <w:color w:val="0000FF"/>
          <w:u w:val="single"/>
          <w:rtl/>
        </w:rPr>
        <w:t xml:space="preserve">, </w:t>
      </w:r>
      <w:hyperlink r:id="rId8" w:history="1">
        <w:r w:rsidRPr="002739FF">
          <w:rPr>
            <w:rStyle w:val="Hyperlink"/>
            <w:rFonts w:ascii="FrankRuehl" w:hAnsi="FrankRuehl" w:cs="FrankRuehl"/>
          </w:rPr>
          <w:t>(</w:t>
        </w:r>
        <w:r w:rsidRPr="002739FF">
          <w:rPr>
            <w:rStyle w:val="Hyperlink"/>
            <w:rFonts w:ascii="FrankRuehl" w:hAnsi="FrankRuehl" w:cs="FrankRuehl"/>
            <w:rtl/>
          </w:rPr>
          <w:t>ג</w:t>
        </w:r>
        <w:r w:rsidRPr="002739FF">
          <w:rPr>
            <w:rStyle w:val="Hyperlink"/>
            <w:rFonts w:ascii="FrankRuehl" w:hAnsi="FrankRuehl" w:cs="FrankRuehl"/>
          </w:rPr>
          <w:t>)</w:t>
        </w:r>
      </w:hyperlink>
      <w:r w:rsidRPr="002739FF">
        <w:rPr>
          <w:rFonts w:ascii="FrankRuehl" w:hAnsi="FrankRuehl" w:cs="FrankRuehl"/>
          <w:color w:val="0000FF"/>
          <w:u w:val="single"/>
          <w:rtl/>
        </w:rPr>
        <w:t xml:space="preserve">, </w:t>
      </w:r>
      <w:hyperlink r:id="rId9" w:history="1">
        <w:r w:rsidRPr="002739FF">
          <w:rPr>
            <w:rStyle w:val="Hyperlink"/>
            <w:rFonts w:ascii="FrankRuehl" w:hAnsi="FrankRuehl" w:cs="FrankRuehl"/>
          </w:rPr>
          <w:t>13</w:t>
        </w:r>
      </w:hyperlink>
      <w:r w:rsidRPr="002739FF">
        <w:rPr>
          <w:rFonts w:ascii="FrankRuehl" w:hAnsi="FrankRuehl" w:cs="FrankRuehl"/>
          <w:color w:val="0000FF"/>
          <w:u w:val="single"/>
          <w:rtl/>
        </w:rPr>
        <w:t xml:space="preserve">, </w:t>
      </w:r>
      <w:hyperlink r:id="rId10" w:history="1">
        <w:r w:rsidRPr="002739FF">
          <w:rPr>
            <w:rStyle w:val="Hyperlink"/>
            <w:rFonts w:ascii="FrankRuehl" w:hAnsi="FrankRuehl" w:cs="FrankRuehl"/>
          </w:rPr>
          <w:t>19</w:t>
        </w:r>
        <w:r w:rsidRPr="002739FF">
          <w:rPr>
            <w:rStyle w:val="Hyperlink"/>
            <w:rFonts w:ascii="FrankRuehl" w:hAnsi="FrankRuehl" w:cs="FrankRuehl"/>
            <w:rtl/>
          </w:rPr>
          <w:t>א</w:t>
        </w:r>
        <w:r w:rsidRPr="002739FF">
          <w:rPr>
            <w:rStyle w:val="Hyperlink"/>
            <w:rFonts w:ascii="FrankRuehl" w:hAnsi="FrankRuehl" w:cs="FrankRuehl"/>
          </w:rPr>
          <w:t>'</w:t>
        </w:r>
      </w:hyperlink>
      <w:r w:rsidRPr="002739FF">
        <w:rPr>
          <w:rFonts w:ascii="FrankRuehl" w:hAnsi="FrankRuehl" w:cs="FrankRuehl"/>
          <w:color w:val="0000FF"/>
          <w:u w:val="single"/>
          <w:rtl/>
        </w:rPr>
        <w:t xml:space="preserve">, </w:t>
      </w:r>
      <w:hyperlink r:id="rId11" w:history="1">
        <w:r w:rsidRPr="002739FF">
          <w:rPr>
            <w:rStyle w:val="Hyperlink"/>
            <w:rFonts w:ascii="FrankRuehl" w:hAnsi="FrankRuehl" w:cs="FrankRuehl"/>
          </w:rPr>
          <w:t>21</w:t>
        </w:r>
        <w:r w:rsidRPr="002739FF">
          <w:rPr>
            <w:rStyle w:val="Hyperlink"/>
            <w:rFonts w:ascii="FrankRuehl" w:hAnsi="FrankRuehl" w:cs="FrankRuehl"/>
            <w:rtl/>
          </w:rPr>
          <w:t>(א)</w:t>
        </w:r>
        <w:r w:rsidRPr="002739FF">
          <w:rPr>
            <w:rStyle w:val="Hyperlink"/>
            <w:rFonts w:ascii="FrankRuehl" w:hAnsi="FrankRuehl" w:cs="FrankRuehl"/>
          </w:rPr>
          <w:t>(1)</w:t>
        </w:r>
      </w:hyperlink>
    </w:p>
    <w:p w14:paraId="5675CEBF" w14:textId="77777777" w:rsidR="002739FF" w:rsidRPr="002739FF" w:rsidRDefault="002739FF" w:rsidP="002739FF">
      <w:pPr>
        <w:spacing w:after="120" w:line="240" w:lineRule="exact"/>
        <w:ind w:left="283" w:hanging="283"/>
        <w:jc w:val="both"/>
        <w:rPr>
          <w:rFonts w:ascii="FrankRuehl" w:hAnsi="FrankRuehl" w:cs="FrankRuehl"/>
          <w:color w:val="0000FF"/>
          <w:u w:val="single"/>
          <w:rtl/>
        </w:rPr>
      </w:pPr>
      <w:hyperlink r:id="rId12" w:history="1">
        <w:r w:rsidRPr="002739FF">
          <w:rPr>
            <w:rStyle w:val="Hyperlink"/>
            <w:rFonts w:ascii="FrankRuehl" w:hAnsi="FrankRuehl" w:cs="FrankRuehl"/>
            <w:rtl/>
          </w:rPr>
          <w:t>חוק העונשין, תשל"ז-1977</w:t>
        </w:r>
      </w:hyperlink>
      <w:r w:rsidRPr="002739FF">
        <w:rPr>
          <w:rFonts w:ascii="FrankRuehl" w:hAnsi="FrankRuehl" w:cs="FrankRuehl"/>
          <w:color w:val="0000FF"/>
          <w:u w:val="single"/>
          <w:rtl/>
        </w:rPr>
        <w:t xml:space="preserve">: סע'  </w:t>
      </w:r>
      <w:hyperlink r:id="rId13" w:history="1">
        <w:r w:rsidRPr="002739FF">
          <w:rPr>
            <w:rStyle w:val="Hyperlink"/>
            <w:rFonts w:ascii="FrankRuehl" w:hAnsi="FrankRuehl" w:cs="FrankRuehl"/>
          </w:rPr>
          <w:t>40</w:t>
        </w:r>
        <w:r w:rsidRPr="002739FF">
          <w:rPr>
            <w:rStyle w:val="Hyperlink"/>
            <w:rFonts w:ascii="FrankRuehl" w:hAnsi="FrankRuehl" w:cs="FrankRuehl"/>
            <w:rtl/>
          </w:rPr>
          <w:t>ג(א)</w:t>
        </w:r>
      </w:hyperlink>
      <w:r w:rsidRPr="002739FF">
        <w:rPr>
          <w:rFonts w:ascii="FrankRuehl" w:hAnsi="FrankRuehl" w:cs="FrankRuehl"/>
          <w:color w:val="0000FF"/>
          <w:u w:val="single"/>
          <w:rtl/>
        </w:rPr>
        <w:t xml:space="preserve">, </w:t>
      </w:r>
      <w:hyperlink r:id="rId14" w:history="1">
        <w:r w:rsidRPr="002739FF">
          <w:rPr>
            <w:rStyle w:val="Hyperlink"/>
            <w:rFonts w:ascii="FrankRuehl" w:hAnsi="FrankRuehl" w:cs="FrankRuehl"/>
          </w:rPr>
          <w:t>144</w:t>
        </w:r>
      </w:hyperlink>
      <w:r w:rsidRPr="002739FF">
        <w:rPr>
          <w:rFonts w:ascii="FrankRuehl" w:hAnsi="FrankRuehl" w:cs="FrankRuehl"/>
          <w:color w:val="0000FF"/>
          <w:u w:val="single"/>
          <w:rtl/>
        </w:rPr>
        <w:t xml:space="preserve">, </w:t>
      </w:r>
      <w:hyperlink r:id="rId15" w:history="1">
        <w:r w:rsidRPr="002739FF">
          <w:rPr>
            <w:rStyle w:val="Hyperlink"/>
            <w:rFonts w:ascii="FrankRuehl" w:hAnsi="FrankRuehl" w:cs="FrankRuehl"/>
          </w:rPr>
          <w:t>144(</w:t>
        </w:r>
        <w:r w:rsidRPr="002739FF">
          <w:rPr>
            <w:rStyle w:val="Hyperlink"/>
            <w:rFonts w:ascii="FrankRuehl" w:hAnsi="FrankRuehl" w:cs="FrankRuehl"/>
            <w:rtl/>
          </w:rPr>
          <w:t>א</w:t>
        </w:r>
        <w:r w:rsidRPr="002739FF">
          <w:rPr>
            <w:rStyle w:val="Hyperlink"/>
            <w:rFonts w:ascii="FrankRuehl" w:hAnsi="FrankRuehl" w:cs="FrankRuehl"/>
          </w:rPr>
          <w:t>)</w:t>
        </w:r>
      </w:hyperlink>
      <w:r w:rsidRPr="002739FF">
        <w:rPr>
          <w:rFonts w:ascii="FrankRuehl" w:hAnsi="FrankRuehl" w:cs="FrankRuehl"/>
          <w:color w:val="0000FF"/>
          <w:u w:val="single"/>
          <w:rtl/>
        </w:rPr>
        <w:t xml:space="preserve">, </w:t>
      </w:r>
      <w:hyperlink r:id="rId16" w:history="1">
        <w:r w:rsidRPr="002739FF">
          <w:rPr>
            <w:rStyle w:val="Hyperlink"/>
            <w:rFonts w:ascii="FrankRuehl" w:hAnsi="FrankRuehl" w:cs="FrankRuehl"/>
          </w:rPr>
          <w:t>40</w:t>
        </w:r>
        <w:r w:rsidRPr="002739FF">
          <w:rPr>
            <w:rStyle w:val="Hyperlink"/>
            <w:rFonts w:ascii="FrankRuehl" w:hAnsi="FrankRuehl" w:cs="FrankRuehl"/>
            <w:rtl/>
          </w:rPr>
          <w:t>יא</w:t>
        </w:r>
        <w:r w:rsidRPr="002739FF">
          <w:rPr>
            <w:rStyle w:val="Hyperlink"/>
            <w:rFonts w:ascii="FrankRuehl" w:hAnsi="FrankRuehl" w:cs="FrankRuehl"/>
          </w:rPr>
          <w:t>'</w:t>
        </w:r>
      </w:hyperlink>
    </w:p>
    <w:p w14:paraId="00894929" w14:textId="77777777" w:rsidR="002739FF" w:rsidRPr="002739FF" w:rsidRDefault="002739FF" w:rsidP="002739FF">
      <w:pPr>
        <w:spacing w:after="120" w:line="240" w:lineRule="exact"/>
        <w:ind w:left="283" w:hanging="283"/>
        <w:jc w:val="both"/>
        <w:rPr>
          <w:rFonts w:ascii="FrankRuehl" w:hAnsi="FrankRuehl" w:cs="FrankRuehl"/>
          <w:rtl/>
        </w:rPr>
      </w:pPr>
    </w:p>
    <w:p w14:paraId="2DC86038" w14:textId="77777777" w:rsidR="002739FF" w:rsidRPr="002739FF" w:rsidRDefault="002739FF">
      <w:pPr>
        <w:rPr>
          <w:rtl/>
        </w:rPr>
      </w:pPr>
      <w:bookmarkStart w:id="4" w:name="LawTable_End"/>
      <w:bookmarkEnd w:id="4"/>
    </w:p>
    <w:p w14:paraId="7B201244" w14:textId="77777777" w:rsidR="002739FF" w:rsidRPr="002739FF" w:rsidRDefault="002739FF">
      <w:pPr>
        <w:rPr>
          <w:rtl/>
        </w:rPr>
      </w:pPr>
    </w:p>
    <w:p w14:paraId="1869C2D0" w14:textId="77777777" w:rsidR="00320DC7" w:rsidRPr="00320DC7" w:rsidRDefault="00320DC7">
      <w:pPr>
        <w:rPr>
          <w:rtl/>
        </w:rPr>
      </w:pPr>
    </w:p>
    <w:p w14:paraId="2C636A6C" w14:textId="77777777" w:rsidR="00320DC7" w:rsidRPr="00320DC7" w:rsidRDefault="00320DC7">
      <w:pPr>
        <w:rPr>
          <w:rtl/>
        </w:rPr>
      </w:pPr>
    </w:p>
    <w:p w14:paraId="7CF6884C" w14:textId="77777777" w:rsidR="00B435DF" w:rsidRPr="00320DC7" w:rsidRDefault="00B435D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35DF" w14:paraId="2A1477EA" w14:textId="77777777">
        <w:trPr>
          <w:trHeight w:val="355"/>
          <w:jc w:val="center"/>
        </w:trPr>
        <w:tc>
          <w:tcPr>
            <w:tcW w:w="8820" w:type="dxa"/>
            <w:tcBorders>
              <w:top w:val="nil"/>
              <w:left w:val="nil"/>
              <w:bottom w:val="nil"/>
              <w:right w:val="nil"/>
            </w:tcBorders>
          </w:tcPr>
          <w:p w14:paraId="18D7CE5D" w14:textId="77777777" w:rsidR="00B435DF" w:rsidRDefault="00D36281">
            <w:pPr>
              <w:jc w:val="center"/>
              <w:rPr>
                <w:rFonts w:ascii="Arial" w:hAnsi="Arial" w:cs="FrankRuehl"/>
                <w:sz w:val="32"/>
                <w:szCs w:val="32"/>
                <w:u w:val="single"/>
                <w:rtl/>
              </w:rPr>
            </w:pPr>
            <w:bookmarkStart w:id="5" w:name="PsakDin"/>
            <w:r w:rsidRPr="00D36281">
              <w:rPr>
                <w:rFonts w:ascii="Arial" w:hAnsi="Arial" w:cs="FrankRuehl"/>
                <w:b/>
                <w:bCs/>
                <w:sz w:val="32"/>
                <w:szCs w:val="32"/>
                <w:u w:val="single"/>
                <w:rtl/>
              </w:rPr>
              <w:t>גזר דין</w:t>
            </w:r>
            <w:bookmarkEnd w:id="5"/>
          </w:p>
        </w:tc>
      </w:tr>
      <w:bookmarkEnd w:id="0"/>
      <w:bookmarkEnd w:id="1"/>
    </w:tbl>
    <w:p w14:paraId="6E491356" w14:textId="77777777" w:rsidR="00B435DF" w:rsidRDefault="00B435DF">
      <w:pPr>
        <w:rPr>
          <w:rFonts w:ascii="Arial" w:hAnsi="Arial" w:cs="FrankRuehl"/>
          <w:sz w:val="28"/>
          <w:szCs w:val="28"/>
          <w:rtl/>
        </w:rPr>
      </w:pPr>
    </w:p>
    <w:p w14:paraId="0477C774" w14:textId="77777777" w:rsidR="00B435DF" w:rsidRDefault="00D36281">
      <w:pPr>
        <w:spacing w:line="360" w:lineRule="auto"/>
        <w:ind w:left="720" w:hanging="720"/>
        <w:jc w:val="both"/>
      </w:pPr>
      <w:r>
        <w:rPr>
          <w:rFonts w:hint="cs"/>
          <w:rtl/>
        </w:rPr>
        <w:t>1.</w:t>
      </w:r>
      <w:r>
        <w:rPr>
          <w:rFonts w:hint="cs"/>
          <w:rtl/>
        </w:rPr>
        <w:tab/>
        <w:t xml:space="preserve">הנאשם הודה בעובדות כתבי-האישום המתוקנים בתיקים שבכותרת, במסגרת הסדר דיוני, ונשלח לקבלת תסקיר חובה לאור גילו. </w:t>
      </w:r>
    </w:p>
    <w:p w14:paraId="022B4E57" w14:textId="77777777" w:rsidR="00B435DF" w:rsidRDefault="00B435DF">
      <w:pPr>
        <w:spacing w:line="360" w:lineRule="auto"/>
        <w:ind w:left="720" w:hanging="720"/>
        <w:jc w:val="both"/>
        <w:rPr>
          <w:rtl/>
        </w:rPr>
      </w:pPr>
    </w:p>
    <w:p w14:paraId="5268FEA0" w14:textId="77777777" w:rsidR="00B435DF" w:rsidRDefault="00D36281">
      <w:pPr>
        <w:spacing w:line="360" w:lineRule="auto"/>
        <w:ind w:left="720" w:hanging="720"/>
        <w:jc w:val="both"/>
        <w:rPr>
          <w:rtl/>
        </w:rPr>
      </w:pPr>
      <w:r>
        <w:rPr>
          <w:rFonts w:hint="cs"/>
          <w:rtl/>
        </w:rPr>
        <w:t>2.</w:t>
      </w:r>
      <w:r>
        <w:rPr>
          <w:rFonts w:hint="cs"/>
          <w:rtl/>
        </w:rPr>
        <w:tab/>
      </w:r>
      <w:bookmarkStart w:id="6" w:name="ABSTRACT_START"/>
      <w:bookmarkEnd w:id="6"/>
      <w:r>
        <w:rPr>
          <w:rFonts w:hint="cs"/>
          <w:b/>
          <w:bCs/>
          <w:rtl/>
        </w:rPr>
        <w:t>ב</w:t>
      </w:r>
      <w:hyperlink r:id="rId17" w:history="1">
        <w:r w:rsidR="00320DC7" w:rsidRPr="00320DC7">
          <w:rPr>
            <w:rStyle w:val="Hyperlink"/>
            <w:b/>
            <w:bCs/>
            <w:rtl/>
          </w:rPr>
          <w:t>ת.פ. 15319-01-12</w:t>
        </w:r>
      </w:hyperlink>
      <w:r>
        <w:rPr>
          <w:rFonts w:hint="cs"/>
          <w:rtl/>
        </w:rPr>
        <w:t xml:space="preserve">, הורשע הנאשם בביצוע עבירות של החזקה ושימוש בסם מסוכן לצריכה עצמית לפי </w:t>
      </w:r>
      <w:hyperlink r:id="rId18" w:history="1">
        <w:r w:rsidR="002739FF" w:rsidRPr="002739FF">
          <w:rPr>
            <w:rStyle w:val="Hyperlink"/>
            <w:rFonts w:hint="eastAsia"/>
            <w:rtl/>
          </w:rPr>
          <w:t>סעיף</w:t>
        </w:r>
        <w:r w:rsidR="002739FF" w:rsidRPr="002739FF">
          <w:rPr>
            <w:rStyle w:val="Hyperlink"/>
            <w:rtl/>
          </w:rPr>
          <w:t xml:space="preserve"> 7(א)</w:t>
        </w:r>
      </w:hyperlink>
      <w:r>
        <w:rPr>
          <w:rFonts w:hint="cs"/>
          <w:rtl/>
        </w:rPr>
        <w:t>+</w:t>
      </w:r>
      <w:hyperlink r:id="rId19" w:history="1">
        <w:r w:rsidR="002739FF" w:rsidRPr="002739FF">
          <w:rPr>
            <w:rStyle w:val="Hyperlink"/>
            <w:rtl/>
          </w:rPr>
          <w:t>(ג)</w:t>
        </w:r>
      </w:hyperlink>
      <w:r>
        <w:rPr>
          <w:rFonts w:hint="cs"/>
          <w:rtl/>
        </w:rPr>
        <w:t xml:space="preserve"> סיפא ל</w:t>
      </w:r>
      <w:hyperlink r:id="rId20" w:history="1">
        <w:r w:rsidR="00320DC7" w:rsidRPr="00320DC7">
          <w:rPr>
            <w:rStyle w:val="Hyperlink"/>
            <w:rtl/>
          </w:rPr>
          <w:t>פקודת הסמים המסוכנים</w:t>
        </w:r>
      </w:hyperlink>
      <w:r>
        <w:rPr>
          <w:rFonts w:hint="cs"/>
          <w:rtl/>
        </w:rPr>
        <w:t xml:space="preserve"> [נוסח חדש], התשל"ג – 1973</w:t>
      </w:r>
      <w:bookmarkStart w:id="7" w:name="ABSTRACT_END"/>
      <w:bookmarkEnd w:id="7"/>
      <w:r>
        <w:rPr>
          <w:rFonts w:hint="cs"/>
          <w:rtl/>
        </w:rPr>
        <w:t xml:space="preserve"> (להלן: "פקודת הסמים"), החזקת תחמושת לפי </w:t>
      </w:r>
      <w:hyperlink r:id="rId21" w:history="1">
        <w:r w:rsidR="002739FF" w:rsidRPr="002739FF">
          <w:rPr>
            <w:rStyle w:val="Hyperlink"/>
            <w:rFonts w:hint="eastAsia"/>
            <w:rtl/>
          </w:rPr>
          <w:t>סעיף</w:t>
        </w:r>
        <w:r w:rsidR="002739FF" w:rsidRPr="002739FF">
          <w:rPr>
            <w:rStyle w:val="Hyperlink"/>
            <w:rtl/>
          </w:rPr>
          <w:t xml:space="preserve"> 144(א)</w:t>
        </w:r>
      </w:hyperlink>
      <w:r>
        <w:rPr>
          <w:rFonts w:hint="cs"/>
          <w:rtl/>
        </w:rPr>
        <w:t xml:space="preserve"> סיפא ל</w:t>
      </w:r>
      <w:hyperlink r:id="rId22" w:history="1">
        <w:r w:rsidR="00320DC7" w:rsidRPr="00320DC7">
          <w:rPr>
            <w:rStyle w:val="Hyperlink"/>
            <w:rtl/>
          </w:rPr>
          <w:t>חוק העונשין</w:t>
        </w:r>
      </w:hyperlink>
      <w:r>
        <w:rPr>
          <w:rFonts w:hint="cs"/>
          <w:rtl/>
        </w:rPr>
        <w:t xml:space="preserve">, התשל"ז – 1977 (להלן: "חוק העונשין") והדחת קטין לסם (אספקה) לפי </w:t>
      </w:r>
      <w:hyperlink r:id="rId23" w:history="1">
        <w:r w:rsidR="002739FF" w:rsidRPr="002739FF">
          <w:rPr>
            <w:rStyle w:val="Hyperlink"/>
            <w:rFonts w:hint="eastAsia"/>
            <w:rtl/>
          </w:rPr>
          <w:t>סעיף</w:t>
        </w:r>
        <w:r w:rsidR="002739FF" w:rsidRPr="002739FF">
          <w:rPr>
            <w:rStyle w:val="Hyperlink"/>
            <w:rtl/>
          </w:rPr>
          <w:t xml:space="preserve"> 21(א)(1)</w:t>
        </w:r>
      </w:hyperlink>
      <w:r>
        <w:rPr>
          <w:rFonts w:hint="cs"/>
          <w:rtl/>
        </w:rPr>
        <w:t xml:space="preserve"> לפקודת הסמים. המדובר באירוע מיום 19.5.09 במהלכו החזיק הנאשם, בחדרו, בסם מסוג חשיש במשקל של </w:t>
      </w:r>
      <w:smartTag w:uri="urn:schemas-microsoft-com:office:smarttags" w:element="metricconverter">
        <w:smartTagPr>
          <w:attr w:name="ProductID" w:val="0.2234 גרם"/>
        </w:smartTagPr>
        <w:r>
          <w:rPr>
            <w:rFonts w:hint="cs"/>
            <w:rtl/>
          </w:rPr>
          <w:t>0.2234 גרם</w:t>
        </w:r>
      </w:smartTag>
      <w:r>
        <w:rPr>
          <w:rFonts w:hint="cs"/>
          <w:rtl/>
        </w:rPr>
        <w:t xml:space="preserve">, בשלושה כדורים בקוטר 5.56 וכן בניצרה לרימון רסס </w:t>
      </w:r>
      <w:r>
        <w:rPr>
          <w:rFonts w:hint="cs"/>
          <w:rtl/>
        </w:rPr>
        <w:lastRenderedPageBreak/>
        <w:t>צה"לי. בנוסף, במועדים שאינם ידועים במדויק, הנאשם סיפק והשתמש יחד עם קטין בסם מסוג חשיש.</w:t>
      </w:r>
    </w:p>
    <w:p w14:paraId="20FD219C" w14:textId="77777777" w:rsidR="00B435DF" w:rsidRDefault="00B435DF">
      <w:pPr>
        <w:spacing w:line="360" w:lineRule="auto"/>
        <w:ind w:left="720" w:hanging="720"/>
        <w:jc w:val="both"/>
        <w:rPr>
          <w:rtl/>
        </w:rPr>
      </w:pPr>
    </w:p>
    <w:p w14:paraId="29FF3437" w14:textId="77777777" w:rsidR="00B435DF" w:rsidRDefault="00D36281">
      <w:pPr>
        <w:spacing w:line="360" w:lineRule="auto"/>
        <w:ind w:left="720" w:hanging="720"/>
        <w:jc w:val="both"/>
        <w:rPr>
          <w:rtl/>
        </w:rPr>
      </w:pPr>
      <w:r>
        <w:rPr>
          <w:rFonts w:hint="cs"/>
          <w:rtl/>
        </w:rPr>
        <w:t>3.</w:t>
      </w:r>
      <w:r>
        <w:rPr>
          <w:rFonts w:hint="cs"/>
          <w:rtl/>
        </w:rPr>
        <w:tab/>
      </w:r>
      <w:r>
        <w:rPr>
          <w:rFonts w:hint="cs"/>
          <w:b/>
          <w:bCs/>
          <w:rtl/>
        </w:rPr>
        <w:t>ב</w:t>
      </w:r>
      <w:hyperlink r:id="rId24" w:history="1">
        <w:r w:rsidR="00320DC7" w:rsidRPr="00320DC7">
          <w:rPr>
            <w:rStyle w:val="Hyperlink"/>
            <w:b/>
            <w:bCs/>
            <w:rtl/>
          </w:rPr>
          <w:t>ת.פ. 59723-05-12</w:t>
        </w:r>
      </w:hyperlink>
      <w:r>
        <w:rPr>
          <w:rFonts w:hint="cs"/>
          <w:rtl/>
        </w:rPr>
        <w:t xml:space="preserve">, הורשע הנאשם בביצוע שתי עבירות של סחר ואספקת סם לפי </w:t>
      </w:r>
      <w:hyperlink r:id="rId25" w:history="1">
        <w:r w:rsidR="002739FF" w:rsidRPr="002739FF">
          <w:rPr>
            <w:rStyle w:val="Hyperlink"/>
            <w:rFonts w:hint="eastAsia"/>
            <w:rtl/>
          </w:rPr>
          <w:t>סעיפים</w:t>
        </w:r>
        <w:r w:rsidR="002739FF" w:rsidRPr="002739FF">
          <w:rPr>
            <w:rStyle w:val="Hyperlink"/>
            <w:rtl/>
          </w:rPr>
          <w:t xml:space="preserve"> 13</w:t>
        </w:r>
      </w:hyperlink>
      <w:r>
        <w:rPr>
          <w:rFonts w:hint="cs"/>
          <w:rtl/>
        </w:rPr>
        <w:t xml:space="preserve"> + </w:t>
      </w:r>
      <w:hyperlink r:id="rId26" w:history="1">
        <w:r w:rsidR="002739FF" w:rsidRPr="002739FF">
          <w:rPr>
            <w:rStyle w:val="Hyperlink"/>
            <w:rtl/>
          </w:rPr>
          <w:t>19א'</w:t>
        </w:r>
      </w:hyperlink>
      <w:r>
        <w:rPr>
          <w:rFonts w:hint="cs"/>
          <w:rtl/>
        </w:rPr>
        <w:t xml:space="preserve"> לפקודת הסמים, הדחת קטין לסם (אספקה) לפי </w:t>
      </w:r>
      <w:hyperlink r:id="rId27" w:history="1">
        <w:r w:rsidR="002739FF" w:rsidRPr="002739FF">
          <w:rPr>
            <w:rStyle w:val="Hyperlink"/>
            <w:rFonts w:hint="eastAsia"/>
            <w:rtl/>
          </w:rPr>
          <w:t>סעיף</w:t>
        </w:r>
        <w:r w:rsidR="002739FF" w:rsidRPr="002739FF">
          <w:rPr>
            <w:rStyle w:val="Hyperlink"/>
            <w:rtl/>
          </w:rPr>
          <w:t xml:space="preserve"> 21(א)(1)</w:t>
        </w:r>
      </w:hyperlink>
      <w:r>
        <w:rPr>
          <w:rFonts w:hint="cs"/>
          <w:rtl/>
        </w:rPr>
        <w:t xml:space="preserve"> לפקודת הסמים ושתי עבירות של החזקה ושימוש בסם מסוכן לצריכה עצמית לפי </w:t>
      </w:r>
      <w:hyperlink r:id="rId28" w:history="1">
        <w:r w:rsidR="002739FF" w:rsidRPr="002739FF">
          <w:rPr>
            <w:rStyle w:val="Hyperlink"/>
            <w:rFonts w:hint="eastAsia"/>
            <w:rtl/>
          </w:rPr>
          <w:t>סעיף</w:t>
        </w:r>
        <w:r w:rsidR="002739FF" w:rsidRPr="002739FF">
          <w:rPr>
            <w:rStyle w:val="Hyperlink"/>
            <w:rtl/>
          </w:rPr>
          <w:t xml:space="preserve"> 7(א)</w:t>
        </w:r>
      </w:hyperlink>
      <w:r>
        <w:rPr>
          <w:rFonts w:hint="cs"/>
          <w:rtl/>
        </w:rPr>
        <w:t>+</w:t>
      </w:r>
      <w:hyperlink r:id="rId29" w:history="1">
        <w:r w:rsidR="002739FF" w:rsidRPr="002739FF">
          <w:rPr>
            <w:rStyle w:val="Hyperlink"/>
            <w:rtl/>
          </w:rPr>
          <w:t>(ג)</w:t>
        </w:r>
      </w:hyperlink>
      <w:r>
        <w:rPr>
          <w:rFonts w:hint="cs"/>
          <w:rtl/>
        </w:rPr>
        <w:t xml:space="preserve"> סיפא לפקודת הסמים.</w:t>
      </w:r>
    </w:p>
    <w:p w14:paraId="3E82F3F4" w14:textId="77777777" w:rsidR="00B435DF" w:rsidRDefault="00D36281">
      <w:pPr>
        <w:spacing w:line="360" w:lineRule="auto"/>
        <w:ind w:left="720" w:hanging="720"/>
        <w:jc w:val="both"/>
        <w:rPr>
          <w:rtl/>
        </w:rPr>
      </w:pPr>
      <w:r>
        <w:rPr>
          <w:rFonts w:hint="cs"/>
          <w:rtl/>
        </w:rPr>
        <w:t xml:space="preserve"> </w:t>
      </w:r>
    </w:p>
    <w:p w14:paraId="40D5A68A" w14:textId="77777777" w:rsidR="00B435DF" w:rsidRDefault="00D36281">
      <w:pPr>
        <w:spacing w:line="360" w:lineRule="auto"/>
        <w:ind w:left="720"/>
        <w:jc w:val="both"/>
        <w:rPr>
          <w:rtl/>
        </w:rPr>
      </w:pPr>
      <w:r>
        <w:rPr>
          <w:rFonts w:hint="cs"/>
          <w:rtl/>
        </w:rPr>
        <w:t>על-פי האישום הראשון, במהלך שנת 2009 וכן במהלך שנת 2011, במועדים שאינם ידועים במדויק למאשימה, סיפק הנאשם סמים מסוג חשיש וקנבינואידים סינטטיים לקטין ד.מ, בכמות שאינה ידועה במדויק למאשימה, כשהשניים היו נפגשים באורח קבע באריאל, בין היתר בביתו של הנאשם, אז היה מוסר הנאשם לאחר את הסמים המסוכנים. בחלק מהמפגשים רכש הקטין מהנאשם 10 סיגריות מאולתרות המכילות חשיש ובסכום שאינו עולה על 200 ₪ בכל פעם, כשלעיתים השתמש הנאשם בסם ביחד עם הקטין.</w:t>
      </w:r>
    </w:p>
    <w:p w14:paraId="5F62E03C" w14:textId="77777777" w:rsidR="00B435DF" w:rsidRDefault="00D36281">
      <w:pPr>
        <w:spacing w:line="360" w:lineRule="auto"/>
        <w:ind w:left="720"/>
        <w:jc w:val="both"/>
        <w:rPr>
          <w:rtl/>
        </w:rPr>
      </w:pPr>
      <w:r>
        <w:rPr>
          <w:rFonts w:hint="cs"/>
          <w:rtl/>
        </w:rPr>
        <w:t xml:space="preserve">על-פי האישום השני, במהלך שנת 2011 - בשלושה מועדים שונים ובמהלך תקופה בת חודש ימים, סיפק הנאשם סם מסוכן מסוג חשיש לשניים אחרים בכמות שאינה ידועה במדויק למאשימה. בכל שלושת המועדים, הנאשם נפגש איתם לאחר תיאום טלפוני ובתמורה ל – 50 ₪ במזומן כל פעם, מסר להם הנאשם את הסם. </w:t>
      </w:r>
    </w:p>
    <w:p w14:paraId="6F415169" w14:textId="77777777" w:rsidR="00B435DF" w:rsidRDefault="00D36281">
      <w:pPr>
        <w:spacing w:line="360" w:lineRule="auto"/>
        <w:ind w:left="720"/>
        <w:jc w:val="both"/>
        <w:rPr>
          <w:rtl/>
        </w:rPr>
      </w:pPr>
      <w:r>
        <w:rPr>
          <w:rFonts w:hint="cs"/>
          <w:rtl/>
        </w:rPr>
        <w:t xml:space="preserve">מהאישום האחרון עולה, כי ביום 26.5.12 החזיק הנאשם בסם מסוג קנבוס במשקל של </w:t>
      </w:r>
      <w:smartTag w:uri="urn:schemas-microsoft-com:office:smarttags" w:element="metricconverter">
        <w:smartTagPr>
          <w:attr w:name="ProductID" w:val="2.14 גרם"/>
        </w:smartTagPr>
        <w:r>
          <w:rPr>
            <w:rFonts w:hint="cs"/>
            <w:rtl/>
          </w:rPr>
          <w:t>2.14 גרם</w:t>
        </w:r>
      </w:smartTag>
      <w:r>
        <w:rPr>
          <w:rFonts w:hint="cs"/>
          <w:rtl/>
        </w:rPr>
        <w:t>.</w:t>
      </w:r>
    </w:p>
    <w:p w14:paraId="37DD0D66" w14:textId="77777777" w:rsidR="00B435DF" w:rsidRDefault="00D36281">
      <w:pPr>
        <w:spacing w:line="360" w:lineRule="auto"/>
        <w:ind w:left="720"/>
        <w:jc w:val="both"/>
        <w:rPr>
          <w:rtl/>
        </w:rPr>
      </w:pPr>
      <w:r>
        <w:rPr>
          <w:rFonts w:hint="cs"/>
          <w:rtl/>
        </w:rPr>
        <w:t xml:space="preserve"> </w:t>
      </w:r>
      <w:r>
        <w:rPr>
          <w:rFonts w:hint="cs"/>
          <w:rtl/>
        </w:rPr>
        <w:tab/>
      </w:r>
    </w:p>
    <w:p w14:paraId="3657DD65" w14:textId="77777777" w:rsidR="00B435DF" w:rsidRDefault="00D36281">
      <w:pPr>
        <w:spacing w:line="360" w:lineRule="auto"/>
        <w:ind w:left="716" w:hanging="690"/>
        <w:jc w:val="both"/>
        <w:rPr>
          <w:rtl/>
        </w:rPr>
      </w:pPr>
      <w:r>
        <w:rPr>
          <w:rFonts w:hint="cs"/>
          <w:rtl/>
        </w:rPr>
        <w:t>4.</w:t>
      </w:r>
      <w:r>
        <w:rPr>
          <w:rFonts w:hint="cs"/>
          <w:rtl/>
        </w:rPr>
        <w:tab/>
        <w:t>מהתסקיר שהוגש בעניינו של הנאשם עולה כי המדובר בבחור בן 23, רווק, אשר במהלך החודשים שטרם מעצרו עבד בעבודות מזדמנות והתגורר לסירוגין בין בתי חברים ובית אימו באריאל. התסקיר מלמד אודות הרקע המשפחתי המורכב, כאשר עלה ארצה יחד עם אמו בשנת 2000 וקליטתו בארץ לוותה בקשיים. הנאשם לא הצליח להשתלב במסגרות חינוכיות, חבר לחברה שולית, הסתבך בפלילים כקטין  - ואף ריצה עונש מאסר בפועל, ולא שירת בצבא. בהמשך, התמכר לשימוש בחשיש, כשלדבריו הפסיק את השימוש האינטנסיבי לפני שנה אם כי טרם מעצרו המשיך לצרוך סמים אותם הוא תופס כ"חוקיים" (כגון "נייס גאי"), ובכך, לגישתו, ערך שינוי משמעותי בחייו. קצינת המבחן הציעה לנאשם להשתלב בהליך טיפולי לבחינת השימוש בסמים וכן לסייע לו לחפש מענים חלופיים לבעיותיו הרגשיות, אך הנאשם סירב. אשר לעבירות נשוא כתבי האישום נראה, כי הנאשם אינו לוקח אחריות על מעשיו, התקשה להתייחס אליהם - שכן לטענתו היה נתון תחת השפעה מתמדת של סמים וכי הופלל על-ידי חבריו עימם צרך סמים בעבר. להערכת קצינת המבחן, הנאשם אינו מודע לסיכונים במצבו, מכחיש כל בעיית שימוש בסמים – גם על רקע חוסר אמון במערכת הממסדית – אינו מעוניין להשתלב בטיפול, ועל כן אין כל המלצה בעניינו.</w:t>
      </w:r>
    </w:p>
    <w:p w14:paraId="63D52F46" w14:textId="77777777" w:rsidR="00B435DF" w:rsidRDefault="00B435DF">
      <w:pPr>
        <w:spacing w:line="360" w:lineRule="auto"/>
        <w:ind w:left="716"/>
        <w:jc w:val="both"/>
      </w:pPr>
    </w:p>
    <w:p w14:paraId="04838A7E" w14:textId="77777777" w:rsidR="00B435DF" w:rsidRDefault="00D36281">
      <w:pPr>
        <w:spacing w:line="360" w:lineRule="auto"/>
        <w:ind w:left="716" w:hanging="690"/>
        <w:jc w:val="both"/>
        <w:rPr>
          <w:rtl/>
        </w:rPr>
      </w:pPr>
      <w:r>
        <w:rPr>
          <w:rFonts w:hint="cs"/>
          <w:rtl/>
        </w:rPr>
        <w:t>5.</w:t>
      </w:r>
      <w:r>
        <w:rPr>
          <w:rFonts w:hint="cs"/>
          <w:rtl/>
        </w:rPr>
        <w:tab/>
        <w:t xml:space="preserve">ב"כ המאשימה טענה, כי המודבר בנאשם בעל שתי הרשעות קודמות, אשר ריצה שני מאסרים בפועל, הראשון - מעל לחודש ימים, השני בן 11 חודשים. הדגישה את נסיבות ביצוע העבירות, האינטרס הציבורי המחייב השתת ענישה מחמירה למי שסוחר בסמים, מדיח קטינים ומשתמש בסמים בעצמו, כשהנאשם אף החזיק בתחמושת בחדרו. עוד הפנתה לאמור בתסקיר, המעיד על אי-לקיחת אחריות, העדר תובנה לסיכונים שבמצבו וסירוב הנאשם לטיפול. ב"כ המאשימה הגישה פסיקה להוכחת מדיניות הענישה הנוהגת, וטענתה היא, כי מתחם הענישה בכל עבירה של מכירת סם והדחת קטין נע בין 12 – 24 חודשי מאסר בפועל. בסופו של יום, עתירתה היא להשית על הנאשם עונש מאסר בפועל שלא יפחת מ- 36 חודשים, מאסר על תנאי, פסילה בפועל לתקופה שלא תפחת משנתיים, פסילה על תנאי, קנס בסכום שלא יפחת מ- 5,000 ₪ והתחייבות. </w:t>
      </w:r>
    </w:p>
    <w:p w14:paraId="4564B321" w14:textId="77777777" w:rsidR="00B435DF" w:rsidRDefault="00B435DF">
      <w:pPr>
        <w:spacing w:line="360" w:lineRule="auto"/>
        <w:ind w:left="716" w:hanging="690"/>
        <w:jc w:val="both"/>
        <w:rPr>
          <w:rtl/>
        </w:rPr>
      </w:pPr>
    </w:p>
    <w:p w14:paraId="4338CB09" w14:textId="77777777" w:rsidR="00B435DF" w:rsidRDefault="00D36281">
      <w:pPr>
        <w:spacing w:line="360" w:lineRule="auto"/>
        <w:ind w:left="716" w:hanging="690"/>
        <w:jc w:val="both"/>
        <w:rPr>
          <w:rtl/>
        </w:rPr>
      </w:pPr>
      <w:r>
        <w:rPr>
          <w:rFonts w:hint="cs"/>
          <w:rtl/>
        </w:rPr>
        <w:t>6.</w:t>
      </w:r>
      <w:r>
        <w:rPr>
          <w:rFonts w:hint="cs"/>
          <w:rtl/>
        </w:rPr>
        <w:tab/>
        <w:t xml:space="preserve">במסגרת הראיות לעונש, העיד מעסיק של הנאשם בעבר במהלך שנה ומחצה בשירותי מוסיקה באירועים, אשר מכירו מספר שנים, ותיאר את חריצותו ויציבותו בעבודה. </w:t>
      </w:r>
    </w:p>
    <w:p w14:paraId="74D1EE22" w14:textId="77777777" w:rsidR="00B435DF" w:rsidRDefault="00D36281">
      <w:pPr>
        <w:spacing w:line="360" w:lineRule="auto"/>
        <w:ind w:left="716"/>
        <w:jc w:val="both"/>
        <w:rPr>
          <w:rtl/>
        </w:rPr>
      </w:pPr>
      <w:r>
        <w:rPr>
          <w:rFonts w:hint="cs"/>
          <w:rtl/>
        </w:rPr>
        <w:t>ב"כ הנאשם עותרת להסתפק בתקופת מעצרו של הנאשם (מאז 26.5.12), כשמתחם העונש ההולם נע לטעמה עד ל - 18 חודשי מאסר לכל היותר, בנוסף לענישה צופה פני עתיד, חתימה על התחייבות ופסילה על תנאי. הסניגורית העלתה טענות לגבי אופי "הקונים" שהנאשם סיפק להם סמים מסוכנים, בהיותם משתמשים "לא תמימים" לרבות הקטינים. הפנתה לנסיבות חייו הקשות של הנאשם, למצבו הכלכלי הקשה שנגרם בעקבות סגירת עסק שפתח עם שותף שהותירו לבד עם החובות הכספיים, ולנסיבות שהביאו אותו לשימוש בסמים. עוד ציינה כי לטענתו שומר על ניקיון מסמים, אך מאחר ואינו משולב בהליך טיפולי במקום מעצרו, בקשותיו למסירת דגימות שתן להוכחת טענתו לא נענו.</w:t>
      </w:r>
    </w:p>
    <w:p w14:paraId="34A994B3" w14:textId="77777777" w:rsidR="00B435DF" w:rsidRDefault="00B435DF">
      <w:pPr>
        <w:spacing w:line="360" w:lineRule="auto"/>
        <w:ind w:left="716" w:hanging="690"/>
        <w:jc w:val="both"/>
        <w:rPr>
          <w:rtl/>
        </w:rPr>
      </w:pPr>
    </w:p>
    <w:p w14:paraId="68BA64BA" w14:textId="77777777" w:rsidR="00B435DF" w:rsidRDefault="00D36281">
      <w:pPr>
        <w:spacing w:line="360" w:lineRule="auto"/>
        <w:ind w:left="716" w:hanging="690"/>
        <w:jc w:val="both"/>
        <w:rPr>
          <w:rtl/>
        </w:rPr>
      </w:pPr>
      <w:r>
        <w:rPr>
          <w:rFonts w:hint="cs"/>
          <w:rtl/>
        </w:rPr>
        <w:t>7.</w:t>
      </w:r>
      <w:r>
        <w:rPr>
          <w:rFonts w:hint="cs"/>
          <w:rtl/>
        </w:rPr>
        <w:tab/>
        <w:t xml:space="preserve">בדברו לבית המשפט, הצטער הנאשם על התקופה שבה השתמש בסמים, ציין כי אינו משתמש היום וכי ברצונו "להשתלב בחיים נורמאליים". </w:t>
      </w:r>
    </w:p>
    <w:p w14:paraId="51B71B45" w14:textId="77777777" w:rsidR="00B435DF" w:rsidRDefault="00B435DF">
      <w:pPr>
        <w:spacing w:line="360" w:lineRule="auto"/>
        <w:ind w:left="716" w:hanging="690"/>
        <w:jc w:val="both"/>
        <w:rPr>
          <w:rtl/>
        </w:rPr>
      </w:pPr>
    </w:p>
    <w:p w14:paraId="789E0EE3" w14:textId="77777777" w:rsidR="00B435DF" w:rsidRDefault="00D36281">
      <w:pPr>
        <w:spacing w:line="360" w:lineRule="auto"/>
        <w:ind w:left="716" w:hanging="690"/>
        <w:jc w:val="both"/>
        <w:rPr>
          <w:rtl/>
        </w:rPr>
      </w:pPr>
      <w:r>
        <w:rPr>
          <w:rFonts w:hint="cs"/>
          <w:rtl/>
        </w:rPr>
        <w:t>8.</w:t>
      </w:r>
      <w:r>
        <w:rPr>
          <w:rFonts w:hint="cs"/>
          <w:rtl/>
        </w:rPr>
        <w:tab/>
        <w:t>בהתאם לתיקון 113 ל</w:t>
      </w:r>
      <w:hyperlink r:id="rId30" w:history="1">
        <w:r w:rsidR="00320DC7" w:rsidRPr="00320DC7">
          <w:rPr>
            <w:rStyle w:val="Hyperlink"/>
            <w:rtl/>
          </w:rPr>
          <w:t>חוק העונשין</w:t>
        </w:r>
      </w:hyperlink>
      <w:r>
        <w:rPr>
          <w:rFonts w:hint="cs"/>
          <w:rtl/>
        </w:rPr>
        <w:t xml:space="preserve">, וכמצוות המחוקק </w:t>
      </w:r>
      <w:hyperlink r:id="rId31" w:history="1">
        <w:r w:rsidR="002739FF" w:rsidRPr="002739FF">
          <w:rPr>
            <w:rStyle w:val="Hyperlink"/>
            <w:rFonts w:hint="eastAsia"/>
            <w:rtl/>
          </w:rPr>
          <w:t>בסעיף</w:t>
        </w:r>
        <w:r w:rsidR="002739FF" w:rsidRPr="002739FF">
          <w:rPr>
            <w:rStyle w:val="Hyperlink"/>
            <w:rtl/>
          </w:rPr>
          <w:t xml:space="preserve"> 40ג(א)</w:t>
        </w:r>
      </w:hyperlink>
      <w:r>
        <w:rPr>
          <w:rFonts w:hint="cs"/>
          <w:rtl/>
        </w:rPr>
        <w:t>, בקביעת מתחם העונש ההולם את מעשי העבירות שביצע הנאשם, בהתאם לעקרון המנחה, יש להתחשב בערך החברתי שנפגע מביצוע העבירות ומידת הפגיעה בו, במדיניות הענישה הנהוגה ובנסיבות הקשורות בביצוע העבירות.</w:t>
      </w:r>
    </w:p>
    <w:p w14:paraId="62AE1F16" w14:textId="77777777" w:rsidR="00B435DF" w:rsidRDefault="00B435DF">
      <w:pPr>
        <w:spacing w:line="360" w:lineRule="auto"/>
        <w:ind w:left="716" w:hanging="690"/>
        <w:jc w:val="both"/>
        <w:rPr>
          <w:rtl/>
        </w:rPr>
      </w:pPr>
    </w:p>
    <w:p w14:paraId="4CEB7C50" w14:textId="77777777" w:rsidR="00B435DF" w:rsidRDefault="00D36281">
      <w:pPr>
        <w:spacing w:line="360" w:lineRule="auto"/>
        <w:ind w:left="716" w:hanging="690"/>
        <w:jc w:val="both"/>
        <w:rPr>
          <w:rtl/>
        </w:rPr>
      </w:pPr>
      <w:r>
        <w:rPr>
          <w:rFonts w:hint="cs"/>
          <w:rtl/>
        </w:rPr>
        <w:t>9.</w:t>
      </w:r>
      <w:r>
        <w:rPr>
          <w:rFonts w:hint="cs"/>
          <w:rtl/>
        </w:rPr>
        <w:tab/>
        <w:t>בעניינו של הנאשם, עסקינן בצורך להילחם בנגע הסמים הפוגע קשות בחברה, תוך הגנה על הציבור בכללותו ועל אוכלוסיית הקטינים בפרט. מידת הפגיעה בערך המוגן היא משמעותית נוכח ריבוי המקרים ומשך התקופה, קבלת תמורה במספר מועדים והפגיעה בשני קטינים כשהסיכון מועצם בכך שהנאשם אף נמצא מחזיק בתחמושת המתוארת. עם זאת, ראוי לציין כי אין המדובר בסמים המוגדרים כסמים הקשים ביותר, ומנסיבות האישומים עולה כי יש בסיס לטענת הסניגורית לפיה בחלק מהמקרים המדובר בהספקת סם על רקע חברתי. כמו-כן, יש להתחשב בחלוף הזמן מאז בוצעו חלק מעבירות הסמים החמורות.</w:t>
      </w:r>
    </w:p>
    <w:p w14:paraId="010CE36E" w14:textId="77777777" w:rsidR="00B435DF" w:rsidRDefault="00B435DF">
      <w:pPr>
        <w:spacing w:line="360" w:lineRule="auto"/>
        <w:ind w:left="716" w:hanging="690"/>
        <w:jc w:val="both"/>
        <w:rPr>
          <w:rtl/>
        </w:rPr>
      </w:pPr>
    </w:p>
    <w:p w14:paraId="667DA8AF" w14:textId="77777777" w:rsidR="00B435DF" w:rsidRDefault="00D36281">
      <w:pPr>
        <w:pStyle w:val="normal-p"/>
        <w:bidi/>
        <w:spacing w:before="0" w:beforeAutospacing="0" w:after="0" w:afterAutospacing="0" w:line="360" w:lineRule="auto"/>
        <w:ind w:left="720" w:hanging="720"/>
        <w:jc w:val="both"/>
        <w:rPr>
          <w:rStyle w:val="normal-h"/>
          <w:rtl/>
        </w:rPr>
      </w:pPr>
      <w:r>
        <w:rPr>
          <w:rFonts w:cs="David" w:hint="cs"/>
          <w:rtl/>
        </w:rPr>
        <w:t>10.</w:t>
      </w:r>
      <w:r>
        <w:rPr>
          <w:rFonts w:cs="David" w:hint="cs"/>
          <w:rtl/>
        </w:rPr>
        <w:tab/>
        <w:t xml:space="preserve">מדיניות הענישה הנהוגה בעבירות הסמים החמורות בהן הורשע הנאשם נותנת ביטוי </w:t>
      </w:r>
      <w:r>
        <w:rPr>
          <w:rStyle w:val="normal-p-h1-h1"/>
          <w:rFonts w:cs="David" w:hint="cs"/>
          <w:rtl/>
        </w:rPr>
        <w:t>לאינטרס הציבורי המחייב את בתי-המשפט להילחם בנגע הסמים באמצעות הטלת ענישה מוחשית על אלו המהווים חלק משרשרת הפצת הסם בציבור. עיינתי בפסקי-הדין שהגישו ב"כ הצדדים, ובסופו של יום, סבורני כי מתחמי העונש ההולמים לאישומים השונים הינם כדלקמן:</w:t>
      </w:r>
      <w:r>
        <w:rPr>
          <w:rStyle w:val="normal-h"/>
          <w:rFonts w:cs="David" w:hint="cs"/>
          <w:rtl/>
        </w:rPr>
        <w:t xml:space="preserve"> </w:t>
      </w:r>
    </w:p>
    <w:p w14:paraId="7DBD247A" w14:textId="77777777" w:rsidR="00B435DF" w:rsidRDefault="00D36281">
      <w:pPr>
        <w:pStyle w:val="normal-p"/>
        <w:bidi/>
        <w:spacing w:before="0" w:beforeAutospacing="0" w:after="0" w:afterAutospacing="0" w:line="360" w:lineRule="auto"/>
        <w:ind w:left="720" w:hanging="4"/>
        <w:jc w:val="both"/>
        <w:rPr>
          <w:rStyle w:val="normal-h"/>
          <w:rFonts w:cs="David"/>
          <w:rtl/>
        </w:rPr>
      </w:pPr>
      <w:r>
        <w:rPr>
          <w:rStyle w:val="normal-h"/>
          <w:rFonts w:cs="David" w:hint="cs"/>
          <w:rtl/>
        </w:rPr>
        <w:t>לאירוע המתואר ב</w:t>
      </w:r>
      <w:hyperlink r:id="rId32" w:history="1">
        <w:r w:rsidR="00320DC7" w:rsidRPr="00320DC7">
          <w:rPr>
            <w:rStyle w:val="Hyperlink"/>
            <w:rFonts w:cs="David"/>
            <w:rtl/>
          </w:rPr>
          <w:t>ת.פ.  15319-01-12</w:t>
        </w:r>
      </w:hyperlink>
      <w:r>
        <w:rPr>
          <w:rStyle w:val="normal-h"/>
          <w:rFonts w:cs="David" w:hint="cs"/>
          <w:rtl/>
        </w:rPr>
        <w:t>: בין 5 ל – 9 חודשי מאסר בפועל ועונשים נלווים; לאישום הראשון והשני ב</w:t>
      </w:r>
      <w:hyperlink r:id="rId33" w:history="1">
        <w:r w:rsidR="00320DC7" w:rsidRPr="00320DC7">
          <w:rPr>
            <w:rStyle w:val="Hyperlink"/>
            <w:rFonts w:cs="David"/>
            <w:rtl/>
          </w:rPr>
          <w:t>ת.פ. 59723-05-12</w:t>
        </w:r>
      </w:hyperlink>
      <w:r>
        <w:rPr>
          <w:rStyle w:val="normal-h"/>
          <w:rFonts w:cs="David" w:hint="cs"/>
          <w:rtl/>
        </w:rPr>
        <w:t>: בין 6 – 12 חודשי מאסר בפועל ועונשים נלווים, ולאישום האחרון: מאסר על תנאי ועונשים נלווים.</w:t>
      </w:r>
    </w:p>
    <w:p w14:paraId="5C2D5EFE" w14:textId="77777777" w:rsidR="00B435DF" w:rsidRDefault="00B435DF">
      <w:pPr>
        <w:spacing w:line="360" w:lineRule="auto"/>
        <w:ind w:left="716"/>
        <w:jc w:val="both"/>
        <w:rPr>
          <w:rtl/>
        </w:rPr>
      </w:pPr>
    </w:p>
    <w:p w14:paraId="53A22E15" w14:textId="77777777" w:rsidR="00B435DF" w:rsidRDefault="00D36281">
      <w:pPr>
        <w:spacing w:line="360" w:lineRule="auto"/>
        <w:ind w:left="716" w:hanging="716"/>
        <w:jc w:val="both"/>
        <w:rPr>
          <w:rtl/>
        </w:rPr>
      </w:pPr>
      <w:r>
        <w:rPr>
          <w:rFonts w:hint="cs"/>
          <w:rtl/>
        </w:rPr>
        <w:t>11.</w:t>
      </w:r>
      <w:r>
        <w:rPr>
          <w:rFonts w:hint="cs"/>
          <w:rtl/>
        </w:rPr>
        <w:tab/>
        <w:t xml:space="preserve">בגזירת העונש המתאים לנאשם שבפניי, וכמצוות המחוקק </w:t>
      </w:r>
      <w:hyperlink r:id="rId34" w:history="1">
        <w:r w:rsidR="002739FF" w:rsidRPr="002739FF">
          <w:rPr>
            <w:rStyle w:val="Hyperlink"/>
            <w:rFonts w:hint="eastAsia"/>
            <w:rtl/>
          </w:rPr>
          <w:t>בסעיף</w:t>
        </w:r>
        <w:r w:rsidR="002739FF" w:rsidRPr="002739FF">
          <w:rPr>
            <w:rStyle w:val="Hyperlink"/>
            <w:rtl/>
          </w:rPr>
          <w:t xml:space="preserve"> 40יא'</w:t>
        </w:r>
      </w:hyperlink>
      <w:r>
        <w:rPr>
          <w:rFonts w:hint="cs"/>
          <w:rtl/>
        </w:rPr>
        <w:t xml:space="preserve"> ל</w:t>
      </w:r>
      <w:hyperlink r:id="rId35" w:history="1">
        <w:r w:rsidR="00320DC7" w:rsidRPr="00320DC7">
          <w:rPr>
            <w:rStyle w:val="Hyperlink"/>
            <w:rtl/>
          </w:rPr>
          <w:t>חוק העונשין</w:t>
        </w:r>
      </w:hyperlink>
      <w:r>
        <w:rPr>
          <w:rFonts w:hint="cs"/>
          <w:rtl/>
        </w:rPr>
        <w:t>, יש מקום להתחשב בנסיבותיו האישיות של הנאשם אשר אינן קשורות בביצוע העבירות, הנלמדות בענייננו, בין השאר, מעברו הפלילי של הנאשם ומתסקיר שירות המבחן.</w:t>
      </w:r>
    </w:p>
    <w:p w14:paraId="0FCEC67B" w14:textId="77777777" w:rsidR="00B435DF" w:rsidRDefault="00B435DF">
      <w:pPr>
        <w:spacing w:line="360" w:lineRule="auto"/>
        <w:ind w:left="716" w:hanging="716"/>
        <w:jc w:val="both"/>
        <w:rPr>
          <w:rtl/>
        </w:rPr>
      </w:pPr>
    </w:p>
    <w:p w14:paraId="0AA110EA" w14:textId="77777777" w:rsidR="00B435DF" w:rsidRDefault="00D36281">
      <w:pPr>
        <w:spacing w:line="360" w:lineRule="auto"/>
        <w:ind w:left="716" w:hanging="716"/>
        <w:jc w:val="both"/>
        <w:rPr>
          <w:rtl/>
        </w:rPr>
      </w:pPr>
      <w:r>
        <w:rPr>
          <w:rFonts w:hint="cs"/>
          <w:rtl/>
        </w:rPr>
        <w:t>12.</w:t>
      </w:r>
      <w:r>
        <w:rPr>
          <w:rFonts w:hint="cs"/>
          <w:rtl/>
        </w:rPr>
        <w:tab/>
        <w:t xml:space="preserve">המדובר בנאשם שאין זו הסתבכותו הראשונה עם החוק, כאשר שתי הרשעותיו הקודמות כוללות מגוון עבירות רכוש, הפרת הוראות חוקיות והפרעה לשוטר. מעורבותו בפלילים החלה עוד בקטינותו, אז ריצה עונש מאסר בן 34 יום. מאסר אחרון שהוטל עליו בגזר-דין מסוף שנת 2007 בן 11 חודשים לא הרתיעו מלשוב לפעילות פלילית, הפעם בתחום הסמים, כשברקע שימוש ממושך בסמים ללא כל תובנה כיום לצורך בטיפול. </w:t>
      </w:r>
    </w:p>
    <w:p w14:paraId="60128545" w14:textId="77777777" w:rsidR="00B435DF" w:rsidRDefault="00D36281">
      <w:pPr>
        <w:spacing w:line="360" w:lineRule="auto"/>
        <w:ind w:left="716"/>
        <w:jc w:val="both"/>
        <w:rPr>
          <w:rtl/>
        </w:rPr>
      </w:pPr>
      <w:r>
        <w:rPr>
          <w:rFonts w:hint="cs"/>
          <w:rtl/>
        </w:rPr>
        <w:t xml:space="preserve">לזכותו, יש להתחשב בהודאתו בכתבי אישום שתוקנו לקולא ולא ניתן להתעלם מנסיבות חייו ומצבו הכלכלי הקשים, גילו הצעיר והתקופה הממושכת בה שוהה בתנאי מעצר (מסוף מאי 2012). </w:t>
      </w:r>
    </w:p>
    <w:p w14:paraId="418FA4F9" w14:textId="77777777" w:rsidR="00B435DF" w:rsidRDefault="00B435DF">
      <w:pPr>
        <w:spacing w:line="360" w:lineRule="auto"/>
        <w:ind w:left="716" w:hanging="716"/>
        <w:jc w:val="both"/>
        <w:rPr>
          <w:rtl/>
        </w:rPr>
      </w:pPr>
    </w:p>
    <w:p w14:paraId="3EB8B66E" w14:textId="77777777" w:rsidR="00B435DF" w:rsidRDefault="00D36281">
      <w:pPr>
        <w:spacing w:line="360" w:lineRule="auto"/>
        <w:ind w:left="716" w:hanging="716"/>
        <w:jc w:val="both"/>
        <w:rPr>
          <w:rtl/>
        </w:rPr>
      </w:pPr>
      <w:r>
        <w:rPr>
          <w:rFonts w:hint="cs"/>
          <w:rtl/>
        </w:rPr>
        <w:t>13.</w:t>
      </w:r>
      <w:r>
        <w:rPr>
          <w:rFonts w:hint="cs"/>
          <w:rtl/>
        </w:rPr>
        <w:tab/>
        <w:t xml:space="preserve">באיזון בין השיקולים השונים, ובשים לב לפסיקה הנוהגת, הכרעתי היא כי ראוי להשית על הנאשם עונש כולל בגין כל העבירות, אשר יכלול מאסר בפועל לתקופה ממושכת לצד מאסר על תנאי, פסילה בפועל ופסילה על תנאי, וכן ענישה כלכלית צופה פני עתיד בלבד לאור מצבו הכלכלי הקשה. </w:t>
      </w:r>
    </w:p>
    <w:p w14:paraId="4F3B68DC" w14:textId="77777777" w:rsidR="00B435DF" w:rsidRDefault="00B435DF">
      <w:pPr>
        <w:spacing w:line="360" w:lineRule="auto"/>
        <w:ind w:left="716" w:hanging="716"/>
        <w:jc w:val="both"/>
        <w:rPr>
          <w:rtl/>
        </w:rPr>
      </w:pPr>
    </w:p>
    <w:p w14:paraId="3532A407" w14:textId="77777777" w:rsidR="00B435DF" w:rsidRDefault="00D36281">
      <w:pPr>
        <w:spacing w:line="360" w:lineRule="auto"/>
        <w:ind w:left="716" w:hanging="716"/>
        <w:jc w:val="both"/>
        <w:rPr>
          <w:rtl/>
        </w:rPr>
      </w:pPr>
      <w:r>
        <w:rPr>
          <w:rFonts w:hint="cs"/>
          <w:rtl/>
        </w:rPr>
        <w:t>14.</w:t>
      </w:r>
      <w:r>
        <w:rPr>
          <w:rFonts w:hint="cs"/>
          <w:rtl/>
        </w:rPr>
        <w:tab/>
        <w:t>לאור האמור לעיל, אני גוזרת על הנאשם את העונשים הבאים:</w:t>
      </w:r>
    </w:p>
    <w:p w14:paraId="72CB6DCB" w14:textId="77777777" w:rsidR="00B435DF" w:rsidRDefault="00320DC7">
      <w:pPr>
        <w:spacing w:line="360" w:lineRule="auto"/>
        <w:jc w:val="both"/>
        <w:rPr>
          <w:rtl/>
        </w:rPr>
      </w:pPr>
      <w:r>
        <w:rPr>
          <w:rFonts w:hint="cs"/>
          <w:rtl/>
        </w:rPr>
        <w:t xml:space="preserve"> </w:t>
      </w:r>
    </w:p>
    <w:p w14:paraId="013FE901" w14:textId="77777777" w:rsidR="00B435DF" w:rsidRDefault="00D36281">
      <w:pPr>
        <w:spacing w:line="360" w:lineRule="auto"/>
        <w:jc w:val="both"/>
        <w:rPr>
          <w:rtl/>
        </w:rPr>
      </w:pPr>
      <w:r>
        <w:rPr>
          <w:rFonts w:hint="cs"/>
          <w:rtl/>
        </w:rPr>
        <w:tab/>
        <w:t>15 חודשי מאסר לריצוי בפועל מיום מעצרו - 26.5.12.</w:t>
      </w:r>
    </w:p>
    <w:p w14:paraId="0BDA8057" w14:textId="77777777" w:rsidR="00B435DF" w:rsidRDefault="00B435DF">
      <w:pPr>
        <w:spacing w:line="360" w:lineRule="auto"/>
        <w:ind w:left="720"/>
        <w:jc w:val="both"/>
        <w:rPr>
          <w:rStyle w:val="normal-h1"/>
          <w:rtl/>
        </w:rPr>
      </w:pPr>
    </w:p>
    <w:p w14:paraId="587A4D31" w14:textId="77777777" w:rsidR="00B435DF" w:rsidRDefault="00D36281">
      <w:pPr>
        <w:spacing w:line="360" w:lineRule="auto"/>
        <w:ind w:left="720"/>
        <w:jc w:val="both"/>
        <w:rPr>
          <w:rtl/>
        </w:rPr>
      </w:pPr>
      <w:r>
        <w:rPr>
          <w:rFonts w:hint="cs"/>
          <w:rtl/>
        </w:rPr>
        <w:t xml:space="preserve">מאסר על תנאי של 12 חודשים למשך שלוש שנים מיום שחרורו, שלא יעבור עבירות סמים מסוג פשע ו/או עבירות נשק לפי </w:t>
      </w:r>
      <w:hyperlink r:id="rId36" w:history="1">
        <w:r w:rsidR="002739FF" w:rsidRPr="002739FF">
          <w:rPr>
            <w:rStyle w:val="Hyperlink"/>
            <w:rFonts w:hint="eastAsia"/>
            <w:rtl/>
          </w:rPr>
          <w:t>סעיף</w:t>
        </w:r>
        <w:r w:rsidR="002739FF" w:rsidRPr="002739FF">
          <w:rPr>
            <w:rStyle w:val="Hyperlink"/>
            <w:rtl/>
          </w:rPr>
          <w:t xml:space="preserve"> 144</w:t>
        </w:r>
      </w:hyperlink>
      <w:r>
        <w:rPr>
          <w:rFonts w:hint="cs"/>
          <w:rtl/>
        </w:rPr>
        <w:t xml:space="preserve"> ל</w:t>
      </w:r>
      <w:hyperlink r:id="rId37" w:history="1">
        <w:r w:rsidR="00320DC7" w:rsidRPr="00320DC7">
          <w:rPr>
            <w:rStyle w:val="Hyperlink"/>
            <w:rtl/>
          </w:rPr>
          <w:t>חוק העונשין</w:t>
        </w:r>
      </w:hyperlink>
      <w:r>
        <w:rPr>
          <w:rFonts w:hint="cs"/>
          <w:rtl/>
        </w:rPr>
        <w:t>; מאסר על תנאי של 4 חודשים למשך שלוש שנים מיום שחרורו, שלא יעבור עבירות סמים מסוג עוון.</w:t>
      </w:r>
    </w:p>
    <w:p w14:paraId="66F02FFF" w14:textId="77777777" w:rsidR="00B435DF" w:rsidRDefault="00B435DF">
      <w:pPr>
        <w:spacing w:line="360" w:lineRule="auto"/>
        <w:ind w:left="720"/>
        <w:jc w:val="both"/>
        <w:rPr>
          <w:rStyle w:val="normal-h1"/>
          <w:rtl/>
        </w:rPr>
      </w:pPr>
    </w:p>
    <w:p w14:paraId="276E2E0B" w14:textId="77777777" w:rsidR="00B435DF" w:rsidRDefault="00D36281">
      <w:pPr>
        <w:spacing w:line="360" w:lineRule="auto"/>
        <w:ind w:left="720"/>
        <w:jc w:val="both"/>
        <w:rPr>
          <w:rtl/>
        </w:rPr>
      </w:pPr>
      <w:r>
        <w:rPr>
          <w:rFonts w:hint="cs"/>
          <w:rtl/>
        </w:rPr>
        <w:t xml:space="preserve">הנאשם יחתום על התחייבות ע"ס 4000₪ להימנע במשך שלוש שנים מיום שחרורו מעבירות סמים מכל סוג ו/או עבירות נשק לפי </w:t>
      </w:r>
      <w:hyperlink r:id="rId38" w:history="1">
        <w:r w:rsidR="002739FF" w:rsidRPr="002739FF">
          <w:rPr>
            <w:rStyle w:val="Hyperlink"/>
            <w:rFonts w:hint="eastAsia"/>
            <w:rtl/>
          </w:rPr>
          <w:t>סעיף</w:t>
        </w:r>
        <w:r w:rsidR="002739FF" w:rsidRPr="002739FF">
          <w:rPr>
            <w:rStyle w:val="Hyperlink"/>
            <w:rtl/>
          </w:rPr>
          <w:t xml:space="preserve"> 144</w:t>
        </w:r>
      </w:hyperlink>
      <w:r>
        <w:rPr>
          <w:rFonts w:hint="cs"/>
          <w:rtl/>
        </w:rPr>
        <w:t xml:space="preserve"> ל</w:t>
      </w:r>
      <w:hyperlink r:id="rId39" w:history="1">
        <w:r w:rsidR="00320DC7" w:rsidRPr="00320DC7">
          <w:rPr>
            <w:rStyle w:val="Hyperlink"/>
            <w:rtl/>
          </w:rPr>
          <w:t>חוק העונשין</w:t>
        </w:r>
      </w:hyperlink>
      <w:r>
        <w:rPr>
          <w:rFonts w:hint="cs"/>
          <w:rtl/>
        </w:rPr>
        <w:t>.</w:t>
      </w:r>
    </w:p>
    <w:p w14:paraId="48E91EC2" w14:textId="77777777" w:rsidR="00B435DF" w:rsidRDefault="00320DC7">
      <w:pPr>
        <w:spacing w:line="360" w:lineRule="auto"/>
        <w:ind w:left="720"/>
        <w:jc w:val="both"/>
        <w:rPr>
          <w:rtl/>
        </w:rPr>
      </w:pPr>
      <w:r>
        <w:rPr>
          <w:rFonts w:hint="cs"/>
          <w:rtl/>
        </w:rPr>
        <w:t xml:space="preserve"> </w:t>
      </w:r>
    </w:p>
    <w:p w14:paraId="324DCC3F" w14:textId="77777777" w:rsidR="00B435DF" w:rsidRDefault="00D36281">
      <w:pPr>
        <w:spacing w:line="360" w:lineRule="auto"/>
        <w:ind w:left="720"/>
        <w:jc w:val="both"/>
        <w:rPr>
          <w:rtl/>
        </w:rPr>
      </w:pPr>
      <w:r>
        <w:rPr>
          <w:rFonts w:hint="cs"/>
          <w:rtl/>
        </w:rPr>
        <w:t>אני פוסלת את הנאשם מלהחזיק ו/או מלקבל רשיון נהיגה לתקופה של 12 חודשים מיום שחרורו ממאסר.</w:t>
      </w:r>
    </w:p>
    <w:p w14:paraId="6DA16992" w14:textId="77777777" w:rsidR="00B435DF" w:rsidRDefault="00320DC7">
      <w:pPr>
        <w:spacing w:line="360" w:lineRule="auto"/>
        <w:ind w:left="720"/>
        <w:jc w:val="both"/>
        <w:rPr>
          <w:rtl/>
        </w:rPr>
      </w:pPr>
      <w:r>
        <w:rPr>
          <w:rFonts w:hint="cs"/>
          <w:rtl/>
        </w:rPr>
        <w:t xml:space="preserve"> </w:t>
      </w:r>
    </w:p>
    <w:p w14:paraId="645BFA53" w14:textId="77777777" w:rsidR="00B435DF" w:rsidRDefault="00D36281">
      <w:pPr>
        <w:spacing w:line="360" w:lineRule="auto"/>
        <w:ind w:left="720"/>
        <w:jc w:val="both"/>
        <w:rPr>
          <w:rtl/>
        </w:rPr>
      </w:pPr>
      <w:r>
        <w:rPr>
          <w:rFonts w:hint="cs"/>
          <w:rtl/>
        </w:rPr>
        <w:t>אני פוסלת את הנאשם מלהחזיק ו/או לקבל רשיון נהיגה לתקופה של 18 חודשים באם בתוך 3 שנים מיום שחרורו מהמאסר יעבור עבירות סמים מכל סוג.</w:t>
      </w:r>
    </w:p>
    <w:p w14:paraId="379F3EC2" w14:textId="77777777" w:rsidR="00B435DF" w:rsidRDefault="00B435DF">
      <w:pPr>
        <w:spacing w:line="360" w:lineRule="auto"/>
        <w:ind w:left="720"/>
        <w:jc w:val="both"/>
        <w:rPr>
          <w:rtl/>
        </w:rPr>
      </w:pPr>
    </w:p>
    <w:p w14:paraId="733774EF" w14:textId="77777777" w:rsidR="00B435DF" w:rsidRDefault="00D36281">
      <w:pPr>
        <w:spacing w:line="360" w:lineRule="auto"/>
        <w:ind w:left="720"/>
        <w:jc w:val="both"/>
        <w:rPr>
          <w:rtl/>
        </w:rPr>
      </w:pPr>
      <w:r>
        <w:rPr>
          <w:rFonts w:hint="cs"/>
          <w:rtl/>
        </w:rPr>
        <w:t>ניתן צו כללי למוצגים.</w:t>
      </w:r>
      <w:bookmarkStart w:id="8" w:name="_GoBack"/>
      <w:bookmarkEnd w:id="8"/>
    </w:p>
    <w:p w14:paraId="318DFA93" w14:textId="77777777" w:rsidR="00B435DF" w:rsidRDefault="00B435DF">
      <w:pPr>
        <w:spacing w:line="360" w:lineRule="auto"/>
        <w:ind w:left="716" w:hanging="716"/>
        <w:jc w:val="both"/>
        <w:rPr>
          <w:b/>
          <w:bCs/>
          <w:rtl/>
        </w:rPr>
      </w:pPr>
    </w:p>
    <w:p w14:paraId="2ED295B9" w14:textId="77777777" w:rsidR="00B435DF" w:rsidRDefault="00D36281">
      <w:pPr>
        <w:spacing w:line="360" w:lineRule="auto"/>
        <w:ind w:left="716" w:hanging="716"/>
        <w:jc w:val="both"/>
        <w:rPr>
          <w:b/>
          <w:bCs/>
          <w:rtl/>
        </w:rPr>
      </w:pPr>
      <w:r>
        <w:rPr>
          <w:rFonts w:hint="cs"/>
          <w:b/>
          <w:bCs/>
          <w:rtl/>
        </w:rPr>
        <w:t xml:space="preserve">הודעת זכות ערעור לבית-המשפט המחוזי בתוך 45 יום. </w:t>
      </w:r>
    </w:p>
    <w:p w14:paraId="5FC69626" w14:textId="77777777" w:rsidR="00B435DF" w:rsidRDefault="00B435DF">
      <w:pPr>
        <w:spacing w:line="360" w:lineRule="auto"/>
        <w:ind w:left="716" w:hanging="716"/>
        <w:jc w:val="both"/>
        <w:rPr>
          <w:rtl/>
        </w:rPr>
      </w:pPr>
    </w:p>
    <w:p w14:paraId="607B15A1" w14:textId="77777777" w:rsidR="00B435DF" w:rsidRDefault="00D36281">
      <w:pPr>
        <w:rPr>
          <w:rFonts w:cs="FrankRuehl"/>
          <w:sz w:val="28"/>
          <w:szCs w:val="28"/>
          <w:rtl/>
        </w:rPr>
      </w:pPr>
      <w:r>
        <w:rPr>
          <w:rtl/>
        </w:rPr>
        <w:t xml:space="preserve">ניתן היום, כד' שבט תשע"ג, 4 פברואר 2013, במעמד הנוכחים.  </w:t>
      </w:r>
    </w:p>
    <w:p w14:paraId="6CF9BBEB" w14:textId="77777777" w:rsidR="00B435DF" w:rsidRPr="00D36281" w:rsidRDefault="00D36281">
      <w:pPr>
        <w:rPr>
          <w:rFonts w:cs="FrankRuehl"/>
          <w:color w:val="FFFFFF"/>
          <w:sz w:val="2"/>
          <w:szCs w:val="2"/>
          <w:rtl/>
        </w:rPr>
      </w:pPr>
      <w:r w:rsidRPr="00D36281">
        <w:rPr>
          <w:rFonts w:cs="FrankRuehl"/>
          <w:color w:val="FFFFFF"/>
          <w:sz w:val="2"/>
          <w:szCs w:val="2"/>
          <w:rtl/>
        </w:rPr>
        <w:t>5129371</w:t>
      </w:r>
    </w:p>
    <w:p w14:paraId="43AB1EEE" w14:textId="77777777" w:rsidR="00B435DF" w:rsidRPr="00D36281" w:rsidRDefault="00C2593F">
      <w:pPr>
        <w:rPr>
          <w:rFonts w:cs="FrankRuehl"/>
          <w:color w:val="FFFFFF"/>
          <w:sz w:val="2"/>
          <w:szCs w:val="2"/>
          <w:rtl/>
        </w:rPr>
      </w:pPr>
      <w:r w:rsidRPr="00C2593F">
        <w:rPr>
          <w:rFonts w:cs="FrankRuehl"/>
          <w:color w:val="FFFFFF"/>
          <w:sz w:val="2"/>
          <w:szCs w:val="2"/>
          <w:rtl/>
        </w:rPr>
        <w:t>5129371</w:t>
      </w:r>
      <w:r w:rsidR="00D36281" w:rsidRPr="00D36281">
        <w:rPr>
          <w:rFonts w:cs="FrankRuehl"/>
          <w:color w:val="FFFFFF"/>
          <w:sz w:val="2"/>
          <w:szCs w:val="2"/>
          <w:rtl/>
        </w:rPr>
        <w:t>54678313</w:t>
      </w:r>
    </w:p>
    <w:p w14:paraId="16CE7458" w14:textId="77777777" w:rsidR="00D36281" w:rsidRPr="00C2593F" w:rsidRDefault="00C2593F" w:rsidP="00D36281">
      <w:pPr>
        <w:keepNext/>
        <w:rPr>
          <w:rFonts w:ascii="David" w:hAnsi="David"/>
          <w:color w:val="FFFFFF"/>
          <w:sz w:val="2"/>
          <w:szCs w:val="2"/>
          <w:rtl/>
        </w:rPr>
      </w:pPr>
      <w:r w:rsidRPr="00C2593F">
        <w:rPr>
          <w:rFonts w:ascii="David" w:hAnsi="David"/>
          <w:color w:val="FFFFFF"/>
          <w:sz w:val="2"/>
          <w:szCs w:val="2"/>
          <w:rtl/>
        </w:rPr>
        <w:t>54678313</w:t>
      </w:r>
    </w:p>
    <w:p w14:paraId="09520C52" w14:textId="77777777" w:rsidR="00C2593F" w:rsidRPr="00C2593F" w:rsidRDefault="00C2593F" w:rsidP="00C2593F">
      <w:pPr>
        <w:keepNext/>
        <w:rPr>
          <w:rFonts w:ascii="David" w:hAnsi="David"/>
          <w:color w:val="000000"/>
          <w:sz w:val="22"/>
          <w:szCs w:val="22"/>
          <w:rtl/>
        </w:rPr>
      </w:pPr>
    </w:p>
    <w:p w14:paraId="2BAF49AE" w14:textId="77777777" w:rsidR="00C2593F" w:rsidRPr="00C2593F" w:rsidRDefault="00C2593F" w:rsidP="00C2593F">
      <w:pPr>
        <w:keepNext/>
        <w:rPr>
          <w:rFonts w:ascii="David" w:hAnsi="David"/>
          <w:color w:val="000000"/>
          <w:sz w:val="22"/>
          <w:szCs w:val="22"/>
          <w:rtl/>
        </w:rPr>
      </w:pPr>
      <w:r w:rsidRPr="00C2593F">
        <w:rPr>
          <w:rFonts w:ascii="David" w:hAnsi="David"/>
          <w:color w:val="000000"/>
          <w:sz w:val="22"/>
          <w:szCs w:val="22"/>
          <w:rtl/>
        </w:rPr>
        <w:t>דנה מרשק מרום 54678313-/</w:t>
      </w:r>
    </w:p>
    <w:p w14:paraId="7EAA7245" w14:textId="77777777" w:rsidR="00D36281" w:rsidRDefault="00D36281" w:rsidP="00D36281">
      <w:r w:rsidRPr="00D36281">
        <w:rPr>
          <w:color w:val="000000"/>
          <w:rtl/>
        </w:rPr>
        <w:t>נוסח מסמך זה כפוף לשינויי ניסוח ועריכה</w:t>
      </w:r>
    </w:p>
    <w:p w14:paraId="6BEECE01" w14:textId="77777777" w:rsidR="00D36281" w:rsidRDefault="00D36281" w:rsidP="00D36281">
      <w:pPr>
        <w:rPr>
          <w:rtl/>
        </w:rPr>
      </w:pPr>
    </w:p>
    <w:p w14:paraId="4361EFD4" w14:textId="77777777" w:rsidR="00D36281" w:rsidRDefault="00D36281" w:rsidP="00D36281">
      <w:pPr>
        <w:jc w:val="center"/>
        <w:rPr>
          <w:color w:val="0000FF"/>
          <w:u w:val="single"/>
        </w:rPr>
      </w:pPr>
      <w:r w:rsidRPr="00072D4B">
        <w:rPr>
          <w:color w:val="000000"/>
          <w:rtl/>
        </w:rPr>
        <w:t>בעניין עריכה ושינויים במסמכי פסיקה, חקיקה ועוד באתר נבו – הקש כאן</w:t>
      </w:r>
    </w:p>
    <w:sectPr w:rsidR="00D36281" w:rsidSect="00C2593F">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E2B0E" w14:textId="77777777" w:rsidR="008D6E08" w:rsidRPr="00980568" w:rsidRDefault="008D6E08">
      <w:pPr>
        <w:rPr>
          <w:rFonts w:cs="Arial"/>
          <w:szCs w:val="20"/>
        </w:rPr>
      </w:pPr>
      <w:r>
        <w:separator/>
      </w:r>
    </w:p>
  </w:endnote>
  <w:endnote w:type="continuationSeparator" w:id="0">
    <w:p w14:paraId="768D06E8" w14:textId="77777777" w:rsidR="008D6E08" w:rsidRPr="00980568" w:rsidRDefault="008D6E0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D82AD" w14:textId="77777777" w:rsidR="002A78A4" w:rsidRDefault="002A78A4" w:rsidP="00C259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48B0BDA" w14:textId="77777777" w:rsidR="002A78A4" w:rsidRPr="00C2593F" w:rsidRDefault="002A78A4" w:rsidP="00C2593F">
    <w:pPr>
      <w:pStyle w:val="a4"/>
      <w:pBdr>
        <w:top w:val="single" w:sz="4" w:space="1" w:color="auto"/>
        <w:between w:val="single" w:sz="4" w:space="0" w:color="auto"/>
      </w:pBdr>
      <w:spacing w:after="60"/>
      <w:jc w:val="center"/>
      <w:rPr>
        <w:rFonts w:ascii="FrankRuehl" w:hAnsi="FrankRuehl" w:cs="FrankRuehl"/>
        <w:color w:val="000000"/>
      </w:rPr>
    </w:pPr>
    <w:r w:rsidRPr="00C2593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5A8C5" w14:textId="77777777" w:rsidR="002A78A4" w:rsidRDefault="002A78A4" w:rsidP="00C259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7769">
      <w:rPr>
        <w:rFonts w:ascii="FrankRuehl" w:hAnsi="FrankRuehl" w:cs="FrankRuehl"/>
        <w:noProof/>
        <w:rtl/>
      </w:rPr>
      <w:t>1</w:t>
    </w:r>
    <w:r>
      <w:rPr>
        <w:rFonts w:ascii="FrankRuehl" w:hAnsi="FrankRuehl" w:cs="FrankRuehl"/>
        <w:rtl/>
      </w:rPr>
      <w:fldChar w:fldCharType="end"/>
    </w:r>
  </w:p>
  <w:p w14:paraId="31E86D40" w14:textId="77777777" w:rsidR="002A78A4" w:rsidRPr="00C2593F" w:rsidRDefault="002A78A4" w:rsidP="00C2593F">
    <w:pPr>
      <w:pStyle w:val="a4"/>
      <w:pBdr>
        <w:top w:val="single" w:sz="4" w:space="1" w:color="auto"/>
        <w:between w:val="single" w:sz="4" w:space="0" w:color="auto"/>
      </w:pBdr>
      <w:spacing w:after="60"/>
      <w:jc w:val="center"/>
      <w:rPr>
        <w:rFonts w:ascii="FrankRuehl" w:hAnsi="FrankRuehl" w:cs="FrankRuehl"/>
        <w:color w:val="000000"/>
      </w:rPr>
    </w:pPr>
    <w:r w:rsidRPr="00C2593F">
      <w:rPr>
        <w:rFonts w:ascii="FrankRuehl" w:hAnsi="FrankRuehl" w:cs="FrankRuehl"/>
        <w:color w:val="000000"/>
      </w:rPr>
      <w:pict w14:anchorId="7C78F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A762F" w14:textId="77777777" w:rsidR="008D6E08" w:rsidRPr="00980568" w:rsidRDefault="008D6E08">
      <w:pPr>
        <w:rPr>
          <w:rFonts w:cs="Arial"/>
          <w:szCs w:val="20"/>
        </w:rPr>
      </w:pPr>
      <w:r>
        <w:separator/>
      </w:r>
    </w:p>
  </w:footnote>
  <w:footnote w:type="continuationSeparator" w:id="0">
    <w:p w14:paraId="1F0F238D" w14:textId="77777777" w:rsidR="008D6E08" w:rsidRPr="00980568" w:rsidRDefault="008D6E0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C36D1" w14:textId="77777777" w:rsidR="002A78A4" w:rsidRPr="00C2593F" w:rsidRDefault="002A78A4" w:rsidP="00C259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15319-01-12</w:t>
    </w:r>
    <w:r>
      <w:rPr>
        <w:rFonts w:ascii="David" w:hAnsi="David"/>
        <w:color w:val="000000"/>
        <w:sz w:val="22"/>
        <w:szCs w:val="22"/>
        <w:rtl/>
      </w:rPr>
      <w:tab/>
      <w:t xml:space="preserve"> מדינת ישראל נ' קונסטנט מלצב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264C" w14:textId="77777777" w:rsidR="002A78A4" w:rsidRPr="00C2593F" w:rsidRDefault="002A78A4" w:rsidP="00C259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15319-01-12</w:t>
    </w:r>
    <w:r>
      <w:rPr>
        <w:rFonts w:ascii="David" w:hAnsi="David"/>
        <w:color w:val="000000"/>
        <w:sz w:val="22"/>
        <w:szCs w:val="22"/>
        <w:rtl/>
      </w:rPr>
      <w:tab/>
      <w:t xml:space="preserve"> מדינת ישראל נ' קונסטנט מלצב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35DF"/>
    <w:rsid w:val="00072D4B"/>
    <w:rsid w:val="00117769"/>
    <w:rsid w:val="0013141F"/>
    <w:rsid w:val="00222CFA"/>
    <w:rsid w:val="002739FF"/>
    <w:rsid w:val="002A78A4"/>
    <w:rsid w:val="00320DC7"/>
    <w:rsid w:val="003C74EA"/>
    <w:rsid w:val="00810792"/>
    <w:rsid w:val="008B45E8"/>
    <w:rsid w:val="008D6E08"/>
    <w:rsid w:val="00B435DF"/>
    <w:rsid w:val="00C2593F"/>
    <w:rsid w:val="00D36281"/>
    <w:rsid w:val="00E55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D4C730F"/>
  <w15:chartTrackingRefBased/>
  <w15:docId w15:val="{41ADDAD6-0FA4-40CB-9860-3364EDD6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35D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435DF"/>
    <w:pPr>
      <w:tabs>
        <w:tab w:val="center" w:pos="4153"/>
        <w:tab w:val="right" w:pos="8306"/>
      </w:tabs>
    </w:pPr>
  </w:style>
  <w:style w:type="paragraph" w:styleId="a4">
    <w:name w:val="footer"/>
    <w:basedOn w:val="a"/>
    <w:rsid w:val="00B435DF"/>
    <w:pPr>
      <w:tabs>
        <w:tab w:val="center" w:pos="4153"/>
        <w:tab w:val="right" w:pos="8306"/>
      </w:tabs>
    </w:pPr>
  </w:style>
  <w:style w:type="character" w:styleId="a5">
    <w:name w:val="page number"/>
    <w:basedOn w:val="a0"/>
    <w:rsid w:val="00B435DF"/>
  </w:style>
  <w:style w:type="paragraph" w:customStyle="1" w:styleId="normal-p">
    <w:name w:val="normal-p"/>
    <w:basedOn w:val="a"/>
    <w:rsid w:val="00B435DF"/>
    <w:pPr>
      <w:bidi w:val="0"/>
      <w:spacing w:before="100" w:beforeAutospacing="1" w:after="100" w:afterAutospacing="1"/>
    </w:pPr>
    <w:rPr>
      <w:rFonts w:cs="Times New Roman"/>
    </w:rPr>
  </w:style>
  <w:style w:type="character" w:customStyle="1" w:styleId="normal-h1">
    <w:name w:val="normal-h1"/>
    <w:rsid w:val="00B435DF"/>
    <w:rPr>
      <w:rFonts w:ascii="Times New Roman" w:hAnsi="Times New Roman" w:cs="Times New Roman" w:hint="default"/>
      <w:sz w:val="20"/>
      <w:szCs w:val="20"/>
    </w:rPr>
  </w:style>
  <w:style w:type="character" w:customStyle="1" w:styleId="normal-h">
    <w:name w:val="normal-h"/>
    <w:basedOn w:val="a0"/>
    <w:rsid w:val="00B435DF"/>
  </w:style>
  <w:style w:type="character" w:customStyle="1" w:styleId="normal-p-h1-h1">
    <w:name w:val="normal-p-h1-h1"/>
    <w:rsid w:val="00B435DF"/>
    <w:rPr>
      <w:sz w:val="24"/>
      <w:szCs w:val="24"/>
    </w:rPr>
  </w:style>
  <w:style w:type="character" w:styleId="Hyperlink">
    <w:name w:val="Hyperlink"/>
    <w:rsid w:val="00D362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4216/19a"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law/70301/40ja" TargetMode="External"/><Relationship Id="rId42" Type="http://schemas.openxmlformats.org/officeDocument/2006/relationships/footer" Target="footer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40ja" TargetMode="External"/><Relationship Id="rId29" Type="http://schemas.openxmlformats.org/officeDocument/2006/relationships/hyperlink" Target="http://www.nevo.co.il/law/4216/7.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21.a.1" TargetMode="External"/><Relationship Id="rId24" Type="http://schemas.openxmlformats.org/officeDocument/2006/relationships/hyperlink" Target="http://www.nevo.co.il/case/4748835" TargetMode="External"/><Relationship Id="rId32" Type="http://schemas.openxmlformats.org/officeDocument/2006/relationships/hyperlink" Target="http://www.nevo.co.il/case/4748834"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4216/21.a.1" TargetMode="External"/><Relationship Id="rId28" Type="http://schemas.openxmlformats.org/officeDocument/2006/relationships/hyperlink" Target="http://www.nevo.co.il/law/4216/7.a"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40c.a"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144"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21.a.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4748834" TargetMode="External"/><Relationship Id="rId25" Type="http://schemas.openxmlformats.org/officeDocument/2006/relationships/hyperlink" Target="http://www.nevo.co.il/law/4216/13" TargetMode="External"/><Relationship Id="rId33" Type="http://schemas.openxmlformats.org/officeDocument/2006/relationships/hyperlink" Target="http://www.nevo.co.il/case/4748835" TargetMode="External"/><Relationship Id="rId38" Type="http://schemas.openxmlformats.org/officeDocument/2006/relationships/hyperlink" Target="http://www.nevo.co.il/law/70301/144" TargetMode="External"/><Relationship Id="rId20" Type="http://schemas.openxmlformats.org/officeDocument/2006/relationships/hyperlink" Target="http://www.nevo.co.il/law/4216"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1639</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9819</CharactersWithSpaces>
  <SharedDoc>false</SharedDoc>
  <HLinks>
    <vt:vector size="204" baseType="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3997816</vt:i4>
      </vt:variant>
      <vt:variant>
        <vt:i4>81</vt:i4>
      </vt:variant>
      <vt:variant>
        <vt:i4>0</vt:i4>
      </vt:variant>
      <vt:variant>
        <vt:i4>5</vt:i4>
      </vt:variant>
      <vt:variant>
        <vt:lpwstr>http://www.nevo.co.il/case/4748835</vt:lpwstr>
      </vt:variant>
      <vt:variant>
        <vt:lpwstr/>
      </vt:variant>
      <vt:variant>
        <vt:i4>3932280</vt:i4>
      </vt:variant>
      <vt:variant>
        <vt:i4>78</vt:i4>
      </vt:variant>
      <vt:variant>
        <vt:i4>0</vt:i4>
      </vt:variant>
      <vt:variant>
        <vt:i4>5</vt:i4>
      </vt:variant>
      <vt:variant>
        <vt:lpwstr>http://www.nevo.co.il/case/4748834</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7995492</vt:i4>
      </vt:variant>
      <vt:variant>
        <vt:i4>72</vt:i4>
      </vt:variant>
      <vt:variant>
        <vt:i4>0</vt:i4>
      </vt:variant>
      <vt:variant>
        <vt:i4>5</vt:i4>
      </vt:variant>
      <vt:variant>
        <vt:lpwstr>http://www.nevo.co.il/law/70301</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4980762</vt:i4>
      </vt:variant>
      <vt:variant>
        <vt:i4>63</vt:i4>
      </vt:variant>
      <vt:variant>
        <vt:i4>0</vt:i4>
      </vt:variant>
      <vt:variant>
        <vt:i4>5</vt:i4>
      </vt:variant>
      <vt:variant>
        <vt:lpwstr>http://www.nevo.co.il/law/4216/21.a.1</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3997816</vt:i4>
      </vt:variant>
      <vt:variant>
        <vt:i4>54</vt:i4>
      </vt:variant>
      <vt:variant>
        <vt:i4>0</vt:i4>
      </vt:variant>
      <vt:variant>
        <vt:i4>5</vt:i4>
      </vt:variant>
      <vt:variant>
        <vt:lpwstr>http://www.nevo.co.il/case/4748835</vt:lpwstr>
      </vt:variant>
      <vt:variant>
        <vt:lpwstr/>
      </vt:variant>
      <vt:variant>
        <vt:i4>4980762</vt:i4>
      </vt:variant>
      <vt:variant>
        <vt:i4>51</vt:i4>
      </vt:variant>
      <vt:variant>
        <vt:i4>0</vt:i4>
      </vt:variant>
      <vt:variant>
        <vt:i4>5</vt:i4>
      </vt:variant>
      <vt:variant>
        <vt:lpwstr>http://www.nevo.co.il/law/4216/21.a.1</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3932280</vt:i4>
      </vt:variant>
      <vt:variant>
        <vt:i4>33</vt:i4>
      </vt:variant>
      <vt:variant>
        <vt:i4>0</vt:i4>
      </vt:variant>
      <vt:variant>
        <vt:i4>5</vt:i4>
      </vt:variant>
      <vt:variant>
        <vt:lpwstr>http://www.nevo.co.il/case/4748834</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4980762</vt:i4>
      </vt:variant>
      <vt:variant>
        <vt:i4>15</vt:i4>
      </vt:variant>
      <vt:variant>
        <vt:i4>0</vt:i4>
      </vt:variant>
      <vt:variant>
        <vt:i4>5</vt:i4>
      </vt:variant>
      <vt:variant>
        <vt:lpwstr>http://www.nevo.co.il/law/4216/21.a.1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2025-04-22T21:41:00Z</dcterms:created>
  <dcterms:modified xsi:type="dcterms:W3CDTF">2025-04-22T21:41:00Z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15319;59723</vt:lpwstr>
  </property>
  <property fmtid="{D5CDD505-2E9C-101B-9397-08002B2CF9AE}" pid="6" name="NEWPARTB">
    <vt:lpwstr>01;05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קונסטנט מלצב</vt:lpwstr>
  </property>
  <property fmtid="{D5CDD505-2E9C-101B-9397-08002B2CF9AE}" pid="10" name="LAWYER">
    <vt:lpwstr>קובי לן;מירי אוזן</vt:lpwstr>
  </property>
  <property fmtid="{D5CDD505-2E9C-101B-9397-08002B2CF9AE}" pid="11" name="JUDGE">
    <vt:lpwstr>דנה מרשק מרום</vt:lpwstr>
  </property>
  <property fmtid="{D5CDD505-2E9C-101B-9397-08002B2CF9AE}" pid="12" name="CITY">
    <vt:lpwstr>כ"ס</vt:lpwstr>
  </property>
  <property fmtid="{D5CDD505-2E9C-101B-9397-08002B2CF9AE}" pid="13" name="DATE">
    <vt:lpwstr>20130204</vt:lpwstr>
  </property>
  <property fmtid="{D5CDD505-2E9C-101B-9397-08002B2CF9AE}" pid="14" name="TYPE_N_DATE">
    <vt:lpwstr>38020130204</vt:lpwstr>
  </property>
  <property fmtid="{D5CDD505-2E9C-101B-9397-08002B2CF9AE}" pid="15" name="WORDNUMPAGES">
    <vt:lpwstr>5</vt:lpwstr>
  </property>
  <property fmtid="{D5CDD505-2E9C-101B-9397-08002B2CF9AE}" pid="16" name="TYPE_ABS_DATE">
    <vt:lpwstr>380020130204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4748834:2;4748835:2</vt:lpwstr>
  </property>
  <property fmtid="{D5CDD505-2E9C-101B-9397-08002B2CF9AE}" pid="36" name="LAWLISTTMP1">
    <vt:lpwstr>4216/007.a:2;007.c:2;021.a.1:2;013;019a</vt:lpwstr>
  </property>
  <property fmtid="{D5CDD505-2E9C-101B-9397-08002B2CF9AE}" pid="37" name="LAWLISTTMP2">
    <vt:lpwstr>70301/144.a;040c.a;40ja;144:2</vt:lpwstr>
  </property>
</Properties>
</file>