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B0261" w:rsidRPr="00BB0261" w14:paraId="09594A79" w14:textId="77777777">
        <w:trPr>
          <w:trHeight w:hRule="exact" w:val="418"/>
          <w:jc w:val="center"/>
        </w:trPr>
        <w:tc>
          <w:tcPr>
            <w:tcW w:w="8720" w:type="dxa"/>
            <w:gridSpan w:val="3"/>
          </w:tcPr>
          <w:p w14:paraId="7B4E63D8" w14:textId="77777777" w:rsidR="00BB0261" w:rsidRPr="00BB0261" w:rsidRDefault="00BB0261" w:rsidP="00BB0261">
            <w:pPr>
              <w:pStyle w:val="a3"/>
              <w:tabs>
                <w:tab w:val="clear" w:pos="8306"/>
              </w:tabs>
              <w:jc w:val="center"/>
              <w:rPr>
                <w:rFonts w:ascii="Tahoma" w:hAnsi="Tahoma" w:cs="Tahoma"/>
                <w:b/>
                <w:bCs/>
                <w:color w:val="000080"/>
                <w:sz w:val="20"/>
                <w:szCs w:val="20"/>
              </w:rPr>
            </w:pPr>
            <w:bookmarkStart w:id="0" w:name="FirstLawyer"/>
            <w:bookmarkStart w:id="1" w:name="LastJudge"/>
            <w:r w:rsidRPr="00BB0261">
              <w:rPr>
                <w:noProof/>
              </w:rPr>
              <w:pict w14:anchorId="5763AD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7" type="#_x0000_t136" style="position:absolute;left:0;text-align:left;margin-left:0;margin-top:0;width:406.1pt;height:58pt;rotation:315;z-index:251657728;mso-position-horizontal:center;mso-position-horizontal-relative:margin;mso-position-vertical:center;mso-position-vertical-relative:margin" fillcolor="silver" stroked="f">
                  <v:fill opacity=".5"/>
                  <v:stroke r:id="rId7" o:title=""/>
                  <v:shadow color="#868686"/>
                  <v:textpath style="font-family:&quot;Times New Roman&quot;;font-size:1pt;v-text-kern:t" trim="t" fitpath="t" string="בדלתיים סגורות"/>
                  <o:lock v:ext="edit" aspectratio="t"/>
                  <w10:wrap anchorx="margin" anchory="margin"/>
                </v:shape>
              </w:pict>
            </w:r>
            <w:r w:rsidRPr="00BB0261">
              <w:rPr>
                <w:rFonts w:ascii="Tahoma" w:hAnsi="Tahoma" w:cs="Tahoma"/>
                <w:b/>
                <w:bCs/>
                <w:color w:val="000080"/>
                <w:sz w:val="20"/>
                <w:szCs w:val="20"/>
                <w:rtl/>
              </w:rPr>
              <w:t>בית משפט לנוער בבית משפט השלום בנצרת</w:t>
            </w:r>
          </w:p>
        </w:tc>
      </w:tr>
      <w:tr w:rsidR="00BB0261" w:rsidRPr="00BB0261" w14:paraId="41F3D68F" w14:textId="77777777">
        <w:trPr>
          <w:trHeight w:val="337"/>
          <w:jc w:val="center"/>
        </w:trPr>
        <w:tc>
          <w:tcPr>
            <w:tcW w:w="6396" w:type="dxa"/>
          </w:tcPr>
          <w:p w14:paraId="418ABC87" w14:textId="77777777" w:rsidR="00BB0261" w:rsidRPr="00BB0261" w:rsidRDefault="00BB0261" w:rsidP="00BB0261">
            <w:pPr>
              <w:rPr>
                <w:b/>
                <w:bCs/>
                <w:sz w:val="26"/>
                <w:szCs w:val="26"/>
              </w:rPr>
            </w:pPr>
            <w:r w:rsidRPr="00BB0261">
              <w:rPr>
                <w:b/>
                <w:bCs/>
                <w:sz w:val="26"/>
                <w:szCs w:val="26"/>
                <w:rtl/>
              </w:rPr>
              <w:t>ת"פ</w:t>
            </w:r>
            <w:r w:rsidR="00FC59B1">
              <w:rPr>
                <w:rFonts w:hint="cs"/>
                <w:b/>
                <w:bCs/>
                <w:sz w:val="26"/>
                <w:szCs w:val="26"/>
                <w:rtl/>
              </w:rPr>
              <w:t xml:space="preserve"> </w:t>
            </w:r>
            <w:r w:rsidRPr="00BB0261">
              <w:rPr>
                <w:b/>
                <w:bCs/>
                <w:sz w:val="26"/>
                <w:szCs w:val="26"/>
                <w:rtl/>
              </w:rPr>
              <w:t>34757-01-12</w:t>
            </w:r>
            <w:r w:rsidR="00FC59B1">
              <w:rPr>
                <w:rFonts w:hint="cs"/>
                <w:b/>
                <w:bCs/>
                <w:sz w:val="26"/>
                <w:szCs w:val="26"/>
                <w:rtl/>
              </w:rPr>
              <w:t xml:space="preserve"> </w:t>
            </w:r>
            <w:r w:rsidRPr="00BB0261">
              <w:rPr>
                <w:b/>
                <w:bCs/>
                <w:sz w:val="26"/>
                <w:szCs w:val="26"/>
                <w:rtl/>
              </w:rPr>
              <w:t>מדינת ישראל נ' פלוני</w:t>
            </w:r>
          </w:p>
        </w:tc>
        <w:tc>
          <w:tcPr>
            <w:tcW w:w="236" w:type="dxa"/>
          </w:tcPr>
          <w:p w14:paraId="026F6635" w14:textId="77777777" w:rsidR="00BB0261" w:rsidRPr="00BB0261" w:rsidRDefault="00BB0261" w:rsidP="00BB0261">
            <w:pPr>
              <w:pStyle w:val="a3"/>
              <w:jc w:val="right"/>
              <w:rPr>
                <w:b/>
                <w:bCs/>
                <w:sz w:val="26"/>
                <w:szCs w:val="26"/>
              </w:rPr>
            </w:pPr>
          </w:p>
        </w:tc>
        <w:tc>
          <w:tcPr>
            <w:tcW w:w="2088" w:type="dxa"/>
          </w:tcPr>
          <w:p w14:paraId="06B0A698" w14:textId="77777777" w:rsidR="00BB0261" w:rsidRPr="00BB0261" w:rsidRDefault="00BB0261" w:rsidP="00BB0261">
            <w:pPr>
              <w:pStyle w:val="a3"/>
              <w:tabs>
                <w:tab w:val="clear" w:pos="4153"/>
              </w:tabs>
              <w:jc w:val="right"/>
              <w:rPr>
                <w:b/>
                <w:bCs/>
                <w:sz w:val="26"/>
                <w:szCs w:val="26"/>
              </w:rPr>
            </w:pPr>
            <w:r w:rsidRPr="00BB0261">
              <w:rPr>
                <w:b/>
                <w:bCs/>
                <w:sz w:val="26"/>
                <w:szCs w:val="26"/>
                <w:rtl/>
              </w:rPr>
              <w:t>03 מרץ 2013</w:t>
            </w:r>
          </w:p>
        </w:tc>
      </w:tr>
    </w:tbl>
    <w:p w14:paraId="427B0568" w14:textId="77777777" w:rsidR="00BB0261" w:rsidRPr="00BB0261" w:rsidRDefault="00BB0261" w:rsidP="00BB0261">
      <w:pPr>
        <w:pStyle w:val="a3"/>
        <w:jc w:val="center"/>
        <w:rPr>
          <w:rFonts w:ascii="Tahoma" w:hAnsi="Tahoma" w:cs="Tahoma"/>
          <w:b/>
          <w:bCs/>
          <w:color w:val="000080"/>
          <w:sz w:val="20"/>
          <w:szCs w:val="20"/>
          <w:rtl/>
        </w:rPr>
      </w:pPr>
    </w:p>
    <w:p w14:paraId="048B2CB1" w14:textId="77777777" w:rsidR="00BB0261" w:rsidRPr="00BB0261" w:rsidRDefault="00BB0261">
      <w:pPr>
        <w:spacing w:line="360" w:lineRule="auto"/>
        <w:jc w:val="both"/>
        <w:rPr>
          <w:sz w:val="6"/>
          <w:szCs w:val="6"/>
          <w:rtl/>
        </w:rPr>
      </w:pPr>
    </w:p>
    <w:tbl>
      <w:tblPr>
        <w:bidiVisual/>
        <w:tblW w:w="8802" w:type="dxa"/>
        <w:tblLook w:val="01E0" w:firstRow="1" w:lastRow="1" w:firstColumn="1" w:lastColumn="1" w:noHBand="0" w:noVBand="0"/>
      </w:tblPr>
      <w:tblGrid>
        <w:gridCol w:w="2880"/>
        <w:gridCol w:w="5839"/>
        <w:gridCol w:w="83"/>
      </w:tblGrid>
      <w:tr w:rsidR="00BB0261" w:rsidRPr="00BB0261" w14:paraId="7256A5CB" w14:textId="77777777">
        <w:trPr>
          <w:gridAfter w:val="1"/>
          <w:wAfter w:w="55" w:type="dxa"/>
        </w:trPr>
        <w:tc>
          <w:tcPr>
            <w:tcW w:w="8719" w:type="dxa"/>
            <w:gridSpan w:val="2"/>
          </w:tcPr>
          <w:p w14:paraId="6A3E47D5" w14:textId="77777777" w:rsidR="00BB0261" w:rsidRPr="00BB0261" w:rsidRDefault="00BB0261" w:rsidP="00BB0261">
            <w:pPr>
              <w:spacing w:line="360" w:lineRule="auto"/>
              <w:jc w:val="both"/>
              <w:rPr>
                <w:rFonts w:ascii="Times New Roman" w:hAnsi="Times New Roman"/>
                <w:b/>
                <w:bCs/>
                <w:sz w:val="26"/>
                <w:szCs w:val="26"/>
              </w:rPr>
            </w:pPr>
            <w:r w:rsidRPr="00BB0261">
              <w:rPr>
                <w:rFonts w:ascii="Times New Roman" w:hAnsi="Times New Roman"/>
                <w:b/>
                <w:bCs/>
                <w:sz w:val="26"/>
                <w:szCs w:val="26"/>
                <w:rtl/>
              </w:rPr>
              <w:t>בפני כב' השופטת אילנית אימבר</w:t>
            </w:r>
          </w:p>
        </w:tc>
      </w:tr>
      <w:tr w:rsidR="00BB0261" w:rsidRPr="00BB0261" w14:paraId="6691C6D5" w14:textId="77777777">
        <w:tc>
          <w:tcPr>
            <w:tcW w:w="2880" w:type="dxa"/>
          </w:tcPr>
          <w:p w14:paraId="012360C6" w14:textId="77777777" w:rsidR="00BB0261" w:rsidRPr="00BB0261" w:rsidRDefault="00BB0261" w:rsidP="00BB0261">
            <w:pPr>
              <w:ind w:left="26"/>
              <w:rPr>
                <w:rFonts w:ascii="Times New Roman" w:hAnsi="Times New Roman"/>
                <w:b/>
                <w:bCs/>
                <w:sz w:val="26"/>
                <w:szCs w:val="26"/>
              </w:rPr>
            </w:pPr>
            <w:bookmarkStart w:id="2" w:name="FirstAppellant"/>
            <w:r w:rsidRPr="00BB0261">
              <w:rPr>
                <w:rFonts w:ascii="Times New Roman" w:hAnsi="Times New Roman"/>
                <w:b/>
                <w:bCs/>
                <w:sz w:val="26"/>
                <w:szCs w:val="26"/>
                <w:rtl/>
              </w:rPr>
              <w:t>ה</w:t>
            </w:r>
            <w:r w:rsidRPr="00BB0261">
              <w:rPr>
                <w:rFonts w:ascii="Times New Roman" w:hAnsi="Times New Roman"/>
                <w:rtl/>
              </w:rPr>
              <w:t>מאשימה</w:t>
            </w:r>
          </w:p>
        </w:tc>
        <w:tc>
          <w:tcPr>
            <w:tcW w:w="5922" w:type="dxa"/>
            <w:gridSpan w:val="2"/>
          </w:tcPr>
          <w:p w14:paraId="45444181" w14:textId="77777777" w:rsidR="00BB0261" w:rsidRPr="00BB0261" w:rsidRDefault="00BB0261" w:rsidP="00BB0261">
            <w:pPr>
              <w:rPr>
                <w:rFonts w:ascii="Times New Roman" w:hAnsi="Times New Roman"/>
                <w:b/>
                <w:bCs/>
                <w:sz w:val="26"/>
                <w:szCs w:val="26"/>
              </w:rPr>
            </w:pPr>
            <w:r w:rsidRPr="00BB0261">
              <w:rPr>
                <w:rFonts w:ascii="Times New Roman" w:hAnsi="Times New Roman"/>
                <w:b/>
                <w:bCs/>
                <w:sz w:val="26"/>
                <w:szCs w:val="26"/>
                <w:rtl/>
              </w:rPr>
              <w:t>מדינת ישראל</w:t>
            </w:r>
          </w:p>
        </w:tc>
      </w:tr>
      <w:bookmarkEnd w:id="2"/>
      <w:tr w:rsidR="00BB0261" w:rsidRPr="00BB0261" w14:paraId="00965431" w14:textId="77777777">
        <w:tc>
          <w:tcPr>
            <w:tcW w:w="8802" w:type="dxa"/>
            <w:gridSpan w:val="3"/>
          </w:tcPr>
          <w:p w14:paraId="0185BDF0" w14:textId="77777777" w:rsidR="00BB0261" w:rsidRPr="00BB0261" w:rsidRDefault="00BB0261" w:rsidP="00BB0261">
            <w:pPr>
              <w:jc w:val="both"/>
              <w:rPr>
                <w:rFonts w:ascii="Arial" w:hAnsi="Arial"/>
                <w:b/>
                <w:bCs/>
                <w:sz w:val="26"/>
                <w:szCs w:val="26"/>
                <w:rtl/>
              </w:rPr>
            </w:pPr>
          </w:p>
          <w:p w14:paraId="02D44A87" w14:textId="77777777" w:rsidR="00BB0261" w:rsidRPr="00BB0261" w:rsidRDefault="00BB0261" w:rsidP="00BB0261">
            <w:pPr>
              <w:jc w:val="center"/>
              <w:rPr>
                <w:rFonts w:ascii="Arial" w:hAnsi="Arial"/>
                <w:b/>
                <w:bCs/>
                <w:sz w:val="26"/>
                <w:szCs w:val="26"/>
                <w:rtl/>
              </w:rPr>
            </w:pPr>
            <w:r w:rsidRPr="00BB0261">
              <w:rPr>
                <w:rFonts w:ascii="Arial" w:hAnsi="Arial"/>
                <w:b/>
                <w:bCs/>
                <w:sz w:val="26"/>
                <w:szCs w:val="26"/>
                <w:rtl/>
              </w:rPr>
              <w:t>נגד</w:t>
            </w:r>
          </w:p>
          <w:p w14:paraId="253BC236" w14:textId="77777777" w:rsidR="00BB0261" w:rsidRPr="00BB0261" w:rsidRDefault="00BB0261" w:rsidP="00BB0261">
            <w:pPr>
              <w:jc w:val="center"/>
              <w:rPr>
                <w:rFonts w:ascii="Arial" w:hAnsi="Arial"/>
                <w:b/>
                <w:bCs/>
                <w:sz w:val="26"/>
                <w:szCs w:val="26"/>
              </w:rPr>
            </w:pPr>
          </w:p>
        </w:tc>
      </w:tr>
      <w:tr w:rsidR="00BB0261" w:rsidRPr="00BB0261" w14:paraId="6BFF84FE" w14:textId="77777777">
        <w:tc>
          <w:tcPr>
            <w:tcW w:w="2880" w:type="dxa"/>
          </w:tcPr>
          <w:p w14:paraId="22289A55" w14:textId="77777777" w:rsidR="00BB0261" w:rsidRPr="00BB0261" w:rsidRDefault="00BB0261" w:rsidP="00BB0261">
            <w:pPr>
              <w:ind w:left="26"/>
              <w:rPr>
                <w:rFonts w:ascii="Times New Roman" w:hAnsi="Times New Roman"/>
                <w:b/>
                <w:bCs/>
                <w:sz w:val="26"/>
                <w:szCs w:val="26"/>
              </w:rPr>
            </w:pPr>
            <w:r w:rsidRPr="00BB0261">
              <w:rPr>
                <w:rFonts w:ascii="Times New Roman" w:hAnsi="Times New Roman"/>
                <w:b/>
                <w:bCs/>
                <w:sz w:val="26"/>
                <w:szCs w:val="26"/>
                <w:rtl/>
              </w:rPr>
              <w:t xml:space="preserve">הנאשם </w:t>
            </w:r>
          </w:p>
        </w:tc>
        <w:tc>
          <w:tcPr>
            <w:tcW w:w="5922" w:type="dxa"/>
            <w:gridSpan w:val="2"/>
          </w:tcPr>
          <w:p w14:paraId="0AB56565" w14:textId="77777777" w:rsidR="00BB0261" w:rsidRPr="00BB0261" w:rsidRDefault="00BB0261" w:rsidP="00BB0261">
            <w:pPr>
              <w:rPr>
                <w:rFonts w:ascii="Times New Roman" w:hAnsi="Times New Roman"/>
                <w:b/>
                <w:bCs/>
                <w:sz w:val="26"/>
                <w:szCs w:val="26"/>
              </w:rPr>
            </w:pPr>
            <w:r w:rsidRPr="00BB0261">
              <w:rPr>
                <w:rFonts w:ascii="Times New Roman" w:hAnsi="Times New Roman"/>
                <w:b/>
                <w:bCs/>
                <w:sz w:val="26"/>
                <w:szCs w:val="26"/>
                <w:rtl/>
              </w:rPr>
              <w:t>פלוני</w:t>
            </w:r>
          </w:p>
        </w:tc>
      </w:tr>
    </w:tbl>
    <w:p w14:paraId="449DF20B" w14:textId="77777777" w:rsidR="009F4D2F" w:rsidRPr="00BB0261" w:rsidRDefault="009F4D2F">
      <w:pPr>
        <w:spacing w:line="360" w:lineRule="auto"/>
        <w:jc w:val="both"/>
        <w:rPr>
          <w:sz w:val="6"/>
          <w:szCs w:val="6"/>
          <w:rtl/>
        </w:rPr>
      </w:pPr>
    </w:p>
    <w:p w14:paraId="7A5B6DE1" w14:textId="77777777" w:rsidR="009F4D2F" w:rsidRPr="00BB0261" w:rsidRDefault="009F4D2F" w:rsidP="00E06ED4">
      <w:pPr>
        <w:pStyle w:val="12"/>
        <w:rPr>
          <w:b w:val="0"/>
          <w:bCs w:val="0"/>
          <w:u w:val="none"/>
          <w:rtl/>
        </w:rPr>
      </w:pPr>
      <w:r w:rsidRPr="00BB0261">
        <w:rPr>
          <w:b w:val="0"/>
          <w:bCs w:val="0"/>
          <w:u w:val="none"/>
          <w:rtl/>
        </w:rPr>
        <w:t>מטעם המאשימה: עו"ד רון בר-זיו</w:t>
      </w:r>
    </w:p>
    <w:p w14:paraId="2093416F" w14:textId="77777777" w:rsidR="009F4D2F" w:rsidRPr="00BB0261" w:rsidRDefault="009F4D2F" w:rsidP="00E06ED4">
      <w:pPr>
        <w:pStyle w:val="12"/>
        <w:rPr>
          <w:b w:val="0"/>
          <w:bCs w:val="0"/>
          <w:u w:val="none"/>
          <w:rtl/>
        </w:rPr>
      </w:pPr>
      <w:r w:rsidRPr="00BB0261">
        <w:rPr>
          <w:b w:val="0"/>
          <w:bCs w:val="0"/>
          <w:u w:val="none"/>
          <w:rtl/>
        </w:rPr>
        <w:t>מטעם הנאשם: הובא וע"י ב"כ עו"ד מוטי לוי</w:t>
      </w:r>
    </w:p>
    <w:p w14:paraId="4C41F9FE" w14:textId="77777777" w:rsidR="00DC23B0" w:rsidRDefault="009F4D2F" w:rsidP="00DC23B0">
      <w:pPr>
        <w:pStyle w:val="12"/>
        <w:rPr>
          <w:b w:val="0"/>
          <w:bCs w:val="0"/>
          <w:u w:val="none"/>
          <w:rtl/>
        </w:rPr>
      </w:pPr>
      <w:r w:rsidRPr="00BB0261">
        <w:rPr>
          <w:b w:val="0"/>
          <w:bCs w:val="0"/>
          <w:u w:val="none"/>
          <w:rtl/>
        </w:rPr>
        <w:t xml:space="preserve">מטעם שירות המבחן: מר </w:t>
      </w:r>
      <w:proofErr w:type="spellStart"/>
      <w:r w:rsidRPr="00BB0261">
        <w:rPr>
          <w:b w:val="0"/>
          <w:bCs w:val="0"/>
          <w:u w:val="none"/>
          <w:rtl/>
        </w:rPr>
        <w:t>נידאלעסאקל</w:t>
      </w:r>
      <w:bookmarkStart w:id="3" w:name="LawTable"/>
      <w:bookmarkEnd w:id="3"/>
      <w:proofErr w:type="spellEnd"/>
    </w:p>
    <w:p w14:paraId="1A2067BB" w14:textId="77777777" w:rsidR="00DC23B0" w:rsidRPr="00DC23B0" w:rsidRDefault="00DC23B0" w:rsidP="00DC23B0">
      <w:pPr>
        <w:pStyle w:val="12"/>
        <w:spacing w:after="120" w:line="240" w:lineRule="exact"/>
        <w:ind w:left="283" w:hanging="283"/>
        <w:jc w:val="both"/>
        <w:rPr>
          <w:rFonts w:ascii="FrankRuehl" w:hAnsi="FrankRuehl" w:cs="FrankRuehl"/>
          <w:b w:val="0"/>
          <w:bCs w:val="0"/>
          <w:u w:val="none"/>
          <w:rtl/>
        </w:rPr>
      </w:pPr>
    </w:p>
    <w:p w14:paraId="68383E55" w14:textId="77777777" w:rsidR="00DC23B0" w:rsidRPr="00DC23B0" w:rsidRDefault="00DC23B0" w:rsidP="00DC23B0">
      <w:pPr>
        <w:pStyle w:val="12"/>
        <w:spacing w:after="120" w:line="240" w:lineRule="exact"/>
        <w:ind w:left="283" w:hanging="283"/>
        <w:jc w:val="both"/>
        <w:rPr>
          <w:rFonts w:ascii="FrankRuehl" w:hAnsi="FrankRuehl" w:cs="FrankRuehl"/>
          <w:b w:val="0"/>
          <w:bCs w:val="0"/>
          <w:u w:val="none"/>
          <w:rtl/>
        </w:rPr>
      </w:pPr>
      <w:r w:rsidRPr="00DC23B0">
        <w:rPr>
          <w:rFonts w:ascii="FrankRuehl" w:hAnsi="FrankRuehl" w:cs="FrankRuehl"/>
          <w:b w:val="0"/>
          <w:bCs w:val="0"/>
          <w:u w:val="none"/>
          <w:rtl/>
        </w:rPr>
        <w:t xml:space="preserve">חקיקה שאוזכרה: </w:t>
      </w:r>
    </w:p>
    <w:p w14:paraId="50BC3512" w14:textId="77777777" w:rsidR="00DC23B0" w:rsidRPr="00DC23B0" w:rsidRDefault="00DC23B0" w:rsidP="00DC23B0">
      <w:pPr>
        <w:pStyle w:val="12"/>
        <w:spacing w:after="120" w:line="240" w:lineRule="exact"/>
        <w:ind w:left="283" w:hanging="283"/>
        <w:jc w:val="both"/>
        <w:rPr>
          <w:rFonts w:ascii="FrankRuehl" w:hAnsi="FrankRuehl" w:cs="FrankRuehl"/>
          <w:b w:val="0"/>
          <w:bCs w:val="0"/>
          <w:u w:val="none"/>
          <w:rtl/>
        </w:rPr>
      </w:pPr>
      <w:hyperlink r:id="rId8" w:history="1">
        <w:r w:rsidRPr="00DC23B0">
          <w:rPr>
            <w:rFonts w:ascii="FrankRuehl" w:hAnsi="FrankRuehl" w:cs="FrankRuehl"/>
            <w:b w:val="0"/>
            <w:bCs w:val="0"/>
            <w:color w:val="0000FF"/>
            <w:rtl/>
          </w:rPr>
          <w:t>פקודת הסמים המסוכנים [נוסח חדש], תשל"ג-1973</w:t>
        </w:r>
      </w:hyperlink>
      <w:r w:rsidRPr="00DC23B0">
        <w:rPr>
          <w:rFonts w:ascii="FrankRuehl" w:hAnsi="FrankRuehl" w:cs="FrankRuehl"/>
          <w:b w:val="0"/>
          <w:bCs w:val="0"/>
          <w:u w:val="none"/>
          <w:rtl/>
        </w:rPr>
        <w:t xml:space="preserve">: סע'  </w:t>
      </w:r>
      <w:hyperlink r:id="rId9" w:history="1">
        <w:r w:rsidRPr="00DC23B0">
          <w:rPr>
            <w:rFonts w:ascii="FrankRuehl" w:hAnsi="FrankRuehl" w:cs="FrankRuehl"/>
            <w:b w:val="0"/>
            <w:bCs w:val="0"/>
            <w:color w:val="0000FF"/>
            <w:rtl/>
          </w:rPr>
          <w:t>7(א)</w:t>
        </w:r>
      </w:hyperlink>
      <w:r w:rsidRPr="00DC23B0">
        <w:rPr>
          <w:rFonts w:ascii="FrankRuehl" w:hAnsi="FrankRuehl" w:cs="FrankRuehl"/>
          <w:b w:val="0"/>
          <w:bCs w:val="0"/>
          <w:u w:val="none"/>
          <w:rtl/>
        </w:rPr>
        <w:t xml:space="preserve">, </w:t>
      </w:r>
      <w:hyperlink r:id="rId10" w:history="1">
        <w:r w:rsidRPr="00DC23B0">
          <w:rPr>
            <w:rFonts w:ascii="FrankRuehl" w:hAnsi="FrankRuehl" w:cs="FrankRuehl"/>
            <w:b w:val="0"/>
            <w:bCs w:val="0"/>
            <w:color w:val="0000FF"/>
            <w:rtl/>
          </w:rPr>
          <w:t>7(ג)</w:t>
        </w:r>
      </w:hyperlink>
    </w:p>
    <w:p w14:paraId="5F4CC67C" w14:textId="77777777" w:rsidR="00DC23B0" w:rsidRPr="00DC23B0" w:rsidRDefault="00DC23B0" w:rsidP="00DC23B0">
      <w:pPr>
        <w:pStyle w:val="12"/>
        <w:spacing w:after="120" w:line="240" w:lineRule="exact"/>
        <w:ind w:left="283" w:hanging="283"/>
        <w:jc w:val="both"/>
        <w:rPr>
          <w:rFonts w:ascii="FrankRuehl" w:hAnsi="FrankRuehl" w:cs="FrankRuehl"/>
          <w:b w:val="0"/>
          <w:bCs w:val="0"/>
          <w:u w:val="none"/>
          <w:rtl/>
        </w:rPr>
      </w:pPr>
      <w:hyperlink r:id="rId11" w:history="1">
        <w:r w:rsidRPr="00DC23B0">
          <w:rPr>
            <w:rFonts w:ascii="FrankRuehl" w:hAnsi="FrankRuehl" w:cs="FrankRuehl"/>
            <w:b w:val="0"/>
            <w:bCs w:val="0"/>
            <w:color w:val="0000FF"/>
            <w:rtl/>
          </w:rPr>
          <w:t>חוק העונשין, תשל"ז-1977</w:t>
        </w:r>
      </w:hyperlink>
      <w:r w:rsidRPr="00DC23B0">
        <w:rPr>
          <w:rFonts w:ascii="FrankRuehl" w:hAnsi="FrankRuehl" w:cs="FrankRuehl"/>
          <w:b w:val="0"/>
          <w:bCs w:val="0"/>
          <w:u w:val="none"/>
          <w:rtl/>
        </w:rPr>
        <w:t xml:space="preserve">: סע'  </w:t>
      </w:r>
      <w:hyperlink r:id="rId12" w:history="1">
        <w:r w:rsidRPr="00DC23B0">
          <w:rPr>
            <w:rFonts w:ascii="FrankRuehl" w:hAnsi="FrankRuehl" w:cs="FrankRuehl"/>
            <w:b w:val="0"/>
            <w:bCs w:val="0"/>
            <w:color w:val="0000FF"/>
            <w:rtl/>
          </w:rPr>
          <w:t>384</w:t>
        </w:r>
      </w:hyperlink>
      <w:r w:rsidRPr="00DC23B0">
        <w:rPr>
          <w:rFonts w:ascii="FrankRuehl" w:hAnsi="FrankRuehl" w:cs="FrankRuehl"/>
          <w:b w:val="0"/>
          <w:bCs w:val="0"/>
          <w:u w:val="none"/>
          <w:rtl/>
        </w:rPr>
        <w:t xml:space="preserve">, </w:t>
      </w:r>
      <w:hyperlink r:id="rId13" w:history="1">
        <w:r w:rsidRPr="00DC23B0">
          <w:rPr>
            <w:rFonts w:ascii="FrankRuehl" w:hAnsi="FrankRuehl" w:cs="FrankRuehl"/>
            <w:b w:val="0"/>
            <w:bCs w:val="0"/>
            <w:color w:val="0000FF"/>
            <w:rtl/>
          </w:rPr>
          <w:t>406(א)</w:t>
        </w:r>
      </w:hyperlink>
      <w:r w:rsidRPr="00DC23B0">
        <w:rPr>
          <w:rFonts w:ascii="FrankRuehl" w:hAnsi="FrankRuehl" w:cs="FrankRuehl"/>
          <w:b w:val="0"/>
          <w:bCs w:val="0"/>
          <w:u w:val="none"/>
          <w:rtl/>
        </w:rPr>
        <w:t xml:space="preserve">, </w:t>
      </w:r>
      <w:hyperlink r:id="rId14" w:history="1">
        <w:r w:rsidRPr="00DC23B0">
          <w:rPr>
            <w:rFonts w:ascii="FrankRuehl" w:hAnsi="FrankRuehl" w:cs="FrankRuehl"/>
            <w:b w:val="0"/>
            <w:bCs w:val="0"/>
            <w:color w:val="0000FF"/>
            <w:rtl/>
          </w:rPr>
          <w:t>447(א)</w:t>
        </w:r>
      </w:hyperlink>
    </w:p>
    <w:p w14:paraId="1F675FCF" w14:textId="77777777" w:rsidR="00DC23B0" w:rsidRPr="00DC23B0" w:rsidRDefault="00DC23B0" w:rsidP="00DC23B0">
      <w:pPr>
        <w:pStyle w:val="12"/>
        <w:spacing w:after="120" w:line="240" w:lineRule="exact"/>
        <w:ind w:left="283" w:hanging="283"/>
        <w:jc w:val="both"/>
        <w:rPr>
          <w:rFonts w:ascii="FrankRuehl" w:hAnsi="FrankRuehl" w:cs="FrankRuehl"/>
          <w:b w:val="0"/>
          <w:bCs w:val="0"/>
          <w:u w:val="none"/>
          <w:rtl/>
        </w:rPr>
      </w:pPr>
      <w:hyperlink r:id="rId15" w:history="1">
        <w:r w:rsidRPr="00DC23B0">
          <w:rPr>
            <w:rFonts w:ascii="FrankRuehl" w:hAnsi="FrankRuehl" w:cs="FrankRuehl"/>
            <w:b w:val="0"/>
            <w:bCs w:val="0"/>
            <w:color w:val="0000FF"/>
            <w:rtl/>
          </w:rPr>
          <w:t>חוק כרטיסי חיוב, תשמ"ו-1986</w:t>
        </w:r>
      </w:hyperlink>
      <w:r w:rsidRPr="00DC23B0">
        <w:rPr>
          <w:rFonts w:ascii="FrankRuehl" w:hAnsi="FrankRuehl" w:cs="FrankRuehl"/>
          <w:b w:val="0"/>
          <w:bCs w:val="0"/>
          <w:u w:val="none"/>
          <w:rtl/>
        </w:rPr>
        <w:t xml:space="preserve">: סע'  </w:t>
      </w:r>
      <w:hyperlink r:id="rId16" w:history="1">
        <w:r w:rsidRPr="00DC23B0">
          <w:rPr>
            <w:rFonts w:ascii="FrankRuehl" w:hAnsi="FrankRuehl" w:cs="FrankRuehl"/>
            <w:b w:val="0"/>
            <w:bCs w:val="0"/>
            <w:color w:val="0000FF"/>
            <w:rtl/>
          </w:rPr>
          <w:t>17</w:t>
        </w:r>
      </w:hyperlink>
    </w:p>
    <w:p w14:paraId="5BD35D17" w14:textId="77777777" w:rsidR="00DC23B0" w:rsidRPr="00DC23B0" w:rsidRDefault="00DC23B0" w:rsidP="00DC23B0">
      <w:pPr>
        <w:pStyle w:val="12"/>
        <w:spacing w:after="120" w:line="240" w:lineRule="exact"/>
        <w:ind w:left="283" w:hanging="283"/>
        <w:jc w:val="both"/>
        <w:rPr>
          <w:rFonts w:ascii="FrankRuehl" w:hAnsi="FrankRuehl" w:cs="FrankRuehl"/>
          <w:b w:val="0"/>
          <w:bCs w:val="0"/>
          <w:u w:val="none"/>
          <w:rtl/>
        </w:rPr>
      </w:pPr>
      <w:hyperlink r:id="rId17" w:history="1">
        <w:r w:rsidRPr="00DC23B0">
          <w:rPr>
            <w:rFonts w:ascii="FrankRuehl" w:hAnsi="FrankRuehl" w:cs="FrankRuehl"/>
            <w:b w:val="0"/>
            <w:bCs w:val="0"/>
            <w:color w:val="0000FF"/>
            <w:rtl/>
          </w:rPr>
          <w:t>חוק הנוער (שפיטה, ענישה ודרכי טיפול), תשל"א-1971</w:t>
        </w:r>
      </w:hyperlink>
      <w:r w:rsidRPr="00DC23B0">
        <w:rPr>
          <w:rFonts w:ascii="FrankRuehl" w:hAnsi="FrankRuehl" w:cs="FrankRuehl"/>
          <w:b w:val="0"/>
          <w:bCs w:val="0"/>
          <w:u w:val="none"/>
          <w:rtl/>
        </w:rPr>
        <w:t xml:space="preserve">: סע'  </w:t>
      </w:r>
      <w:hyperlink r:id="rId18" w:history="1">
        <w:r w:rsidRPr="00DC23B0">
          <w:rPr>
            <w:rFonts w:ascii="FrankRuehl" w:hAnsi="FrankRuehl" w:cs="FrankRuehl"/>
            <w:b w:val="0"/>
            <w:bCs w:val="0"/>
            <w:color w:val="0000FF"/>
            <w:rtl/>
          </w:rPr>
          <w:t>24(1)</w:t>
        </w:r>
      </w:hyperlink>
    </w:p>
    <w:p w14:paraId="56A733D7" w14:textId="77777777" w:rsidR="00DC23B0" w:rsidRPr="00DC23B0" w:rsidRDefault="00DC23B0" w:rsidP="00DC23B0">
      <w:pPr>
        <w:pStyle w:val="12"/>
        <w:spacing w:after="120" w:line="240" w:lineRule="exact"/>
        <w:ind w:left="283" w:hanging="283"/>
        <w:jc w:val="both"/>
        <w:rPr>
          <w:rFonts w:ascii="FrankRuehl" w:hAnsi="FrankRuehl" w:cs="FrankRuehl"/>
          <w:b w:val="0"/>
          <w:bCs w:val="0"/>
          <w:u w:val="none"/>
          <w:rtl/>
        </w:rPr>
      </w:pPr>
    </w:p>
    <w:p w14:paraId="677C9BF1" w14:textId="77777777" w:rsidR="00DC23B0" w:rsidRPr="00DC23B0" w:rsidRDefault="00DC23B0" w:rsidP="00DC23B0">
      <w:pPr>
        <w:pStyle w:val="12"/>
        <w:rPr>
          <w:b w:val="0"/>
          <w:bCs w:val="0"/>
          <w:u w:val="none"/>
          <w:rtl/>
        </w:rPr>
      </w:pPr>
      <w:bookmarkStart w:id="4" w:name="LawTable_End"/>
      <w:bookmarkEnd w:id="4"/>
    </w:p>
    <w:p w14:paraId="3277486A" w14:textId="77777777" w:rsidR="00DC23B0" w:rsidRPr="00DC23B0" w:rsidRDefault="00DC23B0" w:rsidP="00DC23B0">
      <w:pPr>
        <w:pStyle w:val="12"/>
        <w:rPr>
          <w:b w:val="0"/>
          <w:bCs w:val="0"/>
          <w:u w:val="none"/>
          <w:rtl/>
        </w:rPr>
      </w:pPr>
    </w:p>
    <w:p w14:paraId="2521D883" w14:textId="77777777" w:rsidR="00C44CC3" w:rsidRPr="00C44CC3" w:rsidRDefault="009F4D2F" w:rsidP="00DC23B0">
      <w:pPr>
        <w:pStyle w:val="12"/>
        <w:rPr>
          <w:rFonts w:ascii="FrankRuehl" w:hAnsi="FrankRuehl" w:cs="FrankRuehl"/>
          <w:b w:val="0"/>
          <w:bCs w:val="0"/>
          <w:u w:val="none"/>
          <w:rtl/>
        </w:rPr>
      </w:pPr>
      <w:r w:rsidRPr="00DC23B0">
        <w:rPr>
          <w:b w:val="0"/>
          <w:bCs w:val="0"/>
          <w:u w:val="none"/>
          <w:rtl/>
        </w:rPr>
        <w:t>ה</w:t>
      </w:r>
    </w:p>
    <w:p w14:paraId="1E7BD071" w14:textId="77777777" w:rsidR="00C44CC3" w:rsidRPr="00C44CC3" w:rsidRDefault="00C44CC3" w:rsidP="00E06ED4">
      <w:pPr>
        <w:pStyle w:val="12"/>
        <w:rPr>
          <w:b w:val="0"/>
          <w:bCs w:val="0"/>
          <w:u w:val="none"/>
          <w:rtl/>
        </w:rPr>
      </w:pPr>
    </w:p>
    <w:p w14:paraId="0EF83108" w14:textId="77777777" w:rsidR="00C44CC3" w:rsidRPr="00C44CC3" w:rsidRDefault="00C44CC3" w:rsidP="00E06ED4">
      <w:pPr>
        <w:pStyle w:val="12"/>
        <w:rPr>
          <w:b w:val="0"/>
          <w:bCs w:val="0"/>
          <w:u w:val="none"/>
          <w:rtl/>
        </w:rPr>
      </w:pPr>
    </w:p>
    <w:p w14:paraId="627DB94D" w14:textId="77777777" w:rsidR="009F4D2F" w:rsidRPr="00C44CC3" w:rsidRDefault="009F4D2F" w:rsidP="00E06ED4">
      <w:pPr>
        <w:pStyle w:val="12"/>
        <w:rPr>
          <w:b w:val="0"/>
          <w:bCs w:val="0"/>
          <w:u w:val="none"/>
          <w:rtl/>
        </w:rPr>
      </w:pPr>
    </w:p>
    <w:p w14:paraId="0C3A9E0F" w14:textId="77777777" w:rsidR="00D90A5D" w:rsidRDefault="00D90A5D" w:rsidP="00BB0261">
      <w:pPr>
        <w:spacing w:line="360" w:lineRule="auto"/>
        <w:jc w:val="center"/>
        <w:rPr>
          <w:rFonts w:ascii="Arial" w:hAnsi="Arial" w:hint="cs"/>
          <w:b/>
          <w:bCs/>
          <w:sz w:val="28"/>
          <w:szCs w:val="28"/>
          <w:u w:val="single"/>
          <w:rtl/>
        </w:rPr>
      </w:pPr>
      <w:bookmarkStart w:id="5" w:name="PsakDin"/>
      <w:bookmarkEnd w:id="0"/>
      <w:bookmarkEnd w:id="1"/>
    </w:p>
    <w:p w14:paraId="3FCE6C2F" w14:textId="77777777" w:rsidR="006B30B4" w:rsidRDefault="006B30B4" w:rsidP="006B30B4">
      <w:pPr>
        <w:pStyle w:val="ab"/>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6" w:name="ABSTRACT_START"/>
      <w:bookmarkEnd w:id="6"/>
      <w:r>
        <w:rPr>
          <w:rFonts w:ascii="Times New Roman" w:hAnsi="Times New Roman" w:cs="FrankRuehl"/>
          <w:sz w:val="24"/>
          <w:szCs w:val="26"/>
          <w:rtl/>
        </w:rPr>
        <w:t>מיני-רציו:</w:t>
      </w:r>
    </w:p>
    <w:p w14:paraId="6D190C88" w14:textId="77777777" w:rsidR="006B30B4" w:rsidRPr="006B30B4" w:rsidRDefault="006B30B4" w:rsidP="006B30B4">
      <w:pPr>
        <w:pStyle w:val="ab"/>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 xml:space="preserve">* </w:t>
      </w:r>
      <w:r w:rsidRPr="006B30B4">
        <w:rPr>
          <w:rFonts w:ascii="Times New Roman" w:hAnsi="Times New Roman" w:cs="FrankRuehl" w:hint="cs"/>
          <w:sz w:val="24"/>
          <w:szCs w:val="26"/>
          <w:rtl/>
        </w:rPr>
        <w:t>ביהמ"ש ביקש להעביר מסר ברור כי מי שיפגע בקשישים ייענש בחומרה, גם אם עניינו נדון בביהמ"ש לנוער, ובמקרה דנן ניתנה עדיפות לאינטרס הציבורי על פני נסיבותיו האישיות הקשות של הנאשם.</w:t>
      </w:r>
    </w:p>
    <w:p w14:paraId="7502A5DA" w14:textId="77777777" w:rsidR="006B30B4" w:rsidRDefault="006B30B4" w:rsidP="006B30B4">
      <w:pPr>
        <w:pStyle w:val="ab"/>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מדיניות ענישה: שיקולים</w:t>
      </w:r>
    </w:p>
    <w:p w14:paraId="01A1A47E" w14:textId="77777777" w:rsidR="006B30B4" w:rsidRDefault="006B30B4" w:rsidP="006B30B4">
      <w:pPr>
        <w:pStyle w:val="ab"/>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נגד קשישים</w:t>
      </w:r>
    </w:p>
    <w:p w14:paraId="313038D6" w14:textId="77777777" w:rsidR="006B30B4" w:rsidRDefault="006B30B4" w:rsidP="006B30B4">
      <w:pPr>
        <w:pStyle w:val="ab"/>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22013306" w14:textId="77777777" w:rsidR="00D90A5D" w:rsidRPr="006B30B4" w:rsidRDefault="00D90A5D" w:rsidP="006B30B4">
      <w:pPr>
        <w:pBdr>
          <w:top w:val="single" w:sz="4" w:space="1" w:color="auto"/>
          <w:bottom w:val="single" w:sz="4" w:space="1" w:color="auto"/>
        </w:pBdr>
        <w:spacing w:after="120" w:line="320" w:lineRule="exact"/>
        <w:jc w:val="both"/>
        <w:rPr>
          <w:rFonts w:ascii="Times New Roman" w:hAnsi="Times New Roman" w:cs="FrankRuehl" w:hint="cs"/>
          <w:szCs w:val="26"/>
          <w:rtl/>
        </w:rPr>
      </w:pPr>
      <w:r w:rsidRPr="006B30B4">
        <w:rPr>
          <w:rFonts w:ascii="Times New Roman" w:hAnsi="Times New Roman" w:cs="FrankRuehl" w:hint="cs"/>
          <w:szCs w:val="26"/>
          <w:rtl/>
        </w:rPr>
        <w:t>הנאשם הודה בביצוע עבירות החזקת סם מסוכן לצריכה עצמית, הסגת גבול כדי לעבור עבירה, גניבה, הונאה בכרטיסי חיוב וכניסה לבית מגורים בכוונה לגנוב.</w:t>
      </w:r>
    </w:p>
    <w:p w14:paraId="230F44E3" w14:textId="77777777" w:rsidR="006B30B4" w:rsidRDefault="006B30B4" w:rsidP="006B30B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BD2702D" w14:textId="77777777" w:rsidR="00D90A5D" w:rsidRPr="006B30B4" w:rsidRDefault="00D90A5D" w:rsidP="006B30B4">
      <w:pPr>
        <w:pBdr>
          <w:top w:val="single" w:sz="4" w:space="1" w:color="auto"/>
          <w:bottom w:val="single" w:sz="4" w:space="1" w:color="auto"/>
        </w:pBdr>
        <w:spacing w:after="120" w:line="320" w:lineRule="exact"/>
        <w:jc w:val="both"/>
        <w:rPr>
          <w:rFonts w:ascii="Times New Roman" w:hAnsi="Times New Roman" w:cs="FrankRuehl" w:hint="cs"/>
          <w:szCs w:val="26"/>
          <w:rtl/>
        </w:rPr>
      </w:pPr>
      <w:r w:rsidRPr="006B30B4">
        <w:rPr>
          <w:rFonts w:ascii="Times New Roman" w:hAnsi="Times New Roman" w:cs="FrankRuehl" w:hint="cs"/>
          <w:szCs w:val="26"/>
          <w:rtl/>
        </w:rPr>
        <w:t>בית משפט השלום לנוער הרשיע את הנאשם ופסק כדלהלן:</w:t>
      </w:r>
    </w:p>
    <w:p w14:paraId="732636EA" w14:textId="77777777" w:rsidR="00D90A5D" w:rsidRPr="006B30B4" w:rsidRDefault="00D90A5D" w:rsidP="006B30B4">
      <w:pPr>
        <w:pBdr>
          <w:top w:val="single" w:sz="4" w:space="1" w:color="auto"/>
          <w:bottom w:val="single" w:sz="4" w:space="1" w:color="auto"/>
        </w:pBdr>
        <w:spacing w:after="120" w:line="320" w:lineRule="exact"/>
        <w:jc w:val="both"/>
        <w:rPr>
          <w:rFonts w:ascii="Times New Roman" w:hAnsi="Times New Roman" w:cs="FrankRuehl" w:hint="cs"/>
          <w:szCs w:val="26"/>
          <w:rtl/>
        </w:rPr>
      </w:pPr>
      <w:r w:rsidRPr="006B30B4">
        <w:rPr>
          <w:rFonts w:ascii="Times New Roman" w:hAnsi="Times New Roman" w:cs="FrankRuehl" w:hint="cs"/>
          <w:szCs w:val="26"/>
          <w:rtl/>
        </w:rPr>
        <w:t>מקום בו מדובר בביצוע עבירות כנגד קשישים, ענישה מחמירה תהווה את תרומתו של ביהמ"ש בהגנה על קשישים ותעביר מסר ברור כי מי שייפגע בקשיש ייענש בחומרה, גם כאשר עניינו נדון בביהמ"ש לנוער.</w:t>
      </w:r>
    </w:p>
    <w:p w14:paraId="1C1598EC" w14:textId="77777777" w:rsidR="00D90A5D" w:rsidRPr="006B30B4" w:rsidRDefault="00D90A5D" w:rsidP="006B30B4">
      <w:pPr>
        <w:pBdr>
          <w:top w:val="single" w:sz="4" w:space="1" w:color="auto"/>
          <w:bottom w:val="single" w:sz="4" w:space="1" w:color="auto"/>
        </w:pBdr>
        <w:spacing w:after="120" w:line="320" w:lineRule="exact"/>
        <w:jc w:val="both"/>
        <w:rPr>
          <w:rFonts w:ascii="Times New Roman" w:hAnsi="Times New Roman" w:cs="FrankRuehl" w:hint="cs"/>
          <w:szCs w:val="26"/>
          <w:rtl/>
        </w:rPr>
      </w:pPr>
      <w:r w:rsidRPr="006B30B4">
        <w:rPr>
          <w:rFonts w:ascii="Times New Roman" w:hAnsi="Times New Roman" w:cs="FrankRuehl" w:hint="cs"/>
          <w:szCs w:val="26"/>
          <w:rtl/>
        </w:rPr>
        <w:lastRenderedPageBreak/>
        <w:t>על בית המשפט לנוער להעביר לבאים בשעריו מסר חד וברור כי בעת שנאשם מודה במגוון עבירות חמורות ומכוערות והוא אינו נרתם להליך טיפולי או מנסה להראות שנוי ממשי בתפיסת עולמו, ביהמ"ש לנוער יעניק משקל מועט לגילו.</w:t>
      </w:r>
    </w:p>
    <w:p w14:paraId="039852CE" w14:textId="77777777" w:rsidR="00D90A5D" w:rsidRPr="006B30B4" w:rsidRDefault="00D90A5D" w:rsidP="006B30B4">
      <w:pPr>
        <w:pBdr>
          <w:top w:val="single" w:sz="4" w:space="1" w:color="auto"/>
          <w:bottom w:val="single" w:sz="4" w:space="1" w:color="auto"/>
        </w:pBdr>
        <w:spacing w:after="120" w:line="320" w:lineRule="exact"/>
        <w:jc w:val="both"/>
        <w:rPr>
          <w:rFonts w:ascii="Times New Roman" w:hAnsi="Times New Roman" w:cs="FrankRuehl"/>
          <w:szCs w:val="26"/>
        </w:rPr>
      </w:pPr>
      <w:r w:rsidRPr="006B30B4">
        <w:rPr>
          <w:rFonts w:ascii="Times New Roman" w:hAnsi="Times New Roman" w:cs="FrankRuehl" w:hint="cs"/>
          <w:szCs w:val="26"/>
          <w:rtl/>
        </w:rPr>
        <w:t>האינטרס הציבורי בכללותו ושיקולי הגמול וההרתעה מחייבים שליחת מסר מרתיע ליחיד ולרבים, בדמות מאסר בפועל ממושך. מנגד, אינטרס זה יש לאזן עם נסיבותיו הייחודיות הקשות של הנאשם. לאחר שביהמ"ש ערך איזון ושקל גם את חוסר שיתוף הפעולה של הנאשם, ניתנה בכורה לאינטרס הציבורי והשתת ענישה מרתיעה. לפיכך, הורשע הנאשם והושתו עליו מאסר בפועל, מאסר על תנאי, חתימה על התחייבות להימנע מעבירות בהן הורשע, פסילה בפועל ופסילה על תנאי.</w:t>
      </w:r>
    </w:p>
    <w:p w14:paraId="05AD5DBD" w14:textId="77777777" w:rsidR="006B30B4" w:rsidRDefault="006B30B4" w:rsidP="00BB0261">
      <w:pPr>
        <w:spacing w:line="360" w:lineRule="auto"/>
        <w:jc w:val="center"/>
        <w:rPr>
          <w:rFonts w:ascii="Arial" w:hAnsi="Arial" w:hint="cs"/>
          <w:b/>
          <w:bCs/>
          <w:sz w:val="28"/>
          <w:szCs w:val="28"/>
          <w:u w:val="single"/>
          <w:rtl/>
        </w:rPr>
      </w:pPr>
      <w:bookmarkStart w:id="7" w:name="ABSTRACT_END"/>
      <w:bookmarkEnd w:id="7"/>
    </w:p>
    <w:p w14:paraId="66F1D846" w14:textId="77777777" w:rsidR="00BB0261" w:rsidRPr="00BB0261" w:rsidRDefault="00BB0261" w:rsidP="00BB0261">
      <w:pPr>
        <w:spacing w:line="360" w:lineRule="auto"/>
        <w:jc w:val="center"/>
        <w:rPr>
          <w:rFonts w:ascii="Arial" w:hAnsi="Arial"/>
          <w:b/>
          <w:bCs/>
          <w:sz w:val="28"/>
          <w:szCs w:val="28"/>
          <w:u w:val="single"/>
          <w:rtl/>
        </w:rPr>
      </w:pPr>
      <w:r w:rsidRPr="00BB0261">
        <w:rPr>
          <w:rFonts w:ascii="Arial" w:hAnsi="Arial"/>
          <w:b/>
          <w:bCs/>
          <w:sz w:val="28"/>
          <w:szCs w:val="28"/>
          <w:u w:val="single"/>
          <w:rtl/>
        </w:rPr>
        <w:t>גזר דין</w:t>
      </w:r>
    </w:p>
    <w:bookmarkEnd w:id="5"/>
    <w:p w14:paraId="6702F39B" w14:textId="77777777" w:rsidR="009F4D2F" w:rsidRPr="003A7E80" w:rsidRDefault="009F4D2F" w:rsidP="003A7E80">
      <w:pPr>
        <w:spacing w:line="360" w:lineRule="auto"/>
        <w:jc w:val="both"/>
      </w:pPr>
    </w:p>
    <w:p w14:paraId="77487D03" w14:textId="77777777" w:rsidR="009F4D2F" w:rsidRDefault="009F4D2F" w:rsidP="00291305">
      <w:pPr>
        <w:spacing w:line="360" w:lineRule="auto"/>
        <w:jc w:val="both"/>
        <w:rPr>
          <w:rFonts w:ascii="Arial" w:hAnsi="Arial"/>
          <w:rtl/>
        </w:rPr>
      </w:pPr>
      <w:r>
        <w:rPr>
          <w:rFonts w:ascii="Arial" w:hAnsi="Arial"/>
          <w:rtl/>
        </w:rPr>
        <w:t xml:space="preserve">פלוני, יליד מאי 1994 (להלן: "הנאשם"), הודה בכתב אישום המייחס לו עבירת </w:t>
      </w:r>
      <w:r w:rsidRPr="00291305">
        <w:rPr>
          <w:rFonts w:ascii="Arial" w:hAnsi="Arial"/>
          <w:b/>
          <w:bCs/>
          <w:rtl/>
        </w:rPr>
        <w:t>החזקת סם מסוכן לצריכה עצמית</w:t>
      </w:r>
      <w:r>
        <w:rPr>
          <w:rFonts w:ascii="Arial" w:hAnsi="Arial"/>
          <w:rtl/>
        </w:rPr>
        <w:t xml:space="preserve">- לפי </w:t>
      </w:r>
      <w:hyperlink r:id="rId19" w:history="1">
        <w:r w:rsidR="000004A5" w:rsidRPr="000004A5">
          <w:rPr>
            <w:rFonts w:ascii="Arial" w:hAnsi="Arial"/>
            <w:color w:val="0000FF"/>
            <w:u w:val="single"/>
            <w:rtl/>
          </w:rPr>
          <w:t>סעיף 7(א)</w:t>
        </w:r>
      </w:hyperlink>
      <w:r>
        <w:rPr>
          <w:rFonts w:ascii="Arial" w:hAnsi="Arial"/>
          <w:rtl/>
        </w:rPr>
        <w:t xml:space="preserve"> ו-</w:t>
      </w:r>
      <w:hyperlink r:id="rId20" w:history="1">
        <w:r w:rsidR="000004A5" w:rsidRPr="000004A5">
          <w:rPr>
            <w:rFonts w:ascii="Arial" w:hAnsi="Arial"/>
            <w:color w:val="0000FF"/>
            <w:u w:val="single"/>
            <w:rtl/>
          </w:rPr>
          <w:t>7(ג)</w:t>
        </w:r>
      </w:hyperlink>
      <w:r>
        <w:rPr>
          <w:rFonts w:ascii="Arial" w:hAnsi="Arial"/>
          <w:rtl/>
        </w:rPr>
        <w:t xml:space="preserve"> סיפא ל</w:t>
      </w:r>
      <w:r w:rsidR="00BB0261" w:rsidRPr="000004A5">
        <w:rPr>
          <w:rFonts w:ascii="Arial" w:hAnsi="Arial"/>
          <w:rtl/>
        </w:rPr>
        <w:t>פקודת הסמים המסוכנים</w:t>
      </w:r>
      <w:r>
        <w:rPr>
          <w:rFonts w:ascii="Arial" w:hAnsi="Arial"/>
          <w:rtl/>
        </w:rPr>
        <w:t xml:space="preserve"> [נוסח חדש], </w:t>
      </w:r>
      <w:proofErr w:type="spellStart"/>
      <w:r>
        <w:rPr>
          <w:rFonts w:ascii="Arial" w:hAnsi="Arial"/>
          <w:rtl/>
        </w:rPr>
        <w:t>התשל"ג</w:t>
      </w:r>
      <w:proofErr w:type="spellEnd"/>
      <w:r>
        <w:rPr>
          <w:rFonts w:ascii="Arial" w:hAnsi="Arial"/>
          <w:rtl/>
        </w:rPr>
        <w:t>-1973.</w:t>
      </w:r>
    </w:p>
    <w:p w14:paraId="32F0D806" w14:textId="77777777" w:rsidR="009F4D2F" w:rsidRDefault="009F4D2F" w:rsidP="003A7E80">
      <w:pPr>
        <w:spacing w:line="360" w:lineRule="auto"/>
        <w:jc w:val="both"/>
        <w:rPr>
          <w:rFonts w:ascii="Arial" w:hAnsi="Arial"/>
          <w:rtl/>
        </w:rPr>
      </w:pPr>
    </w:p>
    <w:p w14:paraId="5C9C2270" w14:textId="77777777" w:rsidR="009F4D2F" w:rsidRDefault="009F4D2F" w:rsidP="00123203">
      <w:pPr>
        <w:spacing w:line="360" w:lineRule="auto"/>
        <w:jc w:val="both"/>
        <w:rPr>
          <w:rFonts w:ascii="Arial" w:hAnsi="Arial"/>
          <w:rtl/>
        </w:rPr>
      </w:pPr>
      <w:r>
        <w:rPr>
          <w:rFonts w:ascii="Arial" w:hAnsi="Arial"/>
          <w:rtl/>
        </w:rPr>
        <w:t>ביום 20.07.11, בסמוך לשעה 14:00, בחדרו של קטין אחר (להלן; "האחר") בעפולה (להלן: "בית האחר"), השתמש הנאשם ביחד עם האחר בסם מסוכן מסוג חשיש, במשקל אשר אינו ידוע למאשימה במדויק, לצריכה עצמית, וזאת ללא היתר כדין או רישיון מהמנהל.</w:t>
      </w:r>
    </w:p>
    <w:p w14:paraId="6CE20EBB" w14:textId="77777777" w:rsidR="009F4D2F" w:rsidRDefault="009F4D2F" w:rsidP="003A7E80">
      <w:pPr>
        <w:spacing w:line="360" w:lineRule="auto"/>
        <w:jc w:val="both"/>
        <w:rPr>
          <w:rFonts w:ascii="Arial" w:hAnsi="Arial"/>
          <w:rtl/>
        </w:rPr>
      </w:pPr>
      <w:r>
        <w:rPr>
          <w:rFonts w:ascii="Arial" w:hAnsi="Arial"/>
          <w:rtl/>
        </w:rPr>
        <w:t>ביום 19.07.11, בשעה שאינה ידועה למאשימה, בחדר בבית האחר, השתמש הנאשם עם האחר בסם מסוכן מסוג חשיש, במשקל אשר אינו ידוע למאשימה במדויק, לצריכה עצמית, וזאת ללא היתר כדין או רישיון מהמנהל.</w:t>
      </w:r>
    </w:p>
    <w:p w14:paraId="375C194A" w14:textId="77777777" w:rsidR="009F4D2F" w:rsidRDefault="009F4D2F" w:rsidP="003A7E80">
      <w:pPr>
        <w:spacing w:line="360" w:lineRule="auto"/>
        <w:jc w:val="both"/>
        <w:rPr>
          <w:rFonts w:ascii="Arial" w:hAnsi="Arial"/>
          <w:rtl/>
        </w:rPr>
      </w:pPr>
    </w:p>
    <w:p w14:paraId="63430160" w14:textId="77777777" w:rsidR="009F4D2F" w:rsidRPr="00694804" w:rsidRDefault="009F4D2F" w:rsidP="003A7E80">
      <w:pPr>
        <w:spacing w:line="360" w:lineRule="auto"/>
        <w:jc w:val="both"/>
        <w:rPr>
          <w:rFonts w:ascii="Arial" w:hAnsi="Arial"/>
          <w:b/>
          <w:bCs/>
          <w:u w:val="single"/>
          <w:rtl/>
        </w:rPr>
      </w:pPr>
      <w:r w:rsidRPr="00694804">
        <w:rPr>
          <w:rFonts w:ascii="Arial" w:hAnsi="Arial"/>
          <w:b/>
          <w:bCs/>
          <w:u w:val="single"/>
          <w:rtl/>
        </w:rPr>
        <w:t>הנאשם הודה וצירף את כתב האישום המתוקן:</w:t>
      </w:r>
    </w:p>
    <w:p w14:paraId="1C98A362" w14:textId="77777777" w:rsidR="009F4D2F" w:rsidRDefault="009F4D2F" w:rsidP="003A7E80">
      <w:pPr>
        <w:spacing w:line="360" w:lineRule="auto"/>
        <w:jc w:val="both"/>
        <w:rPr>
          <w:rFonts w:ascii="Arial" w:hAnsi="Arial"/>
          <w:rtl/>
        </w:rPr>
      </w:pPr>
    </w:p>
    <w:p w14:paraId="26C0A279" w14:textId="77777777" w:rsidR="009F4D2F" w:rsidRPr="006B30B4" w:rsidRDefault="00C44CC3" w:rsidP="003A7E80">
      <w:pPr>
        <w:spacing w:line="360" w:lineRule="auto"/>
        <w:jc w:val="both"/>
        <w:rPr>
          <w:rFonts w:ascii="Arial" w:hAnsi="Arial"/>
          <w:b/>
          <w:bCs/>
          <w:u w:val="single"/>
          <w:rtl/>
        </w:rPr>
      </w:pPr>
      <w:hyperlink r:id="rId21" w:history="1">
        <w:r w:rsidRPr="00C44CC3">
          <w:rPr>
            <w:rStyle w:val="Hyperlink"/>
            <w:rFonts w:ascii="Arial" w:hAnsi="Arial"/>
            <w:b/>
            <w:bCs/>
            <w:rtl/>
          </w:rPr>
          <w:t>ת"פ 7236-11-12</w:t>
        </w:r>
      </w:hyperlink>
      <w:r w:rsidR="009F4D2F" w:rsidRPr="006B30B4">
        <w:rPr>
          <w:rFonts w:ascii="Arial" w:hAnsi="Arial"/>
          <w:b/>
          <w:bCs/>
          <w:u w:val="single"/>
          <w:rtl/>
        </w:rPr>
        <w:t xml:space="preserve"> (שלום נצרת) המייחס לנאשם שלושה אישומים:</w:t>
      </w:r>
    </w:p>
    <w:p w14:paraId="4725B474" w14:textId="77777777" w:rsidR="009F4D2F" w:rsidRDefault="009F4D2F" w:rsidP="003A7E80">
      <w:pPr>
        <w:spacing w:line="360" w:lineRule="auto"/>
        <w:jc w:val="both"/>
        <w:rPr>
          <w:rFonts w:ascii="Arial" w:hAnsi="Arial"/>
          <w:b/>
          <w:bCs/>
          <w:rtl/>
        </w:rPr>
      </w:pPr>
    </w:p>
    <w:p w14:paraId="0C889E56" w14:textId="77777777" w:rsidR="009F4D2F" w:rsidRPr="00694804" w:rsidRDefault="009F4D2F" w:rsidP="00694804">
      <w:pPr>
        <w:spacing w:line="360" w:lineRule="auto"/>
        <w:jc w:val="both"/>
        <w:rPr>
          <w:rFonts w:ascii="Arial" w:hAnsi="Arial"/>
          <w:b/>
          <w:bCs/>
          <w:rtl/>
        </w:rPr>
      </w:pPr>
      <w:r>
        <w:rPr>
          <w:rFonts w:ascii="Arial" w:hAnsi="Arial"/>
          <w:b/>
          <w:bCs/>
          <w:rtl/>
        </w:rPr>
        <w:t>אישום ראשון:</w:t>
      </w:r>
    </w:p>
    <w:p w14:paraId="702EF4B3" w14:textId="77777777" w:rsidR="009F4D2F" w:rsidRDefault="009F4D2F" w:rsidP="003A7E80">
      <w:pPr>
        <w:spacing w:line="360" w:lineRule="auto"/>
        <w:jc w:val="both"/>
        <w:rPr>
          <w:rFonts w:ascii="Arial" w:hAnsi="Arial"/>
          <w:rtl/>
        </w:rPr>
      </w:pPr>
      <w:r w:rsidRPr="00694804">
        <w:rPr>
          <w:rFonts w:ascii="Arial" w:hAnsi="Arial"/>
          <w:b/>
          <w:bCs/>
          <w:rtl/>
        </w:rPr>
        <w:t>הסגת גבול כדי לעבור עבירה</w:t>
      </w:r>
      <w:r>
        <w:rPr>
          <w:rFonts w:ascii="Arial" w:hAnsi="Arial"/>
          <w:rtl/>
        </w:rPr>
        <w:t xml:space="preserve">- לפי </w:t>
      </w:r>
      <w:hyperlink r:id="rId22" w:history="1">
        <w:r w:rsidR="000004A5" w:rsidRPr="000004A5">
          <w:rPr>
            <w:rFonts w:ascii="Arial" w:hAnsi="Arial"/>
            <w:color w:val="0000FF"/>
            <w:u w:val="single"/>
            <w:rtl/>
          </w:rPr>
          <w:t>סעיף 447(א)</w:t>
        </w:r>
      </w:hyperlink>
      <w:r>
        <w:rPr>
          <w:rFonts w:ascii="Arial" w:hAnsi="Arial"/>
          <w:rtl/>
        </w:rPr>
        <w:t xml:space="preserve"> ל</w:t>
      </w:r>
      <w:r w:rsidR="00BB0261" w:rsidRPr="000004A5">
        <w:rPr>
          <w:rFonts w:ascii="Arial" w:hAnsi="Arial"/>
          <w:rtl/>
        </w:rPr>
        <w:t>חוק העונשין</w:t>
      </w:r>
      <w:r>
        <w:rPr>
          <w:rFonts w:ascii="Arial" w:hAnsi="Arial"/>
          <w:rtl/>
        </w:rPr>
        <w:t xml:space="preserve">, </w:t>
      </w:r>
      <w:proofErr w:type="spellStart"/>
      <w:r>
        <w:rPr>
          <w:rFonts w:ascii="Arial" w:hAnsi="Arial"/>
          <w:rtl/>
        </w:rPr>
        <w:t>התשל"ז</w:t>
      </w:r>
      <w:proofErr w:type="spellEnd"/>
      <w:r>
        <w:rPr>
          <w:rFonts w:ascii="Arial" w:hAnsi="Arial"/>
          <w:rtl/>
        </w:rPr>
        <w:t>-1977 (להלן; "חוק העונשין").</w:t>
      </w:r>
    </w:p>
    <w:p w14:paraId="546E5E5A" w14:textId="77777777" w:rsidR="009F4D2F" w:rsidRDefault="009F4D2F" w:rsidP="003A7E80">
      <w:pPr>
        <w:spacing w:line="360" w:lineRule="auto"/>
        <w:jc w:val="both"/>
        <w:rPr>
          <w:rFonts w:ascii="Arial" w:hAnsi="Arial"/>
          <w:rtl/>
        </w:rPr>
      </w:pPr>
      <w:r w:rsidRPr="00694804">
        <w:rPr>
          <w:rFonts w:ascii="Arial" w:hAnsi="Arial"/>
          <w:b/>
          <w:bCs/>
          <w:rtl/>
        </w:rPr>
        <w:t>גניבה</w:t>
      </w:r>
      <w:r>
        <w:rPr>
          <w:rFonts w:ascii="Arial" w:hAnsi="Arial"/>
          <w:rtl/>
        </w:rPr>
        <w:t xml:space="preserve">- לפי </w:t>
      </w:r>
      <w:hyperlink r:id="rId23" w:history="1">
        <w:r w:rsidR="000004A5" w:rsidRPr="000004A5">
          <w:rPr>
            <w:rFonts w:ascii="Arial" w:hAnsi="Arial"/>
            <w:color w:val="0000FF"/>
            <w:u w:val="single"/>
            <w:rtl/>
          </w:rPr>
          <w:t>סעיף 384</w:t>
        </w:r>
      </w:hyperlink>
      <w:r>
        <w:rPr>
          <w:rFonts w:ascii="Arial" w:hAnsi="Arial"/>
          <w:rtl/>
        </w:rPr>
        <w:t xml:space="preserve"> ל</w:t>
      </w:r>
      <w:r w:rsidR="00BB0261" w:rsidRPr="000004A5">
        <w:rPr>
          <w:rFonts w:ascii="Arial" w:hAnsi="Arial"/>
          <w:rtl/>
        </w:rPr>
        <w:t>חוק העונשין</w:t>
      </w:r>
      <w:r>
        <w:rPr>
          <w:rFonts w:ascii="Arial" w:hAnsi="Arial"/>
          <w:rtl/>
        </w:rPr>
        <w:t>.</w:t>
      </w:r>
    </w:p>
    <w:p w14:paraId="29268F1E" w14:textId="77777777" w:rsidR="009F4D2F" w:rsidRDefault="009F4D2F" w:rsidP="003A7E80">
      <w:pPr>
        <w:spacing w:line="360" w:lineRule="auto"/>
        <w:jc w:val="both"/>
        <w:rPr>
          <w:rFonts w:ascii="Arial" w:hAnsi="Arial"/>
          <w:rtl/>
        </w:rPr>
      </w:pPr>
    </w:p>
    <w:p w14:paraId="474D455E" w14:textId="77777777" w:rsidR="009F4D2F" w:rsidRDefault="009F4D2F" w:rsidP="003A7E80">
      <w:pPr>
        <w:spacing w:line="360" w:lineRule="auto"/>
        <w:jc w:val="both"/>
        <w:rPr>
          <w:rFonts w:ascii="Arial" w:hAnsi="Arial"/>
          <w:rtl/>
        </w:rPr>
      </w:pPr>
      <w:r>
        <w:rPr>
          <w:rFonts w:ascii="Arial" w:hAnsi="Arial"/>
          <w:rtl/>
        </w:rPr>
        <w:t>ביום 12.10.12, בשעות הצהריים, נכנס הנאשם למתחם בית האבות "משל"ב" בגבעת המורה (להלן; "בית האבות"), ניגש אל משרדה של האחות הראשית אורנה (להלן; "המתלוננת"), ונכנס למשרד דרך הדלת אשר הייתה פתוחה בכוונה לבצע גניבה. באותן נסיבות, נטל הנאשם ונשא מסך מחשב, במרמה וללא תביעת זכות בתום לב, כשהוא מתכוון בשעת הנטילה לשללו מהבעלים שלילת קבע. במעשיו הנ"ל, הסיג הנאשם גבול כדי לבצע גניבה וביצע גניבה.</w:t>
      </w:r>
    </w:p>
    <w:p w14:paraId="7A6B0E52" w14:textId="77777777" w:rsidR="009F4D2F" w:rsidRDefault="009F4D2F" w:rsidP="003A7E80">
      <w:pPr>
        <w:spacing w:line="360" w:lineRule="auto"/>
        <w:jc w:val="both"/>
        <w:rPr>
          <w:rFonts w:ascii="Arial" w:hAnsi="Arial"/>
          <w:rtl/>
        </w:rPr>
      </w:pPr>
    </w:p>
    <w:p w14:paraId="7811648F" w14:textId="77777777" w:rsidR="009F4D2F" w:rsidRPr="00F758BA" w:rsidRDefault="009F4D2F" w:rsidP="00F758BA">
      <w:pPr>
        <w:spacing w:line="360" w:lineRule="auto"/>
        <w:jc w:val="both"/>
        <w:rPr>
          <w:rFonts w:ascii="Arial" w:hAnsi="Arial"/>
          <w:b/>
          <w:bCs/>
          <w:rtl/>
        </w:rPr>
      </w:pPr>
      <w:r>
        <w:rPr>
          <w:rFonts w:ascii="Arial" w:hAnsi="Arial"/>
          <w:b/>
          <w:bCs/>
          <w:rtl/>
        </w:rPr>
        <w:t>אישום שני:</w:t>
      </w:r>
    </w:p>
    <w:p w14:paraId="4E4BBD0E" w14:textId="77777777" w:rsidR="009F4D2F" w:rsidRDefault="009F4D2F" w:rsidP="003A7E80">
      <w:pPr>
        <w:spacing w:line="360" w:lineRule="auto"/>
        <w:jc w:val="both"/>
        <w:rPr>
          <w:rFonts w:ascii="Arial" w:hAnsi="Arial"/>
          <w:rtl/>
        </w:rPr>
      </w:pPr>
      <w:r w:rsidRPr="00F758BA">
        <w:rPr>
          <w:rFonts w:ascii="Arial" w:hAnsi="Arial"/>
          <w:b/>
          <w:bCs/>
          <w:rtl/>
        </w:rPr>
        <w:lastRenderedPageBreak/>
        <w:t>הסגת גבול כדי לעבור עבירה</w:t>
      </w:r>
      <w:r>
        <w:rPr>
          <w:rFonts w:ascii="Arial" w:hAnsi="Arial"/>
          <w:rtl/>
        </w:rPr>
        <w:t xml:space="preserve">- לפי </w:t>
      </w:r>
      <w:hyperlink r:id="rId24" w:history="1">
        <w:r w:rsidR="000004A5" w:rsidRPr="000004A5">
          <w:rPr>
            <w:rFonts w:ascii="Arial" w:hAnsi="Arial"/>
            <w:color w:val="0000FF"/>
            <w:u w:val="single"/>
            <w:rtl/>
          </w:rPr>
          <w:t>סעיף 447(א)</w:t>
        </w:r>
      </w:hyperlink>
      <w:r>
        <w:rPr>
          <w:rFonts w:ascii="Arial" w:hAnsi="Arial"/>
          <w:rtl/>
        </w:rPr>
        <w:t xml:space="preserve"> ל</w:t>
      </w:r>
      <w:r w:rsidR="00BB0261" w:rsidRPr="000004A5">
        <w:rPr>
          <w:rFonts w:ascii="Arial" w:hAnsi="Arial"/>
          <w:rtl/>
        </w:rPr>
        <w:t>חוק העונשין</w:t>
      </w:r>
      <w:r>
        <w:rPr>
          <w:rFonts w:ascii="Arial" w:hAnsi="Arial"/>
          <w:rtl/>
        </w:rPr>
        <w:t>.</w:t>
      </w:r>
    </w:p>
    <w:p w14:paraId="4AA0ACB5" w14:textId="77777777" w:rsidR="009F4D2F" w:rsidRDefault="009F4D2F" w:rsidP="003A7E80">
      <w:pPr>
        <w:spacing w:line="360" w:lineRule="auto"/>
        <w:jc w:val="both"/>
        <w:rPr>
          <w:rFonts w:ascii="Arial" w:hAnsi="Arial"/>
          <w:rtl/>
        </w:rPr>
      </w:pPr>
      <w:r w:rsidRPr="00F758BA">
        <w:rPr>
          <w:rFonts w:ascii="Arial" w:hAnsi="Arial"/>
          <w:b/>
          <w:bCs/>
          <w:rtl/>
        </w:rPr>
        <w:t>גניבה</w:t>
      </w:r>
      <w:r>
        <w:rPr>
          <w:rFonts w:ascii="Arial" w:hAnsi="Arial"/>
          <w:rtl/>
        </w:rPr>
        <w:t xml:space="preserve">- לפי </w:t>
      </w:r>
      <w:hyperlink r:id="rId25" w:history="1">
        <w:r w:rsidR="000004A5" w:rsidRPr="000004A5">
          <w:rPr>
            <w:rFonts w:ascii="Arial" w:hAnsi="Arial"/>
            <w:color w:val="0000FF"/>
            <w:u w:val="single"/>
            <w:rtl/>
          </w:rPr>
          <w:t>סעיף 384</w:t>
        </w:r>
      </w:hyperlink>
      <w:r>
        <w:rPr>
          <w:rFonts w:ascii="Arial" w:hAnsi="Arial"/>
          <w:rtl/>
        </w:rPr>
        <w:t xml:space="preserve"> ל</w:t>
      </w:r>
      <w:r w:rsidR="00BB0261" w:rsidRPr="000004A5">
        <w:rPr>
          <w:rFonts w:ascii="Arial" w:hAnsi="Arial"/>
          <w:rtl/>
        </w:rPr>
        <w:t>חוק העונשין</w:t>
      </w:r>
      <w:r>
        <w:rPr>
          <w:rFonts w:ascii="Arial" w:hAnsi="Arial"/>
          <w:rtl/>
        </w:rPr>
        <w:t>.</w:t>
      </w:r>
    </w:p>
    <w:p w14:paraId="110E87CE" w14:textId="77777777" w:rsidR="009F4D2F" w:rsidRDefault="009F4D2F" w:rsidP="003A7E80">
      <w:pPr>
        <w:spacing w:line="360" w:lineRule="auto"/>
        <w:jc w:val="both"/>
        <w:rPr>
          <w:rFonts w:ascii="Arial" w:hAnsi="Arial"/>
          <w:rtl/>
        </w:rPr>
      </w:pPr>
      <w:r w:rsidRPr="00F758BA">
        <w:rPr>
          <w:rFonts w:ascii="Arial" w:hAnsi="Arial"/>
          <w:b/>
          <w:bCs/>
          <w:rtl/>
        </w:rPr>
        <w:t>הונאה בכרטיסי חיוב</w:t>
      </w:r>
      <w:r>
        <w:rPr>
          <w:rFonts w:ascii="Arial" w:hAnsi="Arial"/>
          <w:rtl/>
        </w:rPr>
        <w:t xml:space="preserve">- לפי </w:t>
      </w:r>
      <w:hyperlink r:id="rId26" w:history="1">
        <w:r w:rsidR="000004A5" w:rsidRPr="000004A5">
          <w:rPr>
            <w:rFonts w:ascii="Arial" w:hAnsi="Arial"/>
            <w:color w:val="0000FF"/>
            <w:u w:val="single"/>
            <w:rtl/>
          </w:rPr>
          <w:t>סעיף 17</w:t>
        </w:r>
      </w:hyperlink>
      <w:r>
        <w:rPr>
          <w:rFonts w:ascii="Arial" w:hAnsi="Arial"/>
          <w:rtl/>
        </w:rPr>
        <w:t xml:space="preserve"> ל</w:t>
      </w:r>
      <w:r w:rsidR="00BB0261" w:rsidRPr="000004A5">
        <w:rPr>
          <w:rFonts w:ascii="Arial" w:hAnsi="Arial"/>
          <w:rtl/>
        </w:rPr>
        <w:t>חוק כרטיסי חיוב</w:t>
      </w:r>
      <w:r>
        <w:rPr>
          <w:rFonts w:ascii="Arial" w:hAnsi="Arial"/>
          <w:rtl/>
        </w:rPr>
        <w:t xml:space="preserve">, </w:t>
      </w:r>
      <w:proofErr w:type="spellStart"/>
      <w:r>
        <w:rPr>
          <w:rFonts w:ascii="Arial" w:hAnsi="Arial"/>
          <w:rtl/>
        </w:rPr>
        <w:t>התשמ"ו</w:t>
      </w:r>
      <w:proofErr w:type="spellEnd"/>
      <w:r>
        <w:rPr>
          <w:rFonts w:ascii="Arial" w:hAnsi="Arial"/>
          <w:rtl/>
        </w:rPr>
        <w:t>-1986.</w:t>
      </w:r>
    </w:p>
    <w:p w14:paraId="757C9A76" w14:textId="77777777" w:rsidR="009F4D2F" w:rsidRDefault="009F4D2F" w:rsidP="003A7E80">
      <w:pPr>
        <w:spacing w:line="360" w:lineRule="auto"/>
        <w:jc w:val="both"/>
        <w:rPr>
          <w:rFonts w:ascii="Arial" w:hAnsi="Arial"/>
          <w:rtl/>
        </w:rPr>
      </w:pPr>
    </w:p>
    <w:p w14:paraId="483E9CA6" w14:textId="77777777" w:rsidR="009F4D2F" w:rsidRDefault="009F4D2F" w:rsidP="003A7E80">
      <w:pPr>
        <w:spacing w:line="360" w:lineRule="auto"/>
        <w:jc w:val="both"/>
        <w:rPr>
          <w:rFonts w:ascii="Arial" w:hAnsi="Arial"/>
          <w:rtl/>
        </w:rPr>
      </w:pPr>
      <w:r>
        <w:rPr>
          <w:rFonts w:ascii="Arial" w:hAnsi="Arial"/>
          <w:rtl/>
        </w:rPr>
        <w:t>ביום 30.08.12, בסמוך לשעה 12:30, ברחוב הקוממיות בגבעת המורה (להלן; "הדירה"), שכבה מרים (להלן; "המתלוננת") בדירתה. באותן נסיבות, הכניס הנאשם את ידו מבעד הדלת, אשר הייתה פתוחה, נטל לידיו את תיקה האישי של המתלוננת ונשא אותו במרמה וללא תביעת זכות בתום לב, כשהוא מתכוון בשעה הנטילה לשללו מהמתלוננת שלילת קבע.</w:t>
      </w:r>
    </w:p>
    <w:p w14:paraId="250C68D8" w14:textId="77777777" w:rsidR="009F4D2F" w:rsidRDefault="009F4D2F" w:rsidP="003A7E80">
      <w:pPr>
        <w:spacing w:line="360" w:lineRule="auto"/>
        <w:jc w:val="both"/>
        <w:rPr>
          <w:rFonts w:ascii="Arial" w:hAnsi="Arial"/>
          <w:rtl/>
        </w:rPr>
      </w:pPr>
      <w:r>
        <w:rPr>
          <w:rFonts w:ascii="Arial" w:hAnsi="Arial"/>
          <w:rtl/>
        </w:rPr>
        <w:t>תיקה של המתלוננת הכיל מכשיר פלאפון, מפתחות וארנק שהכיל 500 ₪ במזומן, מסמכים אישיים וכרטיס אשראי של בנק לאומי (להלן; "כרטיס האשראי"). בהמשך הנסיבות המתוארות לעיל, ניגש הנאשם אל סניף בנק הפועלים בעפולה ומשך באמצעות כרטיס האשראי כסף בסכום כולל של 2,500 ₪. במעשיו הנ"ל, הסיג הנאשם גבול כדי לבצע גניבה, ביצע גניבה והשתמש בכרטיס חיוב בכוונה להונות.</w:t>
      </w:r>
    </w:p>
    <w:p w14:paraId="681EE675" w14:textId="77777777" w:rsidR="009F4D2F" w:rsidRDefault="009F4D2F" w:rsidP="003A7E80">
      <w:pPr>
        <w:spacing w:line="360" w:lineRule="auto"/>
        <w:jc w:val="both"/>
        <w:rPr>
          <w:rFonts w:ascii="Arial" w:hAnsi="Arial"/>
          <w:rtl/>
        </w:rPr>
      </w:pPr>
    </w:p>
    <w:p w14:paraId="047BF4FE" w14:textId="77777777" w:rsidR="009F4D2F" w:rsidRDefault="009F4D2F" w:rsidP="00F758BA">
      <w:pPr>
        <w:spacing w:line="360" w:lineRule="auto"/>
        <w:jc w:val="both"/>
        <w:rPr>
          <w:rFonts w:ascii="Arial" w:hAnsi="Arial"/>
          <w:b/>
          <w:bCs/>
          <w:rtl/>
        </w:rPr>
      </w:pPr>
      <w:r>
        <w:rPr>
          <w:rFonts w:ascii="Arial" w:hAnsi="Arial"/>
          <w:b/>
          <w:bCs/>
          <w:rtl/>
        </w:rPr>
        <w:t>אישום שלישי:</w:t>
      </w:r>
    </w:p>
    <w:p w14:paraId="227269A0" w14:textId="77777777" w:rsidR="009F4D2F" w:rsidRDefault="009F4D2F" w:rsidP="003A7E80">
      <w:pPr>
        <w:spacing w:line="360" w:lineRule="auto"/>
        <w:jc w:val="both"/>
        <w:rPr>
          <w:rFonts w:ascii="Arial" w:hAnsi="Arial"/>
          <w:rtl/>
        </w:rPr>
      </w:pPr>
      <w:r w:rsidRPr="00F758BA">
        <w:rPr>
          <w:rFonts w:ascii="Arial" w:hAnsi="Arial"/>
          <w:b/>
          <w:bCs/>
          <w:rtl/>
        </w:rPr>
        <w:t>כניסה לבית מגורים בכוונה לגנוב</w:t>
      </w:r>
      <w:r>
        <w:rPr>
          <w:rFonts w:ascii="Arial" w:hAnsi="Arial"/>
          <w:rtl/>
        </w:rPr>
        <w:t xml:space="preserve">- לפי </w:t>
      </w:r>
      <w:hyperlink r:id="rId27" w:history="1">
        <w:r w:rsidR="000004A5" w:rsidRPr="000004A5">
          <w:rPr>
            <w:rFonts w:ascii="Arial" w:hAnsi="Arial"/>
            <w:color w:val="0000FF"/>
            <w:u w:val="single"/>
            <w:rtl/>
          </w:rPr>
          <w:t>סעיף 406(א)</w:t>
        </w:r>
      </w:hyperlink>
      <w:r>
        <w:rPr>
          <w:rFonts w:ascii="Arial" w:hAnsi="Arial"/>
          <w:rtl/>
        </w:rPr>
        <w:t xml:space="preserve"> ל</w:t>
      </w:r>
      <w:r w:rsidR="00BB0261" w:rsidRPr="000004A5">
        <w:rPr>
          <w:rFonts w:ascii="Arial" w:hAnsi="Arial"/>
          <w:rtl/>
        </w:rPr>
        <w:t>חוק העונשין</w:t>
      </w:r>
      <w:r>
        <w:rPr>
          <w:rFonts w:ascii="Arial" w:hAnsi="Arial"/>
          <w:rtl/>
        </w:rPr>
        <w:t>.</w:t>
      </w:r>
    </w:p>
    <w:p w14:paraId="1A4ADF31" w14:textId="77777777" w:rsidR="009F4D2F" w:rsidRDefault="009F4D2F" w:rsidP="003A7E80">
      <w:pPr>
        <w:spacing w:line="360" w:lineRule="auto"/>
        <w:jc w:val="both"/>
        <w:rPr>
          <w:rFonts w:ascii="Arial" w:hAnsi="Arial"/>
          <w:rtl/>
        </w:rPr>
      </w:pPr>
      <w:r w:rsidRPr="00F758BA">
        <w:rPr>
          <w:rFonts w:ascii="Arial" w:hAnsi="Arial"/>
          <w:b/>
          <w:bCs/>
          <w:rtl/>
        </w:rPr>
        <w:t>גניבה</w:t>
      </w:r>
      <w:r>
        <w:rPr>
          <w:rFonts w:ascii="Arial" w:hAnsi="Arial"/>
          <w:rtl/>
        </w:rPr>
        <w:t xml:space="preserve">- לפי </w:t>
      </w:r>
      <w:hyperlink r:id="rId28" w:history="1">
        <w:r w:rsidR="000004A5" w:rsidRPr="000004A5">
          <w:rPr>
            <w:rFonts w:ascii="Arial" w:hAnsi="Arial"/>
            <w:color w:val="0000FF"/>
            <w:u w:val="single"/>
            <w:rtl/>
          </w:rPr>
          <w:t>סעיף 384</w:t>
        </w:r>
      </w:hyperlink>
      <w:r>
        <w:rPr>
          <w:rFonts w:ascii="Arial" w:hAnsi="Arial"/>
          <w:rtl/>
        </w:rPr>
        <w:t xml:space="preserve"> ל</w:t>
      </w:r>
      <w:r w:rsidR="00BB0261" w:rsidRPr="000004A5">
        <w:rPr>
          <w:rFonts w:ascii="Arial" w:hAnsi="Arial"/>
          <w:rtl/>
        </w:rPr>
        <w:t>חוק העונשין</w:t>
      </w:r>
      <w:r>
        <w:rPr>
          <w:rFonts w:ascii="Arial" w:hAnsi="Arial"/>
          <w:rtl/>
        </w:rPr>
        <w:t>.</w:t>
      </w:r>
    </w:p>
    <w:p w14:paraId="456119E4" w14:textId="77777777" w:rsidR="009F4D2F" w:rsidRDefault="009F4D2F" w:rsidP="003A7E80">
      <w:pPr>
        <w:spacing w:line="360" w:lineRule="auto"/>
        <w:jc w:val="both"/>
        <w:rPr>
          <w:rFonts w:ascii="Arial" w:hAnsi="Arial"/>
          <w:rtl/>
        </w:rPr>
      </w:pPr>
    </w:p>
    <w:p w14:paraId="392B176C" w14:textId="77777777" w:rsidR="009F4D2F" w:rsidRDefault="009F4D2F" w:rsidP="003A7E80">
      <w:pPr>
        <w:spacing w:line="360" w:lineRule="auto"/>
        <w:jc w:val="both"/>
        <w:rPr>
          <w:rFonts w:ascii="Arial" w:hAnsi="Arial"/>
          <w:rtl/>
        </w:rPr>
      </w:pPr>
      <w:r>
        <w:rPr>
          <w:rFonts w:ascii="Arial" w:hAnsi="Arial"/>
          <w:rtl/>
        </w:rPr>
        <w:t>יקטרינה</w:t>
      </w:r>
      <w:bookmarkStart w:id="8" w:name="_GoBack"/>
      <w:bookmarkEnd w:id="8"/>
      <w:r>
        <w:rPr>
          <w:rFonts w:ascii="Arial" w:hAnsi="Arial"/>
          <w:rtl/>
        </w:rPr>
        <w:t xml:space="preserve"> (להלן; "המתלוננת"), התגוררה בבית האבות "משל"ב" בגבעת המורה (להלן; "בית האבות"), בזמן הרלוונטי לכתב האישום. </w:t>
      </w:r>
    </w:p>
    <w:p w14:paraId="452E4AAC" w14:textId="77777777" w:rsidR="009F4D2F" w:rsidRDefault="009F4D2F" w:rsidP="003A7E80">
      <w:pPr>
        <w:spacing w:line="360" w:lineRule="auto"/>
        <w:jc w:val="both"/>
        <w:rPr>
          <w:rFonts w:ascii="Arial" w:hAnsi="Arial"/>
          <w:rtl/>
        </w:rPr>
      </w:pPr>
      <w:r>
        <w:rPr>
          <w:rFonts w:ascii="Arial" w:hAnsi="Arial"/>
          <w:rtl/>
        </w:rPr>
        <w:t>ביום30.06.12, בסמוך לשעה 09:30, נכנס הנאשם למתחם בית האבות. באותה עת, שהתה המתלוננת בחדרה כשדלת החדר הייתה פתוחה. באותן הנסיבות, נכנס הנאשם לחדרה של המתלוננת, ולעיניה נטל ונשא הנאשם מכשיר פלאפון השייך לה עת שהיה מחובר למטען, במרמה וללא תביעת זכות בתום לב, כשהוא מתכוון בשעת הנטילה לשללו מהמתלוננת שלילת קבע. המתלוננת משכה את חוט החשמל המחובר למטען וזאת בניסיון למנוע מהנאשם לבצע את זממו, אך לא הצליחה בכך. הנאשם עזב את המקום כשמכשיר הפלאפון בידיו. במעשיו הנ"ל, נכנס הנאשם למקום מגורים בכוונה לבצע גניבה וביצע גניבה.</w:t>
      </w:r>
    </w:p>
    <w:p w14:paraId="1BF38A6B" w14:textId="77777777" w:rsidR="009F4D2F" w:rsidRDefault="009F4D2F" w:rsidP="003A7E80">
      <w:pPr>
        <w:spacing w:line="360" w:lineRule="auto"/>
        <w:jc w:val="both"/>
        <w:rPr>
          <w:rFonts w:ascii="Arial" w:hAnsi="Arial"/>
          <w:rtl/>
        </w:rPr>
      </w:pPr>
    </w:p>
    <w:p w14:paraId="6911EDDB" w14:textId="77777777" w:rsidR="009F4D2F" w:rsidRDefault="009F4D2F" w:rsidP="003A7E80">
      <w:pPr>
        <w:spacing w:line="360" w:lineRule="auto"/>
        <w:jc w:val="both"/>
        <w:rPr>
          <w:rFonts w:ascii="Arial" w:hAnsi="Arial"/>
          <w:b/>
          <w:bCs/>
          <w:sz w:val="28"/>
          <w:szCs w:val="28"/>
          <w:u w:val="single"/>
          <w:rtl/>
        </w:rPr>
      </w:pPr>
      <w:r>
        <w:rPr>
          <w:rFonts w:ascii="Arial" w:hAnsi="Arial"/>
          <w:b/>
          <w:bCs/>
          <w:sz w:val="28"/>
          <w:szCs w:val="28"/>
          <w:u w:val="single"/>
          <w:rtl/>
        </w:rPr>
        <w:t>טענות הצדדים לעונש מיום 10.02.13:</w:t>
      </w:r>
    </w:p>
    <w:p w14:paraId="6FDED33B" w14:textId="77777777" w:rsidR="009F4D2F" w:rsidRDefault="009F4D2F" w:rsidP="003A7E80">
      <w:pPr>
        <w:spacing w:line="360" w:lineRule="auto"/>
        <w:jc w:val="both"/>
        <w:rPr>
          <w:rFonts w:ascii="Arial" w:hAnsi="Arial"/>
          <w:rtl/>
        </w:rPr>
      </w:pPr>
    </w:p>
    <w:p w14:paraId="525A751F" w14:textId="77777777" w:rsidR="009F4D2F" w:rsidRPr="004F1808" w:rsidRDefault="009F4D2F" w:rsidP="003A7E80">
      <w:pPr>
        <w:spacing w:line="360" w:lineRule="auto"/>
        <w:jc w:val="both"/>
        <w:rPr>
          <w:rFonts w:ascii="Arial" w:hAnsi="Arial"/>
          <w:b/>
          <w:bCs/>
          <w:rtl/>
        </w:rPr>
      </w:pPr>
      <w:r w:rsidRPr="004F1808">
        <w:rPr>
          <w:rFonts w:ascii="Arial" w:hAnsi="Arial"/>
          <w:b/>
          <w:bCs/>
          <w:rtl/>
        </w:rPr>
        <w:t>הצדדים הגיעו להסכמה להרשעת הנאשם בדין והמחלוקת ביניהם הינה לעניין מידת העונש.</w:t>
      </w:r>
    </w:p>
    <w:p w14:paraId="734BF54F" w14:textId="77777777" w:rsidR="009F4D2F" w:rsidRDefault="009F4D2F" w:rsidP="003A7E80">
      <w:pPr>
        <w:spacing w:line="360" w:lineRule="auto"/>
        <w:jc w:val="both"/>
        <w:rPr>
          <w:rFonts w:ascii="Arial" w:hAnsi="Arial"/>
          <w:rtl/>
        </w:rPr>
      </w:pPr>
    </w:p>
    <w:p w14:paraId="440EC9BD" w14:textId="77777777" w:rsidR="009F4D2F" w:rsidRDefault="009F4D2F" w:rsidP="003A7E80">
      <w:pPr>
        <w:spacing w:line="360" w:lineRule="auto"/>
        <w:jc w:val="both"/>
        <w:rPr>
          <w:rFonts w:ascii="Arial" w:hAnsi="Arial"/>
          <w:rtl/>
        </w:rPr>
      </w:pPr>
      <w:r>
        <w:rPr>
          <w:rFonts w:ascii="Arial" w:hAnsi="Arial"/>
          <w:b/>
          <w:bCs/>
          <w:rtl/>
        </w:rPr>
        <w:t>ב"כ המאשימה,</w:t>
      </w:r>
      <w:r>
        <w:rPr>
          <w:rFonts w:ascii="Arial" w:hAnsi="Arial"/>
          <w:rtl/>
        </w:rPr>
        <w:t xml:space="preserve"> הפנה לכך שלנאשם הרשעה קודמת מ</w:t>
      </w:r>
      <w:hyperlink r:id="rId29" w:history="1">
        <w:r w:rsidR="00BB0261" w:rsidRPr="00BB0261">
          <w:rPr>
            <w:rFonts w:ascii="Arial" w:hAnsi="Arial"/>
            <w:color w:val="0000FF"/>
            <w:u w:val="single"/>
            <w:rtl/>
          </w:rPr>
          <w:t>ת.פ. 1239/07</w:t>
        </w:r>
      </w:hyperlink>
      <w:r>
        <w:rPr>
          <w:rFonts w:ascii="Arial" w:hAnsi="Arial"/>
          <w:rtl/>
        </w:rPr>
        <w:t xml:space="preserve">, </w:t>
      </w:r>
      <w:r w:rsidR="006B30B4" w:rsidRPr="006B30B4">
        <w:rPr>
          <w:rFonts w:ascii="Times New Roman" w:hAnsi="Times New Roman"/>
          <w:sz w:val="22"/>
          <w:rtl/>
        </w:rPr>
        <w:t xml:space="preserve">[פורסם בנבו] </w:t>
      </w:r>
      <w:r>
        <w:rPr>
          <w:rFonts w:ascii="Arial" w:hAnsi="Arial"/>
          <w:rtl/>
        </w:rPr>
        <w:t xml:space="preserve">כאשר בערעור שהוגש בתיק הנאשם נידון למאסר על תנאי בעבירות אלימות וצו מבחן למשך שנה. לדבריו, יש לאבחן בין שני התיקים דנן, כך שעבירת הסמים בוצעה בהיותו קטין ואילו התיק המצורף (3 אישומים) בוצע בהיותו בגיר, ולעניין האחרון יש להתייחס אליו כבגיר. </w:t>
      </w:r>
    </w:p>
    <w:p w14:paraId="065E4330" w14:textId="77777777" w:rsidR="009F4D2F" w:rsidRDefault="009F4D2F" w:rsidP="003A7E80">
      <w:pPr>
        <w:spacing w:line="360" w:lineRule="auto"/>
        <w:jc w:val="both"/>
        <w:rPr>
          <w:rFonts w:ascii="Arial" w:hAnsi="Arial"/>
          <w:rtl/>
        </w:rPr>
      </w:pPr>
      <w:r>
        <w:rPr>
          <w:rFonts w:ascii="Arial" w:hAnsi="Arial"/>
          <w:rtl/>
        </w:rPr>
        <w:t>ב"כ המאשימה, הפנה לנסיבות ביצוע העבירות בכתב האישום המצורף ולחומרה הטמונה בהן, המחייבות שליחת מסר, הן ליחיד והן לרבים, כי התנהגות שכזו ראויה לגנאי ולענישה מחמירה. יש לשים לב ששני אישומים (1 ו-3) בוצעו במתחם בית אבות, ובשני אישומים (2 ו-3) המתלוננת שהתה אותה עת בחדר, ויש להודות שהאירוע לא התפתח לאירוע נוסף של אלימות כלפיהן.</w:t>
      </w:r>
    </w:p>
    <w:p w14:paraId="69442EA6" w14:textId="77777777" w:rsidR="009F4D2F" w:rsidRDefault="009F4D2F" w:rsidP="003A7E80">
      <w:pPr>
        <w:spacing w:line="360" w:lineRule="auto"/>
        <w:jc w:val="both"/>
        <w:rPr>
          <w:rFonts w:ascii="Arial" w:hAnsi="Arial"/>
          <w:rtl/>
        </w:rPr>
      </w:pPr>
      <w:r>
        <w:rPr>
          <w:rFonts w:ascii="Arial" w:hAnsi="Arial"/>
          <w:rtl/>
        </w:rPr>
        <w:t xml:space="preserve">ב"כ המאשימה, הפנה לאמור בתסקיר שירות המבחן ולנסיבות חייו הלא פשוטות של הנאשם. עם זאת, אין המדובר בהליך ראשון של הנאשם והוא היה בטיפול שירות המבחן, דהיינו הנאשם יודע מה מותר ומה אסור, ואין עסקינן במעידה ראשונה או חד פעמית. בתסקיר מפורטים גורמי הסיכון והסיכוי, וניתן לומר כי הסיכון גובר על הסיכוי, דבר שאומר במפורש שישנו חשש להישנות העבירות. כמות העבירות המיוחסות לנאשם וגורמי הסיכון, מצדיקים כי הענישה תהייה מרתיעה ומציבה גבולות. </w:t>
      </w:r>
    </w:p>
    <w:p w14:paraId="77BE8891" w14:textId="77777777" w:rsidR="009F4D2F" w:rsidRDefault="009F4D2F" w:rsidP="003A7E80">
      <w:pPr>
        <w:spacing w:line="360" w:lineRule="auto"/>
        <w:jc w:val="both"/>
        <w:rPr>
          <w:rFonts w:ascii="Arial" w:hAnsi="Arial"/>
          <w:rtl/>
        </w:rPr>
      </w:pPr>
      <w:r>
        <w:rPr>
          <w:rFonts w:ascii="Arial" w:hAnsi="Arial"/>
          <w:rtl/>
        </w:rPr>
        <w:t>לאור האמור לעיל, עתר ב"כ המאשימה להשית על הנאשם מאסר בפועל ממושך (דו ספרתי), מאסר על תנאי מרתיע על עבירות רכוש מסוג פשע, מאסר על תנאי על עבירות רכוש מסוג עוון ועבירות סמים. כמו כן, בשים לב כי מדובר בעבירות סמים בתיק המוביל, עתר ב"כ המאשימה, להשתת פסילת רישיון נהיגה בפועל ופסילה על תנאי. לאור מצבו הקשה כפי שעולה מהתסקיר, עתר ב"כ המאשימה, להשית פיצוי סמלי למתלוננות שנגרמה להם עוגמת נפש, והנאשם למעשה פגע בביטחונם כשנכנס לביתם, וכל זאת בייחוד כאשר מדובר בבית אבות.</w:t>
      </w:r>
    </w:p>
    <w:p w14:paraId="638A22F3" w14:textId="77777777" w:rsidR="009F4D2F" w:rsidRDefault="009F4D2F" w:rsidP="003A7E80">
      <w:pPr>
        <w:spacing w:line="360" w:lineRule="auto"/>
        <w:jc w:val="both"/>
        <w:rPr>
          <w:rFonts w:ascii="Arial" w:hAnsi="Arial"/>
          <w:rtl/>
        </w:rPr>
      </w:pPr>
    </w:p>
    <w:p w14:paraId="456BC348" w14:textId="77777777" w:rsidR="009F4D2F" w:rsidRDefault="009F4D2F" w:rsidP="003A7E80">
      <w:pPr>
        <w:spacing w:line="360" w:lineRule="auto"/>
        <w:jc w:val="both"/>
        <w:rPr>
          <w:rFonts w:ascii="Arial" w:hAnsi="Arial"/>
          <w:rtl/>
        </w:rPr>
      </w:pPr>
      <w:r>
        <w:rPr>
          <w:rFonts w:ascii="Arial" w:hAnsi="Arial"/>
          <w:b/>
          <w:bCs/>
          <w:rtl/>
        </w:rPr>
        <w:t>ב"כ הנאשם,</w:t>
      </w:r>
      <w:r>
        <w:rPr>
          <w:rFonts w:ascii="Arial" w:hAnsi="Arial"/>
          <w:rtl/>
        </w:rPr>
        <w:t xml:space="preserve"> הפנה לאישום השני בתיק המצורף, ולכך שהנאשם ניסה לפצות את המתלוננת ולהחזיר לה את הכסף. למעשה, הוא החל בכך עוד לפני שהמשטרה התערבה, והצליח להשיב לה300 ₪ ואף ניסה להשיג סכום נוסף, אולם המתלוננת הגישה תלונה למשטרה. </w:t>
      </w:r>
    </w:p>
    <w:p w14:paraId="522F766D" w14:textId="77777777" w:rsidR="009F4D2F" w:rsidRDefault="009F4D2F" w:rsidP="003A7E80">
      <w:pPr>
        <w:spacing w:line="360" w:lineRule="auto"/>
        <w:jc w:val="both"/>
        <w:rPr>
          <w:rFonts w:ascii="Arial" w:hAnsi="Arial"/>
          <w:rtl/>
        </w:rPr>
      </w:pPr>
      <w:r>
        <w:rPr>
          <w:rFonts w:ascii="Arial" w:hAnsi="Arial"/>
          <w:rtl/>
        </w:rPr>
        <w:t xml:space="preserve">ב"כ הנאשם, הפנה לנסיבות חייו הקשות של הנאשם כפי שמתוארות בתסקיר. שני הוריו של הנאשם סובלים מנכויות קשות ואינם נותנים מענה פיזי ורגשי לצרכיו, דבר שהביא אותו לרעב ומעשיו נעשו על רקע זה (עמ' 6 בתסקיר, שורות 4-5).הערכת שירות המבחן הינה שאין מדובר בעבריין קלאסי, אלא בילד אומלל שנקלע לחיים בלתי אפשריים. הנאשם נמצא במעצר החל מיום 29.12.12, ותקופה זו הינה קשה לו ביותר והערכת שירות המבחן הינה כי תקופה זו יכולה להוות בעבורו גורם מרתיע. </w:t>
      </w:r>
    </w:p>
    <w:p w14:paraId="01DF0234" w14:textId="77777777" w:rsidR="009F4D2F" w:rsidRDefault="009F4D2F" w:rsidP="003A7E80">
      <w:pPr>
        <w:spacing w:line="360" w:lineRule="auto"/>
        <w:jc w:val="both"/>
        <w:rPr>
          <w:rFonts w:ascii="Arial" w:hAnsi="Arial"/>
          <w:rtl/>
        </w:rPr>
      </w:pPr>
      <w:r>
        <w:rPr>
          <w:rFonts w:ascii="Arial" w:hAnsi="Arial"/>
          <w:rtl/>
        </w:rPr>
        <w:t xml:space="preserve">לאור האמור לעיל, עתר ב"כ הנאשם, להשית על הנאשם תקופת מאסר מתונה שתביא בחשבון את נסיבותיו האישיות והמאוד מיוחדות. </w:t>
      </w:r>
    </w:p>
    <w:p w14:paraId="636426C2" w14:textId="77777777" w:rsidR="009F4D2F" w:rsidRDefault="009F4D2F" w:rsidP="003A7E80">
      <w:pPr>
        <w:spacing w:line="360" w:lineRule="auto"/>
        <w:jc w:val="both"/>
        <w:rPr>
          <w:rFonts w:ascii="Arial" w:hAnsi="Arial"/>
          <w:rtl/>
        </w:rPr>
      </w:pPr>
    </w:p>
    <w:p w14:paraId="142FBE38" w14:textId="77777777" w:rsidR="009F4D2F" w:rsidRDefault="009F4D2F" w:rsidP="003A7E80">
      <w:pPr>
        <w:spacing w:line="360" w:lineRule="auto"/>
        <w:jc w:val="both"/>
        <w:rPr>
          <w:rFonts w:ascii="Arial" w:hAnsi="Arial"/>
          <w:rtl/>
        </w:rPr>
      </w:pPr>
      <w:r>
        <w:rPr>
          <w:rFonts w:ascii="Arial" w:hAnsi="Arial"/>
          <w:b/>
          <w:bCs/>
          <w:rtl/>
        </w:rPr>
        <w:t xml:space="preserve">הנאשם </w:t>
      </w:r>
      <w:r>
        <w:rPr>
          <w:rFonts w:ascii="Arial" w:hAnsi="Arial"/>
          <w:rtl/>
        </w:rPr>
        <w:t xml:space="preserve">אמר שהוא מאוד מצטער על מעשיו והוא חושב שזה נורא. קשה לו במעצר וכל יום הוא בוכה ומצטער על מה שהוא עשה. כאשר היה בפנימייה הוא תרם ועשה </w:t>
      </w:r>
      <w:proofErr w:type="spellStart"/>
      <w:r>
        <w:rPr>
          <w:rFonts w:ascii="Arial" w:hAnsi="Arial"/>
          <w:rtl/>
        </w:rPr>
        <w:t>הכל</w:t>
      </w:r>
      <w:proofErr w:type="spellEnd"/>
      <w:r>
        <w:rPr>
          <w:rFonts w:ascii="Arial" w:hAnsi="Arial"/>
          <w:rtl/>
        </w:rPr>
        <w:t xml:space="preserve"> בשביל לשמח אנשים, וזה היה לו כיף. הוא גם היה אמור להתגייס לצבא.</w:t>
      </w:r>
    </w:p>
    <w:p w14:paraId="06A11761" w14:textId="77777777" w:rsidR="009F4D2F" w:rsidRDefault="009F4D2F" w:rsidP="003A7E80">
      <w:pPr>
        <w:spacing w:line="360" w:lineRule="auto"/>
        <w:jc w:val="both"/>
        <w:rPr>
          <w:rFonts w:ascii="Arial" w:hAnsi="Arial"/>
          <w:rtl/>
        </w:rPr>
      </w:pPr>
    </w:p>
    <w:p w14:paraId="6D0A9E15" w14:textId="77777777" w:rsidR="009F4D2F" w:rsidRDefault="009F4D2F" w:rsidP="003A7E80">
      <w:pPr>
        <w:spacing w:line="360" w:lineRule="auto"/>
        <w:jc w:val="both"/>
        <w:rPr>
          <w:rFonts w:ascii="Arial" w:hAnsi="Arial"/>
          <w:rtl/>
        </w:rPr>
      </w:pPr>
      <w:r>
        <w:rPr>
          <w:rFonts w:ascii="Arial" w:hAnsi="Arial"/>
          <w:b/>
          <w:bCs/>
          <w:rtl/>
        </w:rPr>
        <w:t>שירות המבחן</w:t>
      </w:r>
      <w:r>
        <w:rPr>
          <w:rFonts w:ascii="Arial" w:hAnsi="Arial"/>
          <w:rtl/>
        </w:rPr>
        <w:t xml:space="preserve">, הפנה לכך שהנאשם הינו בן למשפחה רב בעייתית ומורכבת, המוכרת ללשכת הרווחה על רקע מצוקות סוציאליות ומשפחתיות קשות ביותר, ושרויה במשבר תפקודי מתמשך. על רקע נסיבות חייו, מאפייני אישיותו ואורח התנהלותו בכללם; חוויות חסך, חוסר מופנמות, תחושת העדר גבולות פנימיים והפרעות התנהגות קשות, אופיין תפקודו הכולל במערכות החינוך והחברה בכשל מתמשך. </w:t>
      </w:r>
    </w:p>
    <w:p w14:paraId="4B5F6E29" w14:textId="77777777" w:rsidR="009F4D2F" w:rsidRDefault="009F4D2F" w:rsidP="006B30B4">
      <w:pPr>
        <w:spacing w:line="360" w:lineRule="auto"/>
        <w:jc w:val="both"/>
        <w:rPr>
          <w:rFonts w:ascii="Arial" w:hAnsi="Arial"/>
          <w:rtl/>
        </w:rPr>
      </w:pPr>
      <w:r>
        <w:rPr>
          <w:rFonts w:ascii="Arial" w:hAnsi="Arial"/>
          <w:rtl/>
        </w:rPr>
        <w:t>מהתסקיר עולה כי הנאשם הופנה לשירות המבחן בשנת 2007 על רקע מעורבותו בעבירת אלימות (</w:t>
      </w:r>
      <w:hyperlink r:id="rId30" w:history="1">
        <w:r w:rsidR="00BB0261" w:rsidRPr="00BB0261">
          <w:rPr>
            <w:rFonts w:ascii="Arial" w:hAnsi="Arial"/>
            <w:color w:val="0000FF"/>
            <w:u w:val="single"/>
            <w:rtl/>
          </w:rPr>
          <w:t>ת.פ. 1239/07</w:t>
        </w:r>
      </w:hyperlink>
      <w:r>
        <w:rPr>
          <w:rFonts w:ascii="Arial" w:hAnsi="Arial"/>
          <w:rtl/>
        </w:rPr>
        <w:t>)</w:t>
      </w:r>
      <w:r w:rsidR="006B30B4">
        <w:rPr>
          <w:rFonts w:ascii="Arial" w:hAnsi="Arial" w:hint="cs"/>
          <w:rtl/>
        </w:rPr>
        <w:t xml:space="preserve"> </w:t>
      </w:r>
      <w:r w:rsidR="006B30B4" w:rsidRPr="006B30B4">
        <w:rPr>
          <w:rFonts w:ascii="Times New Roman" w:hAnsi="Times New Roman"/>
          <w:sz w:val="22"/>
          <w:rtl/>
        </w:rPr>
        <w:t>[פורסם בנבו]</w:t>
      </w:r>
      <w:r>
        <w:rPr>
          <w:rFonts w:ascii="Arial" w:hAnsi="Arial"/>
          <w:rtl/>
        </w:rPr>
        <w:t>. לאחר קיום הליך הוכחות ממושך, הורשע הנאשם בביצוע העבירה ונידון לעונש מאסר בפועל. ביום 11.03.11 פסק בית המשפט המחוזי בערעור (</w:t>
      </w:r>
      <w:hyperlink r:id="rId31" w:history="1">
        <w:proofErr w:type="spellStart"/>
        <w:r w:rsidR="00BB0261" w:rsidRPr="00C44CC3">
          <w:rPr>
            <w:rFonts w:ascii="Arial" w:hAnsi="Arial"/>
            <w:color w:val="0000FF"/>
            <w:u w:val="single"/>
            <w:rtl/>
          </w:rPr>
          <w:t>ענ"פ</w:t>
        </w:r>
        <w:proofErr w:type="spellEnd"/>
        <w:r w:rsidR="00BB0261" w:rsidRPr="00C44CC3">
          <w:rPr>
            <w:rFonts w:ascii="Arial" w:hAnsi="Arial"/>
            <w:color w:val="0000FF"/>
            <w:u w:val="single"/>
            <w:rtl/>
          </w:rPr>
          <w:t xml:space="preserve"> 5399-01-11</w:t>
        </w:r>
      </w:hyperlink>
      <w:r>
        <w:rPr>
          <w:rFonts w:ascii="Arial" w:hAnsi="Arial"/>
          <w:rtl/>
        </w:rPr>
        <w:t xml:space="preserve">) </w:t>
      </w:r>
      <w:r w:rsidR="006B30B4" w:rsidRPr="006B30B4">
        <w:rPr>
          <w:rFonts w:ascii="Times New Roman" w:hAnsi="Times New Roman"/>
          <w:sz w:val="22"/>
          <w:rtl/>
        </w:rPr>
        <w:t xml:space="preserve">[פורסם בנבו] </w:t>
      </w:r>
      <w:r>
        <w:rPr>
          <w:rFonts w:ascii="Arial" w:hAnsi="Arial"/>
          <w:rtl/>
        </w:rPr>
        <w:t>כי הרשעתו של הנאשם תעמוד בעינה ועונש המאסר בפועל יבוטל. בנוסף, נגזרו על הנאשם מאסר על תנאי וצו מבחן לשנה. עד תום תקופת המבחן שנגזרה על הנאשם, הקשר עם שירות המבחן, לאורך כל הדרך, אופיין בחיזור אינטנסיבי של קצינת המבחן והימנעויות חוזרות ונשנות של הנאשם מלשתף פעולה ולהגיע למפגשים. הערכת שירות המבחן דאז הייתה, כי הנאשם אינו נער הפועל לפי דפוסים עבריינים, אלא מתמודד עם קשיים רגשיים על רקע הזנחה וחוסר תפקוד הורי מתמשך. ניסיונות טיפול ממושכים במגוון מסגרות בקהילה, לאורך תהליך התבגרותו, לא נשאו פרי והנאשם התקשה לגייס כוחות להתמודד עם קשייו ולהסתייע בנגישות גורמי הטיפול. בהדרגה נשר הנאשם ממסגרת בית הספר, לעיתים עבד בעבודות מזדמנות, התרועע עם גורמי שוליים ונמנע מלהתמודד עם קשייו. בסופו של יום גם הקשר עם שירות המבחן נפסק מיוזמתו של הנאשם, וחודש עם מעצרו. מעורבותו בעבירות נוספות בהיותו בגיר, מעידה כי לא השכיל לעשות שימוש נכון בהזדמנות שניתנה לו דאז, על ידי בית המשפט לנוער.</w:t>
      </w:r>
    </w:p>
    <w:p w14:paraId="2711EF57" w14:textId="77777777" w:rsidR="009F4D2F" w:rsidRDefault="009F4D2F" w:rsidP="003A7E80">
      <w:pPr>
        <w:spacing w:line="360" w:lineRule="auto"/>
        <w:jc w:val="both"/>
        <w:rPr>
          <w:rFonts w:ascii="Arial" w:hAnsi="Arial"/>
          <w:rtl/>
        </w:rPr>
      </w:pPr>
      <w:r>
        <w:rPr>
          <w:rFonts w:ascii="Arial" w:hAnsi="Arial"/>
          <w:rtl/>
        </w:rPr>
        <w:t>לעניין העבירות דנן, התרשמות שירות המבחן הינה כי למרות שהנאשם מביע במלל חרטה ותחושת אשמה, הוא מתקשה להפנים מודעות של ממש לחומרת העבירות ולנזק שנגרם מהן. הנאשם חווה את מצבו ומעשיו מתוך הוויה של קורבנות, ומתקשה להביע ולחוש אחריות אישית.</w:t>
      </w:r>
    </w:p>
    <w:p w14:paraId="7617AB47" w14:textId="77777777" w:rsidR="009F4D2F" w:rsidRDefault="009F4D2F" w:rsidP="003A7E80">
      <w:pPr>
        <w:spacing w:line="360" w:lineRule="auto"/>
        <w:jc w:val="both"/>
        <w:rPr>
          <w:rFonts w:ascii="Arial" w:hAnsi="Arial"/>
          <w:rtl/>
        </w:rPr>
      </w:pPr>
      <w:r>
        <w:rPr>
          <w:rFonts w:ascii="Arial" w:hAnsi="Arial"/>
          <w:rtl/>
        </w:rPr>
        <w:t>מהתסקיר עולים גורמי סיכון להישנות ביצוע עבירות והם: מסגרת משפחתית רב בעייתית; תובנה חלקית למצבו וצרכיו; תפקוד בלתי יציב בעברו במערכות החינוך ובחברה; חוויה פנימית של העדר גבולות; חסך וחסר רגשי; קושי בקבלת מרות והפנמת כללים חברתיים; חשש לשימוש בסמים; העדר שיתוף פעולה עקבי עם גורמי הטיפול. מנגד ישנם גורמי סיכוי והם: העדר דיווח אודות מעורבות בעבירות אלימות נוספות מזה זמן רב; העדר דפוסי עבריינות בולטים; מעצרו הממושך היווה בעבורו גורם מרתיע ומחדד גבולות.</w:t>
      </w:r>
    </w:p>
    <w:p w14:paraId="0512B85C" w14:textId="77777777" w:rsidR="009F4D2F" w:rsidRDefault="009F4D2F" w:rsidP="003A7E80">
      <w:pPr>
        <w:spacing w:line="360" w:lineRule="auto"/>
        <w:jc w:val="both"/>
        <w:rPr>
          <w:rFonts w:ascii="Arial" w:hAnsi="Arial"/>
          <w:rtl/>
        </w:rPr>
      </w:pPr>
      <w:r>
        <w:rPr>
          <w:rFonts w:ascii="Arial" w:hAnsi="Arial"/>
          <w:rtl/>
        </w:rPr>
        <w:t>לאור כל האמור לעיל, אין בידי שירות המבחן המלצה טיפולית. יחד עם זאת, ובאם ישקול בית המשפט להשית על הנאשם עונש מאסר, יש ליתן את הדעת אודות הצורך בהשגחה על שלומו לנוכח הצהרותיו האובדניות.</w:t>
      </w:r>
    </w:p>
    <w:p w14:paraId="3A3754C0" w14:textId="77777777" w:rsidR="009F4D2F" w:rsidRDefault="009F4D2F" w:rsidP="003A7E80">
      <w:pPr>
        <w:spacing w:line="360" w:lineRule="auto"/>
        <w:jc w:val="both"/>
        <w:rPr>
          <w:rFonts w:ascii="Arial" w:hAnsi="Arial"/>
          <w:b/>
          <w:bCs/>
          <w:u w:val="single"/>
          <w:rtl/>
        </w:rPr>
      </w:pPr>
    </w:p>
    <w:p w14:paraId="77BB0D7B" w14:textId="77777777" w:rsidR="009F4D2F" w:rsidRDefault="009F4D2F" w:rsidP="003A7E80">
      <w:pPr>
        <w:spacing w:line="360" w:lineRule="auto"/>
        <w:jc w:val="both"/>
        <w:rPr>
          <w:rFonts w:ascii="Arial" w:hAnsi="Arial"/>
          <w:b/>
          <w:bCs/>
          <w:sz w:val="28"/>
          <w:szCs w:val="28"/>
          <w:u w:val="single"/>
          <w:rtl/>
        </w:rPr>
      </w:pPr>
      <w:r>
        <w:rPr>
          <w:rFonts w:ascii="Arial" w:hAnsi="Arial"/>
          <w:b/>
          <w:bCs/>
          <w:sz w:val="28"/>
          <w:szCs w:val="28"/>
          <w:u w:val="single"/>
          <w:rtl/>
        </w:rPr>
        <w:t>דיון והכרעה:</w:t>
      </w:r>
    </w:p>
    <w:p w14:paraId="5E012FAD" w14:textId="77777777" w:rsidR="009F4D2F" w:rsidRDefault="009F4D2F" w:rsidP="003A7E80">
      <w:pPr>
        <w:spacing w:line="360" w:lineRule="auto"/>
        <w:jc w:val="both"/>
        <w:rPr>
          <w:rFonts w:ascii="Arial" w:hAnsi="Arial"/>
          <w:rtl/>
        </w:rPr>
      </w:pPr>
    </w:p>
    <w:p w14:paraId="6E8EF3C2" w14:textId="77777777" w:rsidR="009F4D2F" w:rsidRDefault="009F4D2F" w:rsidP="003A7E80">
      <w:pPr>
        <w:spacing w:line="360" w:lineRule="auto"/>
        <w:jc w:val="both"/>
        <w:rPr>
          <w:rFonts w:ascii="Arial" w:hAnsi="Arial"/>
          <w:rtl/>
        </w:rPr>
      </w:pPr>
      <w:r>
        <w:rPr>
          <w:rFonts w:ascii="Arial" w:hAnsi="Arial"/>
          <w:rtl/>
        </w:rPr>
        <w:t>הנאשם, כבן 18.10 שנים, הודה בביצוע שימוש עצמי בסמים בהיותו קטין. בנוסף, הודה הנאשם בכתב אישום מתוקן המייחס לו עבירות רכוש בשלוש הזדמנויות בתקופה שבין 06/12 ל-10/12, אותן ביצע בהיותו בגיר. אין חולק על כך כי עבירות הרכוש הינן חמורות, לא כל שכן כאשר הינן מבוצעות במתחם בית אבות, בו מתגוררים קשישים. לאור האמור לעיל, אני סבורה כי התנהגותו זו של הנאשם, מאופיינת בסממני עבריינות ואין המדובר במעידה ספוראדית.</w:t>
      </w:r>
    </w:p>
    <w:p w14:paraId="7D2A599A" w14:textId="77777777" w:rsidR="009F4D2F" w:rsidRDefault="009F4D2F" w:rsidP="003A7E80">
      <w:pPr>
        <w:spacing w:line="360" w:lineRule="auto"/>
        <w:jc w:val="both"/>
        <w:rPr>
          <w:rFonts w:ascii="Arial" w:hAnsi="Arial"/>
          <w:rtl/>
        </w:rPr>
      </w:pPr>
    </w:p>
    <w:p w14:paraId="5CBC5A29" w14:textId="77777777" w:rsidR="009F4D2F" w:rsidRDefault="009F4D2F" w:rsidP="003A7E80">
      <w:pPr>
        <w:spacing w:line="360" w:lineRule="auto"/>
        <w:jc w:val="both"/>
        <w:rPr>
          <w:rFonts w:ascii="Arial" w:hAnsi="Arial"/>
          <w:rtl/>
        </w:rPr>
      </w:pPr>
      <w:r>
        <w:rPr>
          <w:rFonts w:ascii="Arial" w:hAnsi="Arial"/>
          <w:rtl/>
        </w:rPr>
        <w:t>תסקיר שירות המבחן סוקר את קונסטלציית החיים הקשה של הנאשם ומשפחתו לאורך שנים. נאמר כי משפחתו לא שימשה בעבורו מקור תמיכה ואף לא הציבה לו גבולות. עוד עולה מהתסקיר כי הנאשם הופנה בעבר לשירות המבחן בעקבות ביצוע עבירות אלימות. לאורך כל התקופה בה היה בקשר עם שירות המבחן, כל ניסיונות הטיפול שהוצעו לו עלו בתוהו. התרשמות שירות המבחן הינה כי הנאשם אינו רואה את מצוקתו וסבלו של האחר כתוצאה מביצוע העבירות, אלא הוא רואה את עצמו כקורבן. שירות המבחן אינו בא בהמלצה טיפולית בעניינו של הנאשם, אולם במידה ויושת עליו עונש מאסר יש לבחון האם מצבו הנפשי מצריך השגחה.</w:t>
      </w:r>
    </w:p>
    <w:p w14:paraId="40DBC26B" w14:textId="77777777" w:rsidR="009F4D2F" w:rsidRDefault="009F4D2F" w:rsidP="003A7E80">
      <w:pPr>
        <w:spacing w:line="360" w:lineRule="auto"/>
        <w:jc w:val="both"/>
        <w:rPr>
          <w:rFonts w:ascii="Arial" w:hAnsi="Arial"/>
          <w:rtl/>
        </w:rPr>
      </w:pPr>
    </w:p>
    <w:p w14:paraId="49BE4F73" w14:textId="77777777" w:rsidR="009F4D2F" w:rsidRDefault="009F4D2F" w:rsidP="003A7E80">
      <w:pPr>
        <w:spacing w:line="360" w:lineRule="auto"/>
        <w:jc w:val="both"/>
        <w:rPr>
          <w:rFonts w:ascii="Arial" w:hAnsi="Arial"/>
          <w:rtl/>
        </w:rPr>
      </w:pPr>
      <w:r>
        <w:rPr>
          <w:rFonts w:ascii="Arial" w:hAnsi="Arial"/>
          <w:rtl/>
        </w:rPr>
        <w:t>האזנתי בקשב רב לטענות הצדדים ולמחלוקת ביניהם לעניין הענישה אותה יש להשית אליו. מחד, מעשיו של הנאשם ונסיבות ביצועם הינם מכוערים וראויים לגינוי, לא כל שכן כאשר חלק ממעשי הגניבה התרחשו בבית אבות ומדירות בהן באותה עת שהו קורבנות העבירה. האינטרס הציבורי בכללותו ושיקולי הגמול וההרתעה, מחייבים במקרה דנן שליחת מסר מרתיע ליחיד ולרבים, בדמות מאסר בפועל ממושך. מנגד, אינטרס זה יש לאזן עם נסיבותיו הייחודיות של הנאשם, וזאת בשים לב לכל האמור בתסקיר שירות המבחן ולכך שהוא נמצא במעצר תקופה ארוכה, שהיא כשלעצמה מהווה גורם מרתיע בעבורו.</w:t>
      </w:r>
    </w:p>
    <w:p w14:paraId="24FABAAF" w14:textId="77777777" w:rsidR="009F4D2F" w:rsidRDefault="009F4D2F" w:rsidP="003A7E80">
      <w:pPr>
        <w:spacing w:line="360" w:lineRule="auto"/>
        <w:jc w:val="both"/>
        <w:rPr>
          <w:rFonts w:ascii="Arial" w:hAnsi="Arial"/>
          <w:rtl/>
        </w:rPr>
      </w:pPr>
    </w:p>
    <w:p w14:paraId="41D87F20" w14:textId="77777777" w:rsidR="009F4D2F" w:rsidRDefault="009F4D2F" w:rsidP="003A7E80">
      <w:pPr>
        <w:spacing w:line="360" w:lineRule="auto"/>
        <w:jc w:val="both"/>
        <w:rPr>
          <w:rFonts w:ascii="Arial" w:hAnsi="Arial"/>
          <w:rtl/>
        </w:rPr>
      </w:pPr>
      <w:r>
        <w:rPr>
          <w:rFonts w:ascii="Arial" w:hAnsi="Arial"/>
          <w:rtl/>
        </w:rPr>
        <w:t xml:space="preserve">חמורות בעייני כל עבירותיו של הנאשם, אולם קיימת לטעמי חומרה יתרה בכך שאחד ממקרי הגניבה בוצע מתוך חדרה של דיירת בבית אבות, עת שהיא שהתה בו (האישום השלישי בכתב האישום המצורף). הנאשם לא נרתע מנוכחותה במקום וגנב ממנה את מכשיר הפלאפון וזאת כשהיא מנסה להתנגד לו. אינני יכולה להעלות על דעתי את חוסר האונים והמצוקה אותם חשה אותה דיירת קשישה אומללה ומפוחדת, ועם זאת הפגינה אומץ רב כשניסתה להתנגד למעשיו. </w:t>
      </w:r>
    </w:p>
    <w:p w14:paraId="2991C744" w14:textId="77777777" w:rsidR="009F4D2F" w:rsidRDefault="009F4D2F" w:rsidP="003A7E80">
      <w:pPr>
        <w:spacing w:line="360" w:lineRule="auto"/>
        <w:jc w:val="both"/>
        <w:rPr>
          <w:rFonts w:ascii="Arial" w:hAnsi="Arial"/>
          <w:rtl/>
        </w:rPr>
      </w:pPr>
    </w:p>
    <w:p w14:paraId="589650F8" w14:textId="77777777" w:rsidR="009F4D2F" w:rsidRDefault="009F4D2F" w:rsidP="003A7E80">
      <w:pPr>
        <w:spacing w:line="360" w:lineRule="auto"/>
        <w:jc w:val="both"/>
        <w:rPr>
          <w:rFonts w:ascii="Arial" w:hAnsi="Arial"/>
          <w:rtl/>
        </w:rPr>
      </w:pPr>
      <w:r>
        <w:rPr>
          <w:rFonts w:ascii="Arial" w:hAnsi="Arial"/>
          <w:rtl/>
        </w:rPr>
        <w:t>לא אחת בתי המשפט הביעו את דעתם על החומרה בביצוע עבירות כנגד אדם קשיש. ב</w:t>
      </w:r>
      <w:hyperlink r:id="rId32" w:history="1">
        <w:r w:rsidR="00DC23B0" w:rsidRPr="00DC23B0">
          <w:rPr>
            <w:rFonts w:ascii="Arial" w:hAnsi="Arial"/>
            <w:color w:val="0000FF"/>
            <w:u w:val="single"/>
            <w:rtl/>
          </w:rPr>
          <w:t>ע"פ 1864/11 דוידוב נ' מדינת ישראל</w:t>
        </w:r>
      </w:hyperlink>
      <w:r>
        <w:rPr>
          <w:rFonts w:ascii="Arial" w:hAnsi="Arial"/>
          <w:rtl/>
        </w:rPr>
        <w:t xml:space="preserve">, פסקה 7 </w:t>
      </w:r>
      <w:r w:rsidR="006B30B4" w:rsidRPr="006B30B4">
        <w:rPr>
          <w:rFonts w:ascii="Times New Roman" w:hAnsi="Times New Roman"/>
          <w:sz w:val="22"/>
          <w:rtl/>
        </w:rPr>
        <w:t xml:space="preserve">[פורסם בנבו] </w:t>
      </w:r>
      <w:r>
        <w:rPr>
          <w:rFonts w:ascii="Arial" w:hAnsi="Arial"/>
          <w:rtl/>
        </w:rPr>
        <w:t>(07.11.12), שב ומדגיש כב' השופט י' עמית את רכיבי ההרתעה והגמול המתבקשים נוכח אופי העבירה. לדבריו ענישה מחמירה בעבירות דנן, הינה מהווה את תרומתו של בית המשפט בהגנה על קשישים:</w:t>
      </w:r>
    </w:p>
    <w:p w14:paraId="19AD2F0F" w14:textId="77777777" w:rsidR="009F4D2F" w:rsidRDefault="009F4D2F" w:rsidP="00F3529A">
      <w:pPr>
        <w:spacing w:line="360" w:lineRule="auto"/>
        <w:ind w:left="454" w:right="454"/>
        <w:jc w:val="both"/>
        <w:rPr>
          <w:rFonts w:ascii="Arial" w:hAnsi="Arial"/>
          <w:b/>
          <w:bCs/>
          <w:rtl/>
        </w:rPr>
      </w:pPr>
    </w:p>
    <w:p w14:paraId="23F31AAF" w14:textId="77777777" w:rsidR="009F4D2F" w:rsidRDefault="009F4D2F" w:rsidP="00F3529A">
      <w:pPr>
        <w:spacing w:line="360" w:lineRule="auto"/>
        <w:ind w:left="454" w:right="454"/>
        <w:jc w:val="both"/>
        <w:rPr>
          <w:rFonts w:ascii="Arial" w:hAnsi="Arial"/>
          <w:b/>
          <w:bCs/>
          <w:rtl/>
        </w:rPr>
      </w:pPr>
      <w:r>
        <w:rPr>
          <w:rFonts w:ascii="Arial" w:hAnsi="Arial"/>
          <w:b/>
          <w:bCs/>
          <w:rtl/>
        </w:rPr>
        <w:t>"</w:t>
      </w:r>
      <w:r w:rsidRPr="00C2058C">
        <w:rPr>
          <w:rFonts w:ascii="Arial" w:hAnsi="Arial"/>
          <w:b/>
          <w:bCs/>
          <w:u w:val="single"/>
          <w:rtl/>
        </w:rPr>
        <w:t>שוד או גניבה מקשיש ומחסר ישע, נתפס כמעשה שיש בו כיעור מוסרי גדול יותר מעבירה "רגילה" של שוד או גניבה, בהיותו הפרה של הציווי "והדרת פני זקן" הנתפס כמעין חוק טבע בכל חברה אנושית</w:t>
      </w:r>
      <w:r>
        <w:rPr>
          <w:rFonts w:ascii="Arial" w:hAnsi="Arial"/>
          <w:b/>
          <w:bCs/>
          <w:rtl/>
        </w:rPr>
        <w:t xml:space="preserve">. העבירה של שוד קשישים היא מעשה נקלה ובזוי במיוחד, גם בקוד </w:t>
      </w:r>
      <w:proofErr w:type="spellStart"/>
      <w:r>
        <w:rPr>
          <w:rFonts w:ascii="Arial" w:hAnsi="Arial"/>
          <w:b/>
          <w:bCs/>
          <w:rtl/>
        </w:rPr>
        <w:t>העברייני</w:t>
      </w:r>
      <w:proofErr w:type="spellEnd"/>
      <w:r>
        <w:rPr>
          <w:rFonts w:ascii="Arial" w:hAnsi="Arial"/>
          <w:b/>
          <w:bCs/>
          <w:rtl/>
        </w:rPr>
        <w:t>, ולא בכדי היא נחשבת לעבירה הנמצאת בתחתית "שרשרת המזון" של העבירות ושל העבריינים.</w:t>
      </w:r>
    </w:p>
    <w:p w14:paraId="405362F2" w14:textId="77777777" w:rsidR="009F4D2F" w:rsidRDefault="009F4D2F" w:rsidP="00F3529A">
      <w:pPr>
        <w:spacing w:line="360" w:lineRule="auto"/>
        <w:ind w:left="454" w:right="454"/>
        <w:jc w:val="both"/>
        <w:rPr>
          <w:rFonts w:ascii="Arial" w:hAnsi="Arial"/>
          <w:b/>
          <w:bCs/>
          <w:rtl/>
        </w:rPr>
      </w:pPr>
    </w:p>
    <w:p w14:paraId="5A07C0AB" w14:textId="77777777" w:rsidR="009F4D2F" w:rsidRDefault="009F4D2F" w:rsidP="00F3529A">
      <w:pPr>
        <w:spacing w:line="360" w:lineRule="auto"/>
        <w:ind w:left="454" w:right="454"/>
        <w:jc w:val="both"/>
        <w:rPr>
          <w:rFonts w:ascii="Arial" w:hAnsi="Arial"/>
          <w:b/>
          <w:bCs/>
          <w:rtl/>
        </w:rPr>
      </w:pPr>
      <w:r w:rsidRPr="00C2058C">
        <w:rPr>
          <w:rFonts w:ascii="Arial" w:hAnsi="Arial"/>
          <w:b/>
          <w:bCs/>
          <w:u w:val="single"/>
          <w:rtl/>
        </w:rPr>
        <w:t>מי יאמוד את האימה, הפחד, הבושת והצער של קשיש – פעמים רבות קשיש המתגורר בגפו – שנפל קורבן לעבירה של שוד וגניבה. אכן, לא כל קשיש הוא חסר ישע, אבל אין כוחו של קשיש כשל אדם צעיר, שיכול לעיתים להתגונן או לרדוף אחר הגנב או השודד.</w:t>
      </w:r>
      <w:r>
        <w:rPr>
          <w:rFonts w:ascii="Arial" w:hAnsi="Arial"/>
          <w:b/>
          <w:bCs/>
          <w:rtl/>
        </w:rPr>
        <w:t xml:space="preserve"> נקל לשער את התחושה המתסכלת עד-מאוד של השפלה וחוסר אונים של קשיש שנפל קרבן לעבירה כגון דא. ניסיון החיים מלמד כי איכות החיים של קשישים אחרי מעשה שוד או גניבה אינה כתמול שלשום. אף יש שאורחות חייהם השתנו והתהפכו בעקבות אירוע טראומטי של גניבה או שוד, לאחר שלהוותם נוכחו לדעת כי ביתם כבר אינו מבצרם. תופעות של חוסר אמון בבני אדם, בידוד והסתגרות נפשית לצד התבצרות פיזית (סורגים ומנעולים), חשש, אבדן ביטחון עצמי, נדודי שינה ועוד תופעות והשלכות המשפיעות על הקשיש ועל בני משפחתו. </w:t>
      </w:r>
      <w:r w:rsidRPr="00C2058C">
        <w:rPr>
          <w:rFonts w:ascii="Arial" w:hAnsi="Arial"/>
          <w:b/>
          <w:bCs/>
          <w:u w:val="single"/>
          <w:rtl/>
        </w:rPr>
        <w:t>מכאן מידת הסלידה של החברה ביחס לשוד וגניבה מקשישים, ומכאן החומרה היתרה שבתי המשפט מייחסים לעבירה זו בהיבט של שיקולי גמול והלימה</w:t>
      </w:r>
      <w:r>
        <w:rPr>
          <w:rFonts w:ascii="Arial" w:hAnsi="Arial"/>
          <w:b/>
          <w:bCs/>
          <w:rtl/>
        </w:rPr>
        <w:t>" (ההדגשות שלי- א. א.).</w:t>
      </w:r>
    </w:p>
    <w:p w14:paraId="76774964" w14:textId="77777777" w:rsidR="009F4D2F" w:rsidRDefault="009F4D2F" w:rsidP="003A7E80">
      <w:pPr>
        <w:spacing w:line="360" w:lineRule="auto"/>
        <w:jc w:val="both"/>
        <w:rPr>
          <w:rFonts w:ascii="Arial" w:hAnsi="Arial"/>
          <w:b/>
          <w:bCs/>
          <w:rtl/>
        </w:rPr>
      </w:pPr>
    </w:p>
    <w:p w14:paraId="59478966" w14:textId="77777777" w:rsidR="009F4D2F" w:rsidRDefault="009F4D2F" w:rsidP="003A7E80">
      <w:pPr>
        <w:spacing w:line="360" w:lineRule="auto"/>
        <w:jc w:val="both"/>
        <w:rPr>
          <w:rFonts w:ascii="Arial" w:hAnsi="Arial"/>
          <w:rtl/>
        </w:rPr>
      </w:pPr>
      <w:r>
        <w:rPr>
          <w:rFonts w:ascii="Arial" w:hAnsi="Arial"/>
          <w:rtl/>
        </w:rPr>
        <w:t xml:space="preserve">עוד בעניין זה יפים דבריו של כב' השופט א' </w:t>
      </w:r>
      <w:proofErr w:type="spellStart"/>
      <w:r>
        <w:rPr>
          <w:rFonts w:ascii="Arial" w:hAnsi="Arial"/>
          <w:rtl/>
        </w:rPr>
        <w:t>א'</w:t>
      </w:r>
      <w:proofErr w:type="spellEnd"/>
      <w:r>
        <w:rPr>
          <w:rFonts w:ascii="Arial" w:hAnsi="Arial"/>
          <w:rtl/>
        </w:rPr>
        <w:t xml:space="preserve"> לוי ב</w:t>
      </w:r>
      <w:hyperlink r:id="rId33" w:history="1">
        <w:r w:rsidR="00DC23B0" w:rsidRPr="00DC23B0">
          <w:rPr>
            <w:rFonts w:ascii="Arial" w:hAnsi="Arial"/>
            <w:color w:val="0000FF"/>
            <w:u w:val="single"/>
            <w:rtl/>
          </w:rPr>
          <w:t xml:space="preserve">ע"פ 972/05 אברמוב נ' מדינת ישראל </w:t>
        </w:r>
      </w:hyperlink>
      <w:r>
        <w:rPr>
          <w:rFonts w:ascii="Arial" w:hAnsi="Arial"/>
          <w:rtl/>
        </w:rPr>
        <w:t xml:space="preserve"> </w:t>
      </w:r>
      <w:r w:rsidR="002A2DC8" w:rsidRPr="002A2DC8">
        <w:rPr>
          <w:rFonts w:ascii="Times New Roman" w:hAnsi="Times New Roman"/>
          <w:sz w:val="22"/>
          <w:rtl/>
        </w:rPr>
        <w:t xml:space="preserve">[פורסם בנבו] </w:t>
      </w:r>
      <w:r>
        <w:rPr>
          <w:rFonts w:ascii="Arial" w:hAnsi="Arial"/>
          <w:rtl/>
        </w:rPr>
        <w:t>(22.03.07):</w:t>
      </w:r>
    </w:p>
    <w:p w14:paraId="286EE280" w14:textId="77777777" w:rsidR="009F4D2F" w:rsidRDefault="009F4D2F" w:rsidP="003A7E80">
      <w:pPr>
        <w:spacing w:line="360" w:lineRule="auto"/>
        <w:jc w:val="both"/>
        <w:rPr>
          <w:rFonts w:ascii="Arial" w:hAnsi="Arial"/>
          <w:rtl/>
        </w:rPr>
      </w:pPr>
    </w:p>
    <w:p w14:paraId="40F4172D" w14:textId="77777777" w:rsidR="009F4D2F" w:rsidRDefault="009F4D2F" w:rsidP="00F06FCE">
      <w:pPr>
        <w:spacing w:line="360" w:lineRule="auto"/>
        <w:ind w:left="454" w:right="454"/>
        <w:jc w:val="both"/>
        <w:rPr>
          <w:rFonts w:ascii="Arial" w:hAnsi="Arial"/>
          <w:b/>
          <w:bCs/>
          <w:rtl/>
        </w:rPr>
      </w:pPr>
      <w:r>
        <w:rPr>
          <w:rFonts w:ascii="Arial" w:hAnsi="Arial"/>
          <w:b/>
          <w:bCs/>
          <w:rtl/>
        </w:rPr>
        <w:t xml:space="preserve">"עבריינים חסרי-לב ומצפון, המבקשים לזכות בשלל קל, בוחרים את קורבנותיהם מתוך החלשים בחברה - אנשים מבוגרים, חולים או חסרי ישע, מתוך הנחה שאלה האחרונים מחזיקים בדירות מגוריהם חסכונות שאגרו לעת זקנה, ושעקב גילם ומצב בריאותם לא יוכלו לגלות התנגדות רבה. </w:t>
      </w:r>
      <w:r w:rsidRPr="00F06FCE">
        <w:rPr>
          <w:rFonts w:ascii="Arial" w:hAnsi="Arial"/>
          <w:b/>
          <w:bCs/>
          <w:u w:val="single"/>
          <w:rtl/>
        </w:rPr>
        <w:t>על קורבנות מסוג זה מצווה החברה להגן, ובתי המשפט הוא זרועה הארוכה של החברה לעניין זה. נדמה כי הגיעה השעה לשוב ולהבהיר לכל, כי הפוגע בקשישים, ובמיוחד בביתם-מבצרם, עתיד לשלם על כך במאסר ממושך, כאשר העונש המרבי יהווה נקודת מוצא ממנה ניתן לסטות רק אם יוכחו נימוקים לקולא המצדיקים זאת</w:t>
      </w:r>
      <w:r>
        <w:rPr>
          <w:rFonts w:ascii="Arial" w:hAnsi="Arial"/>
          <w:b/>
          <w:bCs/>
          <w:rtl/>
        </w:rPr>
        <w:t>" (ההדגשות שלי- א. א.).</w:t>
      </w:r>
    </w:p>
    <w:p w14:paraId="6F29E88B" w14:textId="77777777" w:rsidR="009F4D2F" w:rsidRDefault="009F4D2F" w:rsidP="003A7E80">
      <w:pPr>
        <w:spacing w:line="360" w:lineRule="auto"/>
        <w:jc w:val="both"/>
        <w:rPr>
          <w:rFonts w:ascii="Arial" w:hAnsi="Arial"/>
          <w:rtl/>
        </w:rPr>
      </w:pPr>
    </w:p>
    <w:p w14:paraId="35CB1C79" w14:textId="77777777" w:rsidR="009F4D2F" w:rsidRDefault="009F4D2F" w:rsidP="003A7E80">
      <w:pPr>
        <w:spacing w:line="360" w:lineRule="auto"/>
        <w:jc w:val="both"/>
        <w:rPr>
          <w:rFonts w:ascii="Arial" w:hAnsi="Arial"/>
          <w:rtl/>
        </w:rPr>
      </w:pPr>
      <w:r>
        <w:rPr>
          <w:rFonts w:ascii="Arial" w:hAnsi="Arial"/>
          <w:rtl/>
        </w:rPr>
        <w:t>לאחר שאיזנתי בין טענות הצדדים ובשים לב להיעדר המלצה טיפולית בעניינו של הנאשם, אני סבורה כי נסיבות המקרה דנן והעדר כל טיפול ביחס לשימוש בסמים, מצדדים במתן בכורה לאינטרס הציבורי והשתת ענישה מרתיעה ומוחשית, שתעביר מסר חד וברור כי מי שייפגע בקשיש ייענש על כך בחומרה, גם כאשר עניינו מונח בפני בית המשפט לנוער. אומנם, הובאו בפני שיקולים לקולא בדמות נסיבות חייו הקשות של הנאשם, גילו הצעיר, מעצרו הממושך וניסיון להחזיר את הכספים לאחת המתלוננת אך לטעמי, אין בשיקולים אלו בכדי לחרוג ממדיניות הענישה הראויה בעבירות דנן.על בית המשפט לנוער להעביר לבאים בשעריו מסר חד וברור כי בעת שנאשם מודה במגוון עבירות חמורות ומכוערות והוא אינו נרתם להליך טיפולי או מנסה להראות שנוי ממשי בתפיסת עולמו – בית המשפט לנוער יעניק משקל מועט לגילו.</w:t>
      </w:r>
    </w:p>
    <w:p w14:paraId="4C103116" w14:textId="77777777" w:rsidR="009F4D2F" w:rsidRDefault="009F4D2F" w:rsidP="003A7E80">
      <w:pPr>
        <w:spacing w:line="360" w:lineRule="auto"/>
        <w:jc w:val="both"/>
        <w:rPr>
          <w:rFonts w:ascii="Arial" w:hAnsi="Arial"/>
          <w:rtl/>
        </w:rPr>
      </w:pPr>
    </w:p>
    <w:p w14:paraId="2437FEBF" w14:textId="77777777" w:rsidR="009F4D2F" w:rsidRDefault="009F4D2F" w:rsidP="003A7E80">
      <w:pPr>
        <w:spacing w:line="360" w:lineRule="auto"/>
        <w:jc w:val="both"/>
        <w:rPr>
          <w:rFonts w:ascii="Arial" w:hAnsi="Arial"/>
          <w:rtl/>
        </w:rPr>
      </w:pPr>
      <w:r>
        <w:rPr>
          <w:rFonts w:ascii="Arial" w:hAnsi="Arial"/>
          <w:rtl/>
        </w:rPr>
        <w:t xml:space="preserve">התרשמתי כי הנאשם לא הביע חרטה כנה על מעשיו ולא גילה אמפתיה כלפי קורבנות העבירה. אני סבורה כי הנאשם אינו מודע כלל לחומרת מצבו ולתהום בפניה ניצב. אני מקווה כי כעת, הנאשם ישכיל לנצל את גורמי הטיפול בשירות בתי הסוהר ובעזרתם יפעל להשתלב בהליך טיפולי לבעיותיו וקשייו, ובכך יסגל לעצמו אורח חיים נורמטיבי.הנאשם בגר ואמור לא ניצל משך תקופה ארוכה את אפיקי הטיפול שהוצעו לו. </w:t>
      </w:r>
    </w:p>
    <w:p w14:paraId="1334B27E" w14:textId="77777777" w:rsidR="009F4D2F" w:rsidRDefault="009F4D2F" w:rsidP="003A7E80">
      <w:pPr>
        <w:spacing w:line="360" w:lineRule="auto"/>
        <w:jc w:val="both"/>
        <w:rPr>
          <w:rFonts w:ascii="Arial" w:hAnsi="Arial"/>
          <w:rtl/>
        </w:rPr>
      </w:pPr>
    </w:p>
    <w:p w14:paraId="67B03BBA" w14:textId="77777777" w:rsidR="009F4D2F" w:rsidRPr="00E07356" w:rsidRDefault="009F4D2F" w:rsidP="003A7E80">
      <w:pPr>
        <w:spacing w:line="360" w:lineRule="auto"/>
        <w:jc w:val="both"/>
        <w:rPr>
          <w:rFonts w:ascii="Arial" w:hAnsi="Arial"/>
          <w:b/>
          <w:bCs/>
          <w:u w:val="single"/>
          <w:rtl/>
        </w:rPr>
      </w:pPr>
      <w:r w:rsidRPr="00E07356">
        <w:rPr>
          <w:rFonts w:ascii="Arial" w:hAnsi="Arial"/>
          <w:b/>
          <w:bCs/>
          <w:u w:val="single"/>
          <w:rtl/>
        </w:rPr>
        <w:t xml:space="preserve">אשר על כן, אני מרשיעה את הנאשם בדין וזאת בהתאם </w:t>
      </w:r>
      <w:hyperlink r:id="rId34" w:history="1">
        <w:r w:rsidR="00DC23B0" w:rsidRPr="00DC23B0">
          <w:rPr>
            <w:rFonts w:ascii="Arial" w:hAnsi="Arial"/>
            <w:b/>
            <w:bCs/>
            <w:color w:val="0000FF"/>
            <w:u w:val="single"/>
            <w:rtl/>
          </w:rPr>
          <w:t>לסעיף 24(1)</w:t>
        </w:r>
      </w:hyperlink>
      <w:r w:rsidRPr="00E07356">
        <w:rPr>
          <w:rFonts w:ascii="Arial" w:hAnsi="Arial"/>
          <w:b/>
          <w:bCs/>
          <w:u w:val="single"/>
          <w:rtl/>
        </w:rPr>
        <w:t xml:space="preserve"> ל</w:t>
      </w:r>
      <w:r w:rsidR="00BB0261" w:rsidRPr="00DC23B0">
        <w:rPr>
          <w:rFonts w:ascii="Arial" w:hAnsi="Arial"/>
          <w:b/>
          <w:bCs/>
          <w:rtl/>
        </w:rPr>
        <w:t>חוק הנוער (שפיטה, ענישה ודרכי טיפול)</w:t>
      </w:r>
      <w:r w:rsidRPr="00E07356">
        <w:rPr>
          <w:rFonts w:ascii="Arial" w:hAnsi="Arial"/>
          <w:b/>
          <w:bCs/>
          <w:u w:val="single"/>
          <w:rtl/>
        </w:rPr>
        <w:t xml:space="preserve">, </w:t>
      </w:r>
      <w:proofErr w:type="spellStart"/>
      <w:r w:rsidRPr="00E07356">
        <w:rPr>
          <w:rFonts w:ascii="Arial" w:hAnsi="Arial"/>
          <w:b/>
          <w:bCs/>
          <w:u w:val="single"/>
          <w:rtl/>
        </w:rPr>
        <w:t>התשל"א</w:t>
      </w:r>
      <w:proofErr w:type="spellEnd"/>
      <w:r w:rsidRPr="00E07356">
        <w:rPr>
          <w:rFonts w:ascii="Arial" w:hAnsi="Arial"/>
          <w:b/>
          <w:bCs/>
          <w:u w:val="single"/>
          <w:rtl/>
        </w:rPr>
        <w:t>-1971- וגוזרת את עונשו כדלקמן:</w:t>
      </w:r>
    </w:p>
    <w:p w14:paraId="6EF031FF" w14:textId="77777777" w:rsidR="009F4D2F" w:rsidRDefault="009F4D2F" w:rsidP="003A7E80">
      <w:pPr>
        <w:spacing w:line="360" w:lineRule="auto"/>
        <w:jc w:val="both"/>
        <w:rPr>
          <w:rFonts w:ascii="Arial" w:hAnsi="Arial"/>
          <w:rtl/>
        </w:rPr>
      </w:pPr>
    </w:p>
    <w:p w14:paraId="0FBB0544" w14:textId="77777777" w:rsidR="009F4D2F" w:rsidRDefault="009F4D2F" w:rsidP="003A7E80">
      <w:pPr>
        <w:spacing w:line="360" w:lineRule="auto"/>
        <w:jc w:val="both"/>
        <w:rPr>
          <w:rFonts w:ascii="Arial" w:hAnsi="Arial"/>
          <w:rtl/>
        </w:rPr>
      </w:pPr>
      <w:r>
        <w:rPr>
          <w:rFonts w:ascii="Arial" w:hAnsi="Arial"/>
          <w:rtl/>
        </w:rPr>
        <w:t>1.</w:t>
      </w:r>
      <w:r>
        <w:rPr>
          <w:rFonts w:ascii="Arial" w:hAnsi="Arial"/>
          <w:rtl/>
        </w:rPr>
        <w:tab/>
        <w:t>אני משיתה על הנאשם 20חודשי מאסר בפועל, בניכוי ימי מעצרו מיום 29.12.12.</w:t>
      </w:r>
    </w:p>
    <w:p w14:paraId="14C5BE79" w14:textId="77777777" w:rsidR="009F4D2F" w:rsidRPr="004E65FE" w:rsidRDefault="009F4D2F" w:rsidP="003A7E80">
      <w:pPr>
        <w:spacing w:line="360" w:lineRule="auto"/>
        <w:jc w:val="both"/>
        <w:rPr>
          <w:rFonts w:ascii="Arial" w:hAnsi="Arial"/>
          <w:sz w:val="6"/>
          <w:szCs w:val="6"/>
          <w:rtl/>
        </w:rPr>
      </w:pPr>
    </w:p>
    <w:p w14:paraId="0128E75A" w14:textId="77777777" w:rsidR="009F4D2F" w:rsidRDefault="009F4D2F" w:rsidP="004E65FE">
      <w:pPr>
        <w:spacing w:line="360" w:lineRule="auto"/>
        <w:ind w:left="720" w:hanging="720"/>
        <w:jc w:val="both"/>
        <w:rPr>
          <w:rFonts w:ascii="Arial" w:hAnsi="Arial"/>
          <w:rtl/>
        </w:rPr>
      </w:pPr>
      <w:r>
        <w:rPr>
          <w:rFonts w:ascii="Arial" w:hAnsi="Arial"/>
          <w:rtl/>
        </w:rPr>
        <w:t>2.</w:t>
      </w:r>
      <w:r>
        <w:rPr>
          <w:rFonts w:ascii="Arial" w:hAnsi="Arial"/>
          <w:rtl/>
        </w:rPr>
        <w:tab/>
        <w:t>אני מטילה על הנאשם 8 חודשי מאסר על תנאי למשך שנתיים מיום שחרורו, באם יעבור עבירת רכוש מסוג פשע.</w:t>
      </w:r>
    </w:p>
    <w:p w14:paraId="19400E70" w14:textId="77777777" w:rsidR="009F4D2F" w:rsidRPr="004E65FE" w:rsidRDefault="009F4D2F" w:rsidP="004E65FE">
      <w:pPr>
        <w:spacing w:line="360" w:lineRule="auto"/>
        <w:ind w:left="720" w:hanging="720"/>
        <w:jc w:val="both"/>
        <w:rPr>
          <w:rFonts w:ascii="Arial" w:hAnsi="Arial"/>
          <w:sz w:val="6"/>
          <w:szCs w:val="6"/>
          <w:rtl/>
        </w:rPr>
      </w:pPr>
    </w:p>
    <w:p w14:paraId="49768EA4" w14:textId="77777777" w:rsidR="009F4D2F" w:rsidRDefault="009F4D2F" w:rsidP="004E65FE">
      <w:pPr>
        <w:spacing w:line="360" w:lineRule="auto"/>
        <w:ind w:left="720" w:hanging="720"/>
        <w:jc w:val="both"/>
        <w:rPr>
          <w:rFonts w:ascii="Arial" w:hAnsi="Arial"/>
          <w:rtl/>
        </w:rPr>
      </w:pPr>
      <w:r>
        <w:rPr>
          <w:rFonts w:ascii="Arial" w:hAnsi="Arial"/>
          <w:rtl/>
        </w:rPr>
        <w:t>3.</w:t>
      </w:r>
      <w:r>
        <w:rPr>
          <w:rFonts w:ascii="Arial" w:hAnsi="Arial"/>
          <w:rtl/>
        </w:rPr>
        <w:tab/>
        <w:t xml:space="preserve">אני מטילה על הנאשם 7 חודשי מאסר על תנאי למשך שנתיים מיום שחרורו, באם יעבור עבירה לפי </w:t>
      </w:r>
      <w:hyperlink r:id="rId35" w:history="1">
        <w:r w:rsidR="00BB0261" w:rsidRPr="00BB0261">
          <w:rPr>
            <w:rFonts w:ascii="Arial" w:hAnsi="Arial"/>
            <w:color w:val="0000FF"/>
            <w:u w:val="single"/>
            <w:rtl/>
          </w:rPr>
          <w:t>פקודת הסמים המסוכנים</w:t>
        </w:r>
      </w:hyperlink>
      <w:r>
        <w:rPr>
          <w:rFonts w:ascii="Arial" w:hAnsi="Arial"/>
          <w:rtl/>
        </w:rPr>
        <w:t xml:space="preserve"> או עבירת רכוש מסוג עוון.</w:t>
      </w:r>
    </w:p>
    <w:p w14:paraId="644B1882" w14:textId="77777777" w:rsidR="009F4D2F" w:rsidRPr="004E65FE" w:rsidRDefault="009F4D2F" w:rsidP="004E65FE">
      <w:pPr>
        <w:spacing w:line="360" w:lineRule="auto"/>
        <w:ind w:left="720" w:hanging="720"/>
        <w:jc w:val="both"/>
        <w:rPr>
          <w:rFonts w:ascii="Arial" w:hAnsi="Arial"/>
          <w:sz w:val="6"/>
          <w:szCs w:val="6"/>
          <w:rtl/>
        </w:rPr>
      </w:pPr>
    </w:p>
    <w:p w14:paraId="2FF81D2D" w14:textId="77777777" w:rsidR="009F4D2F" w:rsidRDefault="009F4D2F" w:rsidP="004E65FE">
      <w:pPr>
        <w:spacing w:line="360" w:lineRule="auto"/>
        <w:ind w:left="720" w:hanging="720"/>
        <w:jc w:val="both"/>
        <w:rPr>
          <w:rFonts w:ascii="Arial" w:hAnsi="Arial"/>
          <w:rtl/>
        </w:rPr>
      </w:pPr>
      <w:r>
        <w:rPr>
          <w:rFonts w:ascii="Arial" w:hAnsi="Arial"/>
          <w:rtl/>
        </w:rPr>
        <w:t>4.</w:t>
      </w:r>
      <w:r>
        <w:rPr>
          <w:rFonts w:ascii="Arial" w:hAnsi="Arial"/>
          <w:rtl/>
        </w:rPr>
        <w:tab/>
        <w:t xml:space="preserve">הנאשם יחתום על התחייבות בסך </w:t>
      </w:r>
      <w:r>
        <w:rPr>
          <w:rFonts w:ascii="Arial" w:hAnsi="Arial"/>
        </w:rPr>
        <w:t>3,000</w:t>
      </w:r>
      <w:r>
        <w:rPr>
          <w:rFonts w:ascii="Arial" w:hAnsi="Arial"/>
          <w:rtl/>
        </w:rPr>
        <w:t xml:space="preserve"> ₪ להימנע מעבירות בהן הורשע</w:t>
      </w:r>
      <w:r w:rsidR="00DD34F9">
        <w:rPr>
          <w:rFonts w:ascii="Arial" w:hAnsi="Arial" w:hint="cs"/>
          <w:rtl/>
        </w:rPr>
        <w:t xml:space="preserve"> </w:t>
      </w:r>
      <w:r>
        <w:rPr>
          <w:rFonts w:ascii="Arial" w:hAnsi="Arial"/>
          <w:rtl/>
        </w:rPr>
        <w:t xml:space="preserve">וזאת למשך שנתיים מיום שחרורו.לא יחתום </w:t>
      </w:r>
      <w:proofErr w:type="spellStart"/>
      <w:r>
        <w:rPr>
          <w:rFonts w:ascii="Arial" w:hAnsi="Arial"/>
          <w:rtl/>
        </w:rPr>
        <w:t>יאסר</w:t>
      </w:r>
      <w:proofErr w:type="spellEnd"/>
      <w:r>
        <w:rPr>
          <w:rFonts w:ascii="Arial" w:hAnsi="Arial"/>
          <w:rtl/>
        </w:rPr>
        <w:t xml:space="preserve"> לשלושה ימים.</w:t>
      </w:r>
    </w:p>
    <w:p w14:paraId="5C841B0B" w14:textId="77777777" w:rsidR="009F4D2F" w:rsidRPr="004E65FE" w:rsidRDefault="009F4D2F" w:rsidP="004E65FE">
      <w:pPr>
        <w:spacing w:line="360" w:lineRule="auto"/>
        <w:ind w:left="720" w:hanging="720"/>
        <w:jc w:val="both"/>
        <w:rPr>
          <w:rFonts w:ascii="Arial" w:hAnsi="Arial"/>
          <w:sz w:val="6"/>
          <w:szCs w:val="6"/>
          <w:rtl/>
        </w:rPr>
      </w:pPr>
    </w:p>
    <w:p w14:paraId="530E4AB7" w14:textId="77777777" w:rsidR="009F4D2F" w:rsidRDefault="009F4D2F" w:rsidP="003A7E80">
      <w:pPr>
        <w:spacing w:line="360" w:lineRule="auto"/>
        <w:jc w:val="both"/>
        <w:rPr>
          <w:rFonts w:ascii="Arial" w:hAnsi="Arial"/>
          <w:rtl/>
        </w:rPr>
      </w:pPr>
      <w:r>
        <w:rPr>
          <w:rFonts w:ascii="Arial" w:hAnsi="Arial"/>
          <w:rtl/>
        </w:rPr>
        <w:t>5.</w:t>
      </w:r>
      <w:r>
        <w:rPr>
          <w:rFonts w:ascii="Arial" w:hAnsi="Arial"/>
          <w:rtl/>
        </w:rPr>
        <w:tab/>
        <w:t>6 חודשי פסילה בפועל מיום שחרורו ממאסר.</w:t>
      </w:r>
    </w:p>
    <w:p w14:paraId="66552086" w14:textId="77777777" w:rsidR="009F4D2F" w:rsidRPr="004E65FE" w:rsidRDefault="009F4D2F" w:rsidP="003A7E80">
      <w:pPr>
        <w:spacing w:line="360" w:lineRule="auto"/>
        <w:jc w:val="both"/>
        <w:rPr>
          <w:rFonts w:ascii="Arial" w:hAnsi="Arial"/>
          <w:sz w:val="6"/>
          <w:szCs w:val="6"/>
          <w:rtl/>
        </w:rPr>
      </w:pPr>
    </w:p>
    <w:p w14:paraId="6ACDB0E9" w14:textId="77777777" w:rsidR="009F4D2F" w:rsidRDefault="009F4D2F" w:rsidP="004E65FE">
      <w:pPr>
        <w:spacing w:line="360" w:lineRule="auto"/>
        <w:ind w:left="720" w:hanging="720"/>
        <w:jc w:val="both"/>
        <w:rPr>
          <w:rFonts w:ascii="Arial" w:hAnsi="Arial"/>
          <w:rtl/>
        </w:rPr>
      </w:pPr>
      <w:r>
        <w:rPr>
          <w:rFonts w:ascii="Arial" w:hAnsi="Arial"/>
          <w:rtl/>
        </w:rPr>
        <w:t>6.</w:t>
      </w:r>
      <w:r>
        <w:rPr>
          <w:rFonts w:ascii="Arial" w:hAnsi="Arial"/>
          <w:rtl/>
        </w:rPr>
        <w:tab/>
        <w:t xml:space="preserve">4 חודשים פסילה על תנאי למשך שנתיים מיום שחרורו ממאסר באם יעבור על כל עבירה לפי </w:t>
      </w:r>
      <w:hyperlink r:id="rId36" w:history="1">
        <w:r w:rsidR="00BB0261" w:rsidRPr="00BB0261">
          <w:rPr>
            <w:rFonts w:ascii="Arial" w:hAnsi="Arial"/>
            <w:color w:val="0000FF"/>
            <w:u w:val="single"/>
            <w:rtl/>
          </w:rPr>
          <w:t>פקודת הסמים המסוכנים</w:t>
        </w:r>
      </w:hyperlink>
      <w:r>
        <w:rPr>
          <w:rFonts w:ascii="Arial" w:hAnsi="Arial"/>
          <w:rtl/>
        </w:rPr>
        <w:t xml:space="preserve">. </w:t>
      </w:r>
    </w:p>
    <w:p w14:paraId="7008BAA0" w14:textId="77777777" w:rsidR="009F4D2F" w:rsidRDefault="009F4D2F" w:rsidP="003A7E80">
      <w:pPr>
        <w:spacing w:line="360" w:lineRule="auto"/>
        <w:jc w:val="both"/>
        <w:rPr>
          <w:rFonts w:ascii="Arial" w:hAnsi="Arial"/>
          <w:rtl/>
        </w:rPr>
      </w:pPr>
    </w:p>
    <w:p w14:paraId="19EC8031" w14:textId="77777777" w:rsidR="009F4D2F" w:rsidRPr="00E07356" w:rsidRDefault="009F4D2F" w:rsidP="003A7E80">
      <w:pPr>
        <w:spacing w:line="360" w:lineRule="auto"/>
        <w:jc w:val="both"/>
        <w:rPr>
          <w:rFonts w:ascii="Arial" w:hAnsi="Arial"/>
          <w:b/>
          <w:bCs/>
          <w:u w:val="single"/>
          <w:rtl/>
        </w:rPr>
      </w:pPr>
      <w:r w:rsidRPr="00E07356">
        <w:rPr>
          <w:rFonts w:ascii="Arial" w:hAnsi="Arial"/>
          <w:b/>
          <w:bCs/>
          <w:u w:val="single"/>
          <w:rtl/>
        </w:rPr>
        <w:t>שימת לב שב"ס כי מצבו של הנאשם מצדיק השגחה.יש להביאו בפני רופא שב"ס בהקדם האפשרי על מנת לאמוד את מצבו הנפשי.</w:t>
      </w:r>
    </w:p>
    <w:p w14:paraId="20FE9937" w14:textId="77777777" w:rsidR="009F4D2F" w:rsidRDefault="009F4D2F" w:rsidP="003A7E80">
      <w:pPr>
        <w:spacing w:line="360" w:lineRule="auto"/>
        <w:jc w:val="both"/>
        <w:rPr>
          <w:rFonts w:ascii="Arial" w:hAnsi="Arial"/>
          <w:rtl/>
        </w:rPr>
      </w:pPr>
    </w:p>
    <w:p w14:paraId="62489C69" w14:textId="77777777" w:rsidR="009F4D2F" w:rsidRDefault="009F4D2F" w:rsidP="003A7E80">
      <w:pPr>
        <w:spacing w:line="360" w:lineRule="auto"/>
        <w:jc w:val="both"/>
        <w:rPr>
          <w:rFonts w:ascii="Arial" w:hAnsi="Arial"/>
          <w:b/>
          <w:bCs/>
          <w:rtl/>
        </w:rPr>
      </w:pPr>
      <w:r>
        <w:rPr>
          <w:rFonts w:ascii="Arial" w:hAnsi="Arial"/>
          <w:b/>
          <w:bCs/>
          <w:rtl/>
        </w:rPr>
        <w:t xml:space="preserve">זכות הערעור לבית המשפט המחוזי בתוך 45 יום מהיום. </w:t>
      </w:r>
    </w:p>
    <w:p w14:paraId="16A54249" w14:textId="77777777" w:rsidR="009F4D2F" w:rsidRDefault="009F4D2F" w:rsidP="003A7E80">
      <w:pPr>
        <w:spacing w:line="360" w:lineRule="auto"/>
        <w:jc w:val="both"/>
        <w:rPr>
          <w:rtl/>
        </w:rPr>
      </w:pPr>
    </w:p>
    <w:p w14:paraId="5CECB1B3" w14:textId="77777777" w:rsidR="00BB0261" w:rsidRPr="00BB0261" w:rsidRDefault="00BB0261" w:rsidP="00BB0261">
      <w:pPr>
        <w:keepNext/>
        <w:spacing w:line="360" w:lineRule="auto"/>
        <w:rPr>
          <w:color w:val="000000"/>
          <w:sz w:val="22"/>
          <w:szCs w:val="22"/>
          <w:rtl/>
        </w:rPr>
      </w:pPr>
    </w:p>
    <w:p w14:paraId="7F6A0F4B" w14:textId="77777777" w:rsidR="00BB0261" w:rsidRDefault="00BB0261" w:rsidP="00BE2DA1">
      <w:pPr>
        <w:spacing w:line="360" w:lineRule="auto"/>
        <w:jc w:val="both"/>
        <w:rPr>
          <w:rtl/>
        </w:rPr>
      </w:pPr>
      <w:r w:rsidRPr="00BB0261">
        <w:rPr>
          <w:b/>
          <w:bCs/>
          <w:color w:val="FFFFFF"/>
          <w:sz w:val="2"/>
          <w:szCs w:val="2"/>
          <w:rtl/>
        </w:rPr>
        <w:t>5129371</w:t>
      </w:r>
      <w:r>
        <w:rPr>
          <w:b/>
          <w:bCs/>
          <w:rtl/>
        </w:rPr>
        <w:t xml:space="preserve">ניתנה והודעה היום כ"א אדר תשע"ג, 03/03/2013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B0261" w14:paraId="12CEEEE9" w14:textId="77777777">
        <w:trPr>
          <w:trHeight w:val="364"/>
          <w:jc w:val="right"/>
        </w:trPr>
        <w:tc>
          <w:tcPr>
            <w:tcW w:w="3708" w:type="dxa"/>
            <w:tcBorders>
              <w:bottom w:val="single" w:sz="4" w:space="0" w:color="auto"/>
            </w:tcBorders>
          </w:tcPr>
          <w:p w14:paraId="22D9A656" w14:textId="77777777" w:rsidR="00BB0261" w:rsidRPr="00E60FC4" w:rsidRDefault="00BB0261" w:rsidP="00BB0261">
            <w:pPr>
              <w:jc w:val="center"/>
              <w:rPr>
                <w:rFonts w:ascii="Times New Roman" w:hAnsi="Times New Roman" w:cs="Times New Roman"/>
              </w:rPr>
            </w:pPr>
            <w:r w:rsidRPr="00BB0261">
              <w:rPr>
                <w:rFonts w:ascii="Times New Roman" w:hAnsi="Times New Roman" w:cs="Times New Roman"/>
                <w:noProof/>
                <w:color w:val="FFFFFF"/>
                <w:sz w:val="2"/>
                <w:szCs w:val="2"/>
              </w:rPr>
              <w:t>54678313</w:t>
            </w:r>
          </w:p>
        </w:tc>
      </w:tr>
      <w:tr w:rsidR="00BB0261" w14:paraId="2BD23A79" w14:textId="77777777">
        <w:trPr>
          <w:trHeight w:val="415"/>
          <w:jc w:val="right"/>
        </w:trPr>
        <w:tc>
          <w:tcPr>
            <w:tcW w:w="3708" w:type="dxa"/>
            <w:tcBorders>
              <w:top w:val="single" w:sz="4" w:space="0" w:color="auto"/>
            </w:tcBorders>
          </w:tcPr>
          <w:p w14:paraId="27B026EE" w14:textId="77777777" w:rsidR="00BB0261" w:rsidRPr="00E60FC4" w:rsidRDefault="00BB0261" w:rsidP="00BB0261">
            <w:pPr>
              <w:jc w:val="center"/>
              <w:rPr>
                <w:rFonts w:ascii="Times New Roman" w:hAnsi="Times New Roman" w:hint="cs"/>
                <w:b/>
                <w:bCs/>
                <w:rtl/>
              </w:rPr>
            </w:pPr>
            <w:proofErr w:type="spellStart"/>
            <w:r w:rsidRPr="00E60FC4">
              <w:rPr>
                <w:rFonts w:ascii="Times New Roman" w:hAnsi="Times New Roman"/>
                <w:b/>
                <w:bCs/>
                <w:rtl/>
              </w:rPr>
              <w:t>אילניתאימבר</w:t>
            </w:r>
            <w:proofErr w:type="spellEnd"/>
            <w:r w:rsidRPr="00E60FC4">
              <w:rPr>
                <w:rFonts w:ascii="Times New Roman" w:hAnsi="Times New Roman"/>
                <w:b/>
                <w:bCs/>
                <w:rtl/>
              </w:rPr>
              <w:t>, שופטת</w:t>
            </w:r>
          </w:p>
        </w:tc>
      </w:tr>
    </w:tbl>
    <w:p w14:paraId="3B1A0EC5" w14:textId="77777777" w:rsidR="009F4D2F" w:rsidRPr="00BE2DA1" w:rsidRDefault="009F4D2F" w:rsidP="00BE2DA1">
      <w:pPr>
        <w:spacing w:line="360" w:lineRule="auto"/>
        <w:jc w:val="both"/>
        <w:rPr>
          <w:rtl/>
        </w:rPr>
      </w:pPr>
    </w:p>
    <w:p w14:paraId="71B57B19" w14:textId="77777777" w:rsidR="00BB0261" w:rsidRPr="00BB0261" w:rsidRDefault="009F4D2F" w:rsidP="00BB0261">
      <w:pPr>
        <w:rPr>
          <w:color w:val="000000"/>
        </w:rPr>
      </w:pPr>
      <w:r>
        <w:rPr>
          <w:rtl/>
        </w:rPr>
        <w:t>הוקלד</w:t>
      </w:r>
      <w:r w:rsidR="002A2DC8">
        <w:rPr>
          <w:rFonts w:hint="cs"/>
          <w:rtl/>
        </w:rPr>
        <w:t xml:space="preserve"> </w:t>
      </w:r>
      <w:r>
        <w:rPr>
          <w:rtl/>
        </w:rPr>
        <w:t>על</w:t>
      </w:r>
      <w:r w:rsidR="002A2DC8">
        <w:rPr>
          <w:rFonts w:hint="cs"/>
          <w:rtl/>
        </w:rPr>
        <w:t xml:space="preserve"> </w:t>
      </w:r>
      <w:r>
        <w:rPr>
          <w:rtl/>
        </w:rPr>
        <w:t>ידי</w:t>
      </w:r>
      <w:r w:rsidR="002A2DC8">
        <w:rPr>
          <w:rFonts w:hint="cs"/>
          <w:rtl/>
        </w:rPr>
        <w:t xml:space="preserve"> </w:t>
      </w:r>
      <w:r>
        <w:rPr>
          <w:rtl/>
        </w:rPr>
        <w:t>ערן</w:t>
      </w:r>
      <w:r w:rsidR="002A2DC8">
        <w:rPr>
          <w:rFonts w:hint="cs"/>
          <w:rtl/>
        </w:rPr>
        <w:t xml:space="preserve"> </w:t>
      </w:r>
      <w:proofErr w:type="spellStart"/>
      <w:r>
        <w:rPr>
          <w:rtl/>
        </w:rPr>
        <w:t>רבל</w:t>
      </w:r>
      <w:proofErr w:type="spellEnd"/>
    </w:p>
    <w:p w14:paraId="5A405EA0" w14:textId="77777777" w:rsidR="002A2DC8" w:rsidRDefault="002A2DC8" w:rsidP="00BB0261">
      <w:pPr>
        <w:rPr>
          <w:rFonts w:hint="cs"/>
          <w:color w:val="000000"/>
          <w:rtl/>
        </w:rPr>
      </w:pPr>
    </w:p>
    <w:p w14:paraId="727AF35E" w14:textId="77777777" w:rsidR="002A2DC8" w:rsidRPr="00BB0261" w:rsidRDefault="002A2DC8" w:rsidP="002A2DC8">
      <w:pPr>
        <w:keepNext/>
        <w:spacing w:line="360" w:lineRule="auto"/>
        <w:rPr>
          <w:color w:val="000000"/>
          <w:sz w:val="22"/>
          <w:szCs w:val="22"/>
          <w:rtl/>
        </w:rPr>
      </w:pPr>
      <w:r w:rsidRPr="00BB0261">
        <w:rPr>
          <w:color w:val="000000"/>
          <w:sz w:val="22"/>
          <w:szCs w:val="22"/>
          <w:rtl/>
        </w:rPr>
        <w:t>אילנית אימבר 54678313</w:t>
      </w:r>
    </w:p>
    <w:p w14:paraId="71D755C8" w14:textId="77777777" w:rsidR="00BB0261" w:rsidRDefault="00BB0261" w:rsidP="00BB0261">
      <w:r w:rsidRPr="00BB0261">
        <w:rPr>
          <w:color w:val="000000"/>
          <w:rtl/>
        </w:rPr>
        <w:t>נוסח מסמך זה כפוף לשינויי ניסוח ועריכה</w:t>
      </w:r>
    </w:p>
    <w:p w14:paraId="6D02C494" w14:textId="77777777" w:rsidR="00BB0261" w:rsidRDefault="00BB0261" w:rsidP="00BB0261">
      <w:pPr>
        <w:rPr>
          <w:rtl/>
        </w:rPr>
      </w:pPr>
    </w:p>
    <w:p w14:paraId="1E3C4366" w14:textId="77777777" w:rsidR="00BB0261" w:rsidRDefault="00BB0261" w:rsidP="00BB0261">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08F26D9C" w14:textId="77777777" w:rsidR="009F4D2F" w:rsidRPr="00BB0261" w:rsidRDefault="009F4D2F" w:rsidP="00BB0261">
      <w:pPr>
        <w:jc w:val="center"/>
        <w:rPr>
          <w:color w:val="0000FF"/>
          <w:u w:val="single"/>
        </w:rPr>
      </w:pPr>
    </w:p>
    <w:sectPr w:rsidR="009F4D2F" w:rsidRPr="00BB0261" w:rsidSect="00BB0261">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710CD" w14:textId="77777777" w:rsidR="00316586" w:rsidRDefault="00316586">
      <w:r>
        <w:separator/>
      </w:r>
    </w:p>
  </w:endnote>
  <w:endnote w:type="continuationSeparator" w:id="0">
    <w:p w14:paraId="31ABD39A" w14:textId="77777777" w:rsidR="00316586" w:rsidRDefault="0031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D5575" w14:textId="77777777" w:rsidR="000004A5" w:rsidRDefault="000004A5" w:rsidP="00BB026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26E44644" w14:textId="77777777" w:rsidR="000004A5" w:rsidRPr="00BB0261" w:rsidRDefault="000004A5" w:rsidP="00BB0261">
    <w:pPr>
      <w:pStyle w:val="a4"/>
      <w:pBdr>
        <w:top w:val="single" w:sz="4" w:space="1" w:color="auto"/>
        <w:between w:val="single" w:sz="4" w:space="0" w:color="auto"/>
      </w:pBdr>
      <w:spacing w:after="60"/>
      <w:jc w:val="center"/>
      <w:rPr>
        <w:rFonts w:ascii="FrankRuehl" w:hAnsi="FrankRuehl" w:cs="FrankRuehl"/>
        <w:color w:val="000000"/>
      </w:rPr>
    </w:pPr>
    <w:r w:rsidRPr="00BB02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786B5" w14:textId="77777777" w:rsidR="000004A5" w:rsidRDefault="000004A5" w:rsidP="00BB026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C23B0">
      <w:rPr>
        <w:rFonts w:ascii="FrankRuehl" w:hAnsi="FrankRuehl" w:cs="FrankRuehl"/>
        <w:noProof/>
        <w:rtl/>
      </w:rPr>
      <w:t>8</w:t>
    </w:r>
    <w:r>
      <w:rPr>
        <w:rFonts w:ascii="FrankRuehl" w:hAnsi="FrankRuehl" w:cs="FrankRuehl"/>
        <w:rtl/>
      </w:rPr>
      <w:fldChar w:fldCharType="end"/>
    </w:r>
  </w:p>
  <w:p w14:paraId="0F67843B" w14:textId="77777777" w:rsidR="000004A5" w:rsidRPr="00BB0261" w:rsidRDefault="000004A5" w:rsidP="00BB0261">
    <w:pPr>
      <w:pStyle w:val="a4"/>
      <w:pBdr>
        <w:top w:val="single" w:sz="4" w:space="1" w:color="auto"/>
        <w:between w:val="single" w:sz="4" w:space="0" w:color="auto"/>
      </w:pBdr>
      <w:spacing w:after="60"/>
      <w:jc w:val="center"/>
      <w:rPr>
        <w:rFonts w:ascii="FrankRuehl" w:hAnsi="FrankRuehl" w:cs="FrankRuehl" w:hint="cs"/>
        <w:color w:val="000000"/>
        <w:rtl/>
      </w:rPr>
    </w:pPr>
    <w:r w:rsidRPr="00BB0261">
      <w:rPr>
        <w:rFonts w:ascii="FrankRuehl" w:hAnsi="FrankRuehl" w:cs="FrankRuehl" w:hint="cs"/>
        <w:color w:val="000000"/>
      </w:rPr>
      <w:pict w14:anchorId="4BB66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023D3" w14:textId="77777777" w:rsidR="00316586" w:rsidRDefault="00316586">
      <w:r>
        <w:separator/>
      </w:r>
    </w:p>
  </w:footnote>
  <w:footnote w:type="continuationSeparator" w:id="0">
    <w:p w14:paraId="547E1D5A" w14:textId="77777777" w:rsidR="00316586" w:rsidRDefault="00316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3724F" w14:textId="77777777" w:rsidR="000004A5" w:rsidRPr="00BB0261" w:rsidRDefault="000004A5" w:rsidP="00BB0261">
    <w:pPr>
      <w:pStyle w:val="a3"/>
      <w:pBdr>
        <w:bottom w:val="single" w:sz="4" w:space="1" w:color="auto"/>
      </w:pBdr>
      <w:tabs>
        <w:tab w:val="clear" w:pos="4153"/>
        <w:tab w:val="clear" w:pos="8306"/>
        <w:tab w:val="right" w:pos="8311"/>
      </w:tabs>
      <w:spacing w:line="220" w:lineRule="exact"/>
      <w:rPr>
        <w:color w:val="000000"/>
        <w:sz w:val="22"/>
        <w:szCs w:val="22"/>
        <w:rtl/>
      </w:rPr>
    </w:pPr>
    <w:proofErr w:type="spellStart"/>
    <w:r>
      <w:rPr>
        <w:color w:val="000000"/>
        <w:sz w:val="22"/>
        <w:szCs w:val="22"/>
        <w:rtl/>
      </w:rPr>
      <w:t>תפ</w:t>
    </w:r>
    <w:proofErr w:type="spellEnd"/>
    <w:r>
      <w:rPr>
        <w:color w:val="000000"/>
        <w:sz w:val="22"/>
        <w:szCs w:val="22"/>
        <w:rtl/>
      </w:rPr>
      <w:t xml:space="preserve"> (</w:t>
    </w:r>
    <w:proofErr w:type="spellStart"/>
    <w:r>
      <w:rPr>
        <w:color w:val="000000"/>
        <w:sz w:val="22"/>
        <w:szCs w:val="22"/>
        <w:rtl/>
      </w:rPr>
      <w:t>נצ</w:t>
    </w:r>
    <w:proofErr w:type="spellEnd"/>
    <w:r>
      <w:rPr>
        <w:color w:val="000000"/>
        <w:sz w:val="22"/>
        <w:szCs w:val="22"/>
        <w:rtl/>
      </w:rPr>
      <w:t>') 34757-01-12</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96D17" w14:textId="77777777" w:rsidR="000004A5" w:rsidRPr="00BB0261" w:rsidRDefault="000004A5" w:rsidP="00BB0261">
    <w:pPr>
      <w:pStyle w:val="a3"/>
      <w:pBdr>
        <w:bottom w:val="single" w:sz="4" w:space="1" w:color="auto"/>
      </w:pBdr>
      <w:tabs>
        <w:tab w:val="clear" w:pos="4153"/>
        <w:tab w:val="clear" w:pos="8306"/>
        <w:tab w:val="right" w:pos="8311"/>
      </w:tabs>
      <w:spacing w:line="220" w:lineRule="exact"/>
      <w:rPr>
        <w:color w:val="000000"/>
        <w:sz w:val="22"/>
        <w:szCs w:val="22"/>
        <w:rtl/>
      </w:rPr>
    </w:pPr>
    <w:proofErr w:type="spellStart"/>
    <w:r>
      <w:rPr>
        <w:color w:val="000000"/>
        <w:sz w:val="22"/>
        <w:szCs w:val="22"/>
        <w:rtl/>
      </w:rPr>
      <w:t>תפ</w:t>
    </w:r>
    <w:proofErr w:type="spellEnd"/>
    <w:r>
      <w:rPr>
        <w:color w:val="000000"/>
        <w:sz w:val="22"/>
        <w:szCs w:val="22"/>
        <w:rtl/>
      </w:rPr>
      <w:t xml:space="preserve"> (</w:t>
    </w:r>
    <w:proofErr w:type="spellStart"/>
    <w:r>
      <w:rPr>
        <w:color w:val="000000"/>
        <w:sz w:val="22"/>
        <w:szCs w:val="22"/>
        <w:rtl/>
      </w:rPr>
      <w:t>נצ</w:t>
    </w:r>
    <w:proofErr w:type="spellEnd"/>
    <w:r>
      <w:rPr>
        <w:color w:val="000000"/>
        <w:sz w:val="22"/>
        <w:szCs w:val="22"/>
        <w:rtl/>
      </w:rPr>
      <w:t>') 34757-01-12</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6AE6B7B"/>
    <w:multiLevelType w:val="hybridMultilevel"/>
    <w:tmpl w:val="6F3A6D5A"/>
    <w:lvl w:ilvl="0" w:tplc="439886A2">
      <w:numFmt w:val="bullet"/>
      <w:lvlText w:val="-"/>
      <w:lvlJc w:val="left"/>
      <w:pPr>
        <w:ind w:left="720" w:hanging="360"/>
      </w:pPr>
      <w:rPr>
        <w:rFonts w:ascii="Calibri" w:eastAsia="Calibri" w:hAnsi="Calibri" w:cs="David"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166676105">
    <w:abstractNumId w:val="14"/>
  </w:num>
  <w:num w:numId="2" w16cid:durableId="435638195">
    <w:abstractNumId w:val="5"/>
  </w:num>
  <w:num w:numId="3" w16cid:durableId="978190453">
    <w:abstractNumId w:val="12"/>
  </w:num>
  <w:num w:numId="4" w16cid:durableId="1115948938">
    <w:abstractNumId w:val="11"/>
  </w:num>
  <w:num w:numId="5" w16cid:durableId="1708525814">
    <w:abstractNumId w:val="4"/>
  </w:num>
  <w:num w:numId="6" w16cid:durableId="1954050984">
    <w:abstractNumId w:val="6"/>
  </w:num>
  <w:num w:numId="7" w16cid:durableId="1468546040">
    <w:abstractNumId w:val="17"/>
  </w:num>
  <w:num w:numId="8" w16cid:durableId="1476684459">
    <w:abstractNumId w:val="0"/>
  </w:num>
  <w:num w:numId="9" w16cid:durableId="1750885205">
    <w:abstractNumId w:val="10"/>
  </w:num>
  <w:num w:numId="10" w16cid:durableId="87622133">
    <w:abstractNumId w:val="8"/>
  </w:num>
  <w:num w:numId="11" w16cid:durableId="869951693">
    <w:abstractNumId w:val="3"/>
  </w:num>
  <w:num w:numId="12" w16cid:durableId="1250653361">
    <w:abstractNumId w:val="16"/>
  </w:num>
  <w:num w:numId="13" w16cid:durableId="1791587972">
    <w:abstractNumId w:val="9"/>
  </w:num>
  <w:num w:numId="14" w16cid:durableId="1908178361">
    <w:abstractNumId w:val="2"/>
  </w:num>
  <w:num w:numId="15" w16cid:durableId="1967272923">
    <w:abstractNumId w:val="13"/>
  </w:num>
  <w:num w:numId="16" w16cid:durableId="379325991">
    <w:abstractNumId w:val="1"/>
  </w:num>
  <w:num w:numId="17" w16cid:durableId="332102030">
    <w:abstractNumId w:val="7"/>
  </w:num>
  <w:num w:numId="18" w16cid:durableId="787409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4757-01-12"/>
    <w:docVar w:name="caseId" w:val="70039227"/>
    <w:docVar w:name="deriveClass" w:val="NGCS.Protocol.BL.Client.ProtocolBLClientCriminal"/>
    <w:docVar w:name="firstPageNumber" w:val="1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ëåìí"/>
    <w:docVar w:name="privellegeId" w:val="3"/>
    <w:docVar w:name="protocolId" w:val="3635385"/>
    <w:docVar w:name="releaseSign" w:val="0"/>
    <w:docVar w:name="sittingDateTime" w:val="03/03/2013 10:30     "/>
    <w:docVar w:name="sittingId" w:val="74823440"/>
    <w:docVar w:name="sittingTypeId" w:val="2"/>
    <w:docVar w:name="WordClientAssemblyName" w:val="NGCS.Protocol.BL.Client"/>
    <w:docVar w:name="WordClientClassName" w:val="NGCS.Templates.UIP.TemplateWordClient"/>
  </w:docVars>
  <w:rsids>
    <w:rsidRoot w:val="00EB1D9D"/>
    <w:rsid w:val="000004A5"/>
    <w:rsid w:val="0000736A"/>
    <w:rsid w:val="00014F26"/>
    <w:rsid w:val="00016C3B"/>
    <w:rsid w:val="00030486"/>
    <w:rsid w:val="00032A68"/>
    <w:rsid w:val="00053909"/>
    <w:rsid w:val="000555F0"/>
    <w:rsid w:val="000608AB"/>
    <w:rsid w:val="000C3D5F"/>
    <w:rsid w:val="000C7499"/>
    <w:rsid w:val="000E37CD"/>
    <w:rsid w:val="00100FD9"/>
    <w:rsid w:val="00114BA4"/>
    <w:rsid w:val="00115104"/>
    <w:rsid w:val="00123203"/>
    <w:rsid w:val="00131385"/>
    <w:rsid w:val="0013445D"/>
    <w:rsid w:val="0014434E"/>
    <w:rsid w:val="001526FC"/>
    <w:rsid w:val="0016231B"/>
    <w:rsid w:val="00163279"/>
    <w:rsid w:val="001666D0"/>
    <w:rsid w:val="001705B8"/>
    <w:rsid w:val="00174C6C"/>
    <w:rsid w:val="00192360"/>
    <w:rsid w:val="001A63A4"/>
    <w:rsid w:val="00227A15"/>
    <w:rsid w:val="00237F64"/>
    <w:rsid w:val="00245547"/>
    <w:rsid w:val="00291305"/>
    <w:rsid w:val="00296868"/>
    <w:rsid w:val="002A1C94"/>
    <w:rsid w:val="002A2DC8"/>
    <w:rsid w:val="002A7FBC"/>
    <w:rsid w:val="002D11EA"/>
    <w:rsid w:val="002E24EE"/>
    <w:rsid w:val="002F455E"/>
    <w:rsid w:val="002F5A82"/>
    <w:rsid w:val="00316586"/>
    <w:rsid w:val="00347ACF"/>
    <w:rsid w:val="00376FB7"/>
    <w:rsid w:val="003A7E80"/>
    <w:rsid w:val="003F6EFC"/>
    <w:rsid w:val="00442655"/>
    <w:rsid w:val="00443C21"/>
    <w:rsid w:val="004473FE"/>
    <w:rsid w:val="004752AF"/>
    <w:rsid w:val="00486DEE"/>
    <w:rsid w:val="00494C2F"/>
    <w:rsid w:val="004C0CA7"/>
    <w:rsid w:val="004C66EE"/>
    <w:rsid w:val="004E65FE"/>
    <w:rsid w:val="004F1808"/>
    <w:rsid w:val="004F4B4A"/>
    <w:rsid w:val="00532A9F"/>
    <w:rsid w:val="00551705"/>
    <w:rsid w:val="00560CB1"/>
    <w:rsid w:val="00564AAC"/>
    <w:rsid w:val="00577444"/>
    <w:rsid w:val="00594F89"/>
    <w:rsid w:val="005C2BEB"/>
    <w:rsid w:val="005D47FD"/>
    <w:rsid w:val="005D6FD9"/>
    <w:rsid w:val="00600219"/>
    <w:rsid w:val="006110FD"/>
    <w:rsid w:val="0061652F"/>
    <w:rsid w:val="00620E3F"/>
    <w:rsid w:val="00631222"/>
    <w:rsid w:val="00633BA9"/>
    <w:rsid w:val="006424C7"/>
    <w:rsid w:val="00694804"/>
    <w:rsid w:val="00696B93"/>
    <w:rsid w:val="006A4D3D"/>
    <w:rsid w:val="006B30B4"/>
    <w:rsid w:val="006B32DB"/>
    <w:rsid w:val="006B639D"/>
    <w:rsid w:val="006D72D1"/>
    <w:rsid w:val="006F0E02"/>
    <w:rsid w:val="006F44BA"/>
    <w:rsid w:val="00701199"/>
    <w:rsid w:val="0072137C"/>
    <w:rsid w:val="0072556E"/>
    <w:rsid w:val="007378FE"/>
    <w:rsid w:val="00770F7C"/>
    <w:rsid w:val="007C0D02"/>
    <w:rsid w:val="007C131D"/>
    <w:rsid w:val="007D71BF"/>
    <w:rsid w:val="007F4959"/>
    <w:rsid w:val="008100EF"/>
    <w:rsid w:val="008138D1"/>
    <w:rsid w:val="0083639D"/>
    <w:rsid w:val="0085535F"/>
    <w:rsid w:val="0088228B"/>
    <w:rsid w:val="008D15AB"/>
    <w:rsid w:val="008D7896"/>
    <w:rsid w:val="0092065E"/>
    <w:rsid w:val="00934BA1"/>
    <w:rsid w:val="0094049A"/>
    <w:rsid w:val="0094092B"/>
    <w:rsid w:val="00943E5D"/>
    <w:rsid w:val="009521C7"/>
    <w:rsid w:val="00966439"/>
    <w:rsid w:val="00981B67"/>
    <w:rsid w:val="009857E4"/>
    <w:rsid w:val="009D7934"/>
    <w:rsid w:val="009E6E0A"/>
    <w:rsid w:val="009F4D2F"/>
    <w:rsid w:val="00A0045B"/>
    <w:rsid w:val="00A009B6"/>
    <w:rsid w:val="00A04531"/>
    <w:rsid w:val="00A05AD0"/>
    <w:rsid w:val="00A25356"/>
    <w:rsid w:val="00A67D1A"/>
    <w:rsid w:val="00A74D4F"/>
    <w:rsid w:val="00A910BF"/>
    <w:rsid w:val="00A9385E"/>
    <w:rsid w:val="00AA14AC"/>
    <w:rsid w:val="00AA3C0A"/>
    <w:rsid w:val="00AC3331"/>
    <w:rsid w:val="00AD1366"/>
    <w:rsid w:val="00B30584"/>
    <w:rsid w:val="00B352A1"/>
    <w:rsid w:val="00B47310"/>
    <w:rsid w:val="00B6568E"/>
    <w:rsid w:val="00B66459"/>
    <w:rsid w:val="00BA3141"/>
    <w:rsid w:val="00BB0261"/>
    <w:rsid w:val="00BD13A0"/>
    <w:rsid w:val="00BE2DA1"/>
    <w:rsid w:val="00BF00B0"/>
    <w:rsid w:val="00C2058C"/>
    <w:rsid w:val="00C44CC3"/>
    <w:rsid w:val="00C471D1"/>
    <w:rsid w:val="00C50277"/>
    <w:rsid w:val="00C518EA"/>
    <w:rsid w:val="00C53097"/>
    <w:rsid w:val="00C8613B"/>
    <w:rsid w:val="00CA022A"/>
    <w:rsid w:val="00CB6B34"/>
    <w:rsid w:val="00D0615F"/>
    <w:rsid w:val="00D2736A"/>
    <w:rsid w:val="00D41DC9"/>
    <w:rsid w:val="00D86190"/>
    <w:rsid w:val="00D90A5D"/>
    <w:rsid w:val="00DC23B0"/>
    <w:rsid w:val="00DC4526"/>
    <w:rsid w:val="00DD34F9"/>
    <w:rsid w:val="00DD4926"/>
    <w:rsid w:val="00DF69AA"/>
    <w:rsid w:val="00E06ED4"/>
    <w:rsid w:val="00E07356"/>
    <w:rsid w:val="00E37759"/>
    <w:rsid w:val="00E4581A"/>
    <w:rsid w:val="00E60FC4"/>
    <w:rsid w:val="00E620AB"/>
    <w:rsid w:val="00E634BF"/>
    <w:rsid w:val="00E63E05"/>
    <w:rsid w:val="00E679BB"/>
    <w:rsid w:val="00E929C0"/>
    <w:rsid w:val="00EA4A46"/>
    <w:rsid w:val="00EB1D9D"/>
    <w:rsid w:val="00F06FCE"/>
    <w:rsid w:val="00F24B4E"/>
    <w:rsid w:val="00F3529A"/>
    <w:rsid w:val="00F53B32"/>
    <w:rsid w:val="00F758BA"/>
    <w:rsid w:val="00F861D3"/>
    <w:rsid w:val="00F91F7D"/>
    <w:rsid w:val="00FA2034"/>
    <w:rsid w:val="00FA308E"/>
    <w:rsid w:val="00FA615F"/>
    <w:rsid w:val="00FC1EC1"/>
    <w:rsid w:val="00FC59B1"/>
    <w:rsid w:val="00FD12D3"/>
    <w:rsid w:val="00FF1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442A60E2"/>
  <w15:chartTrackingRefBased/>
  <w15:docId w15:val="{D24C22A6-F685-4D03-98B8-AC940CCA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טבלת רשת"/>
    <w:basedOn w:val="a1"/>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basedOn w:val="a0"/>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basedOn w:val="a0"/>
    <w:rPr>
      <w:rFonts w:cs="Times New Roman"/>
    </w:rPr>
  </w:style>
  <w:style w:type="character" w:styleId="aa">
    <w:name w:val="line number"/>
    <w:basedOn w:val="a0"/>
    <w:rPr>
      <w:rFonts w:cs="Arial"/>
      <w:sz w:val="20"/>
      <w:szCs w:val="20"/>
    </w:rPr>
  </w:style>
  <w:style w:type="character" w:customStyle="1" w:styleId="TimesNewRomanTimesNewRoman">
    <w:name w:val="סגנון (לטיני) Times New Roman (עברית ושפות אחרות) Times New Roman..."/>
    <w:basedOn w:val="a0"/>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paragraph" w:customStyle="1" w:styleId="12">
    <w:name w:val="רגיל + ‏12 נק'"/>
    <w:aliases w:val="מיושר לשני הצדדים,מרווח בין שורות:  שורה וחצי"/>
    <w:basedOn w:val="a"/>
    <w:rsid w:val="00E929C0"/>
    <w:rPr>
      <w:rFonts w:ascii="Times New Roman" w:eastAsia="David" w:hAnsi="Times New Roman"/>
      <w:b/>
      <w:bCs/>
      <w:u w:val="single"/>
    </w:rPr>
  </w:style>
  <w:style w:type="character" w:styleId="Hyperlink">
    <w:name w:val="Hyperlink"/>
    <w:basedOn w:val="a0"/>
    <w:rsid w:val="00BB0261"/>
    <w:rPr>
      <w:color w:val="0000FF"/>
      <w:u w:val="single"/>
    </w:rPr>
  </w:style>
  <w:style w:type="paragraph" w:styleId="ab">
    <w:name w:val="List Paragraph"/>
    <w:basedOn w:val="a"/>
    <w:qFormat/>
    <w:rsid w:val="00D90A5D"/>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6.a" TargetMode="External"/><Relationship Id="rId18" Type="http://schemas.openxmlformats.org/officeDocument/2006/relationships/hyperlink" Target="http://www.nevo.co.il/law/70348/24.1" TargetMode="External"/><Relationship Id="rId26" Type="http://schemas.openxmlformats.org/officeDocument/2006/relationships/hyperlink" Target="http://www.nevo.co.il/law/72265/17" TargetMode="External"/><Relationship Id="rId39" Type="http://schemas.openxmlformats.org/officeDocument/2006/relationships/header" Target="header2.xml"/><Relationship Id="rId21" Type="http://schemas.openxmlformats.org/officeDocument/2006/relationships/hyperlink" Target="http://www.nevo.co.il/case/4022588" TargetMode="External"/><Relationship Id="rId34" Type="http://schemas.openxmlformats.org/officeDocument/2006/relationships/hyperlink" Target="http://www.nevo.co.il/law/70348/24.1"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nevo.co.il/law/72265/17" TargetMode="External"/><Relationship Id="rId20" Type="http://schemas.openxmlformats.org/officeDocument/2006/relationships/hyperlink" Target="http://www.nevo.co.il/law/4216/7.c" TargetMode="External"/><Relationship Id="rId29" Type="http://schemas.openxmlformats.org/officeDocument/2006/relationships/hyperlink" Target="http://www.nevo.co.il/links/psika/?link=&#1514;&#1508;%201239/07"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47.a" TargetMode="External"/><Relationship Id="rId32" Type="http://schemas.openxmlformats.org/officeDocument/2006/relationships/hyperlink" Target="http://www.nevo.co.il/case/5707464"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2265" TargetMode="External"/><Relationship Id="rId23" Type="http://schemas.openxmlformats.org/officeDocument/2006/relationships/hyperlink" Target="http://www.nevo.co.il/law/70301/384" TargetMode="External"/><Relationship Id="rId28" Type="http://schemas.openxmlformats.org/officeDocument/2006/relationships/hyperlink" Target="http://www.nevo.co.il/law/70301/384"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911975"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47.a" TargetMode="External"/><Relationship Id="rId22" Type="http://schemas.openxmlformats.org/officeDocument/2006/relationships/hyperlink" Target="http://www.nevo.co.il/law/70301/447.a" TargetMode="External"/><Relationship Id="rId27" Type="http://schemas.openxmlformats.org/officeDocument/2006/relationships/hyperlink" Target="http://www.nevo.co.il/law/70301/406.a" TargetMode="External"/><Relationship Id="rId30" Type="http://schemas.openxmlformats.org/officeDocument/2006/relationships/hyperlink" Target="http://www.nevo.co.il/links/psika/?link=&#1514;&#1508;%201239/07"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70348" TargetMode="External"/><Relationship Id="rId25" Type="http://schemas.openxmlformats.org/officeDocument/2006/relationships/hyperlink" Target="http://www.nevo.co.il/law/70301/384" TargetMode="External"/><Relationship Id="rId33" Type="http://schemas.openxmlformats.org/officeDocument/2006/relationships/hyperlink" Target="http://www.nevo.co.il/case/5738617"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2891</Words>
  <Characters>14456</Characters>
  <Application>Microsoft Office Word</Application>
  <DocSecurity>0</DocSecurity>
  <Lines>120</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17313</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5505088</vt:i4>
      </vt:variant>
      <vt:variant>
        <vt:i4>78</vt:i4>
      </vt:variant>
      <vt:variant>
        <vt:i4>0</vt:i4>
      </vt:variant>
      <vt:variant>
        <vt:i4>5</vt:i4>
      </vt:variant>
      <vt:variant>
        <vt:lpwstr>http://www.nevo.co.il/law/70348/24.1</vt:lpwstr>
      </vt:variant>
      <vt:variant>
        <vt:lpwstr/>
      </vt:variant>
      <vt:variant>
        <vt:i4>3604602</vt:i4>
      </vt:variant>
      <vt:variant>
        <vt:i4>75</vt:i4>
      </vt:variant>
      <vt:variant>
        <vt:i4>0</vt:i4>
      </vt:variant>
      <vt:variant>
        <vt:i4>5</vt:i4>
      </vt:variant>
      <vt:variant>
        <vt:lpwstr>http://www.nevo.co.il/case/5738617</vt:lpwstr>
      </vt:variant>
      <vt:variant>
        <vt:lpwstr/>
      </vt:variant>
      <vt:variant>
        <vt:i4>3473522</vt:i4>
      </vt:variant>
      <vt:variant>
        <vt:i4>72</vt:i4>
      </vt:variant>
      <vt:variant>
        <vt:i4>0</vt:i4>
      </vt:variant>
      <vt:variant>
        <vt:i4>5</vt:i4>
      </vt:variant>
      <vt:variant>
        <vt:lpwstr>http://www.nevo.co.il/case/5707464</vt:lpwstr>
      </vt:variant>
      <vt:variant>
        <vt:lpwstr/>
      </vt:variant>
      <vt:variant>
        <vt:i4>4128891</vt:i4>
      </vt:variant>
      <vt:variant>
        <vt:i4>69</vt:i4>
      </vt:variant>
      <vt:variant>
        <vt:i4>0</vt:i4>
      </vt:variant>
      <vt:variant>
        <vt:i4>5</vt:i4>
      </vt:variant>
      <vt:variant>
        <vt:lpwstr>http://www.nevo.co.il/case/2911975</vt:lpwstr>
      </vt:variant>
      <vt:variant>
        <vt:lpwstr/>
      </vt:variant>
      <vt:variant>
        <vt:i4>99550654</vt:i4>
      </vt:variant>
      <vt:variant>
        <vt:i4>66</vt:i4>
      </vt:variant>
      <vt:variant>
        <vt:i4>0</vt:i4>
      </vt:variant>
      <vt:variant>
        <vt:i4>5</vt:i4>
      </vt:variant>
      <vt:variant>
        <vt:lpwstr>http://www.nevo.co.il/links/psika/?link=תפ 1239/07</vt:lpwstr>
      </vt:variant>
      <vt:variant>
        <vt:lpwstr/>
      </vt:variant>
      <vt:variant>
        <vt:i4>99550654</vt:i4>
      </vt:variant>
      <vt:variant>
        <vt:i4>63</vt:i4>
      </vt:variant>
      <vt:variant>
        <vt:i4>0</vt:i4>
      </vt:variant>
      <vt:variant>
        <vt:i4>5</vt:i4>
      </vt:variant>
      <vt:variant>
        <vt:lpwstr>http://www.nevo.co.il/links/psika/?link=תפ 1239/07</vt:lpwstr>
      </vt:variant>
      <vt:variant>
        <vt:lpwstr/>
      </vt:variant>
      <vt:variant>
        <vt:i4>7143526</vt:i4>
      </vt:variant>
      <vt:variant>
        <vt:i4>60</vt:i4>
      </vt:variant>
      <vt:variant>
        <vt:i4>0</vt:i4>
      </vt:variant>
      <vt:variant>
        <vt:i4>5</vt:i4>
      </vt:variant>
      <vt:variant>
        <vt:lpwstr>http://www.nevo.co.il/law/70301/384</vt:lpwstr>
      </vt:variant>
      <vt:variant>
        <vt:lpwstr/>
      </vt:variant>
      <vt:variant>
        <vt:i4>4915287</vt:i4>
      </vt:variant>
      <vt:variant>
        <vt:i4>57</vt:i4>
      </vt:variant>
      <vt:variant>
        <vt:i4>0</vt:i4>
      </vt:variant>
      <vt:variant>
        <vt:i4>5</vt:i4>
      </vt:variant>
      <vt:variant>
        <vt:lpwstr>http://www.nevo.co.il/law/70301/406.a</vt:lpwstr>
      </vt:variant>
      <vt:variant>
        <vt:lpwstr/>
      </vt:variant>
      <vt:variant>
        <vt:i4>6684769</vt:i4>
      </vt:variant>
      <vt:variant>
        <vt:i4>54</vt:i4>
      </vt:variant>
      <vt:variant>
        <vt:i4>0</vt:i4>
      </vt:variant>
      <vt:variant>
        <vt:i4>5</vt:i4>
      </vt:variant>
      <vt:variant>
        <vt:lpwstr>http://www.nevo.co.il/law/72265/17</vt:lpwstr>
      </vt:variant>
      <vt:variant>
        <vt:lpwstr/>
      </vt:variant>
      <vt:variant>
        <vt:i4>7143526</vt:i4>
      </vt:variant>
      <vt:variant>
        <vt:i4>51</vt:i4>
      </vt:variant>
      <vt:variant>
        <vt:i4>0</vt:i4>
      </vt:variant>
      <vt:variant>
        <vt:i4>5</vt:i4>
      </vt:variant>
      <vt:variant>
        <vt:lpwstr>http://www.nevo.co.il/law/70301/384</vt:lpwstr>
      </vt:variant>
      <vt:variant>
        <vt:lpwstr/>
      </vt:variant>
      <vt:variant>
        <vt:i4>5177430</vt:i4>
      </vt:variant>
      <vt:variant>
        <vt:i4>48</vt:i4>
      </vt:variant>
      <vt:variant>
        <vt:i4>0</vt:i4>
      </vt:variant>
      <vt:variant>
        <vt:i4>5</vt:i4>
      </vt:variant>
      <vt:variant>
        <vt:lpwstr>http://www.nevo.co.il/law/70301/447.a</vt:lpwstr>
      </vt:variant>
      <vt:variant>
        <vt:lpwstr/>
      </vt:variant>
      <vt:variant>
        <vt:i4>7143526</vt:i4>
      </vt:variant>
      <vt:variant>
        <vt:i4>45</vt:i4>
      </vt:variant>
      <vt:variant>
        <vt:i4>0</vt:i4>
      </vt:variant>
      <vt:variant>
        <vt:i4>5</vt:i4>
      </vt:variant>
      <vt:variant>
        <vt:lpwstr>http://www.nevo.co.il/law/70301/384</vt:lpwstr>
      </vt:variant>
      <vt:variant>
        <vt:lpwstr/>
      </vt:variant>
      <vt:variant>
        <vt:i4>5177430</vt:i4>
      </vt:variant>
      <vt:variant>
        <vt:i4>42</vt:i4>
      </vt:variant>
      <vt:variant>
        <vt:i4>0</vt:i4>
      </vt:variant>
      <vt:variant>
        <vt:i4>5</vt:i4>
      </vt:variant>
      <vt:variant>
        <vt:lpwstr>http://www.nevo.co.il/law/70301/447.a</vt:lpwstr>
      </vt:variant>
      <vt:variant>
        <vt:lpwstr/>
      </vt:variant>
      <vt:variant>
        <vt:i4>3866750</vt:i4>
      </vt:variant>
      <vt:variant>
        <vt:i4>39</vt:i4>
      </vt:variant>
      <vt:variant>
        <vt:i4>0</vt:i4>
      </vt:variant>
      <vt:variant>
        <vt:i4>5</vt:i4>
      </vt:variant>
      <vt:variant>
        <vt:lpwstr>http://www.nevo.co.il/case/4022588</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5505088</vt:i4>
      </vt:variant>
      <vt:variant>
        <vt:i4>30</vt:i4>
      </vt:variant>
      <vt:variant>
        <vt:i4>0</vt:i4>
      </vt:variant>
      <vt:variant>
        <vt:i4>5</vt:i4>
      </vt:variant>
      <vt:variant>
        <vt:lpwstr>http://www.nevo.co.il/law/70348/24.1</vt:lpwstr>
      </vt:variant>
      <vt:variant>
        <vt:lpwstr/>
      </vt:variant>
      <vt:variant>
        <vt:i4>8257636</vt:i4>
      </vt:variant>
      <vt:variant>
        <vt:i4>27</vt:i4>
      </vt:variant>
      <vt:variant>
        <vt:i4>0</vt:i4>
      </vt:variant>
      <vt:variant>
        <vt:i4>5</vt:i4>
      </vt:variant>
      <vt:variant>
        <vt:lpwstr>http://www.nevo.co.il/law/70348</vt:lpwstr>
      </vt:variant>
      <vt:variant>
        <vt:lpwstr/>
      </vt:variant>
      <vt:variant>
        <vt:i4>6684769</vt:i4>
      </vt:variant>
      <vt:variant>
        <vt:i4>24</vt:i4>
      </vt:variant>
      <vt:variant>
        <vt:i4>0</vt:i4>
      </vt:variant>
      <vt:variant>
        <vt:i4>5</vt:i4>
      </vt:variant>
      <vt:variant>
        <vt:lpwstr>http://www.nevo.co.il/law/72265/17</vt:lpwstr>
      </vt:variant>
      <vt:variant>
        <vt:lpwstr/>
      </vt:variant>
      <vt:variant>
        <vt:i4>8257637</vt:i4>
      </vt:variant>
      <vt:variant>
        <vt:i4>21</vt:i4>
      </vt:variant>
      <vt:variant>
        <vt:i4>0</vt:i4>
      </vt:variant>
      <vt:variant>
        <vt:i4>5</vt:i4>
      </vt:variant>
      <vt:variant>
        <vt:lpwstr>http://www.nevo.co.il/law/72265</vt:lpwstr>
      </vt:variant>
      <vt:variant>
        <vt:lpwstr/>
      </vt:variant>
      <vt:variant>
        <vt:i4>5177430</vt:i4>
      </vt:variant>
      <vt:variant>
        <vt:i4>18</vt:i4>
      </vt:variant>
      <vt:variant>
        <vt:i4>0</vt:i4>
      </vt:variant>
      <vt:variant>
        <vt:i4>5</vt:i4>
      </vt:variant>
      <vt:variant>
        <vt:lpwstr>http://www.nevo.co.il/law/70301/447.a</vt:lpwstr>
      </vt:variant>
      <vt:variant>
        <vt:lpwstr/>
      </vt:variant>
      <vt:variant>
        <vt:i4>4915287</vt:i4>
      </vt:variant>
      <vt:variant>
        <vt:i4>15</vt:i4>
      </vt:variant>
      <vt:variant>
        <vt:i4>0</vt:i4>
      </vt:variant>
      <vt:variant>
        <vt:i4>5</vt:i4>
      </vt:variant>
      <vt:variant>
        <vt:lpwstr>http://www.nevo.co.il/law/70301/406.a</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2013-03-03T10:44:00Z</cp:lastPrinted>
  <dcterms:created xsi:type="dcterms:W3CDTF">2025-04-22T21:41:00Z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34757</vt:lpwstr>
  </property>
  <property fmtid="{D5CDD505-2E9C-101B-9397-08002B2CF9AE}" pid="6" name="NEWPARTB">
    <vt:lpwstr>01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מוטי לוי;רון בר זיו</vt:lpwstr>
  </property>
  <property fmtid="{D5CDD505-2E9C-101B-9397-08002B2CF9AE}" pid="11" name="JUDGE">
    <vt:lpwstr>אילנית אימבר</vt:lpwstr>
  </property>
  <property fmtid="{D5CDD505-2E9C-101B-9397-08002B2CF9AE}" pid="12" name="CITY">
    <vt:lpwstr>נצ'</vt:lpwstr>
  </property>
  <property fmtid="{D5CDD505-2E9C-101B-9397-08002B2CF9AE}" pid="13" name="DATE">
    <vt:lpwstr>20130303</vt:lpwstr>
  </property>
  <property fmtid="{D5CDD505-2E9C-101B-9397-08002B2CF9AE}" pid="14" name="TYPE_N_DATE">
    <vt:lpwstr>38020130303</vt:lpwstr>
  </property>
  <property fmtid="{D5CDD505-2E9C-101B-9397-08002B2CF9AE}" pid="15" name="WORDNUMPAGES">
    <vt:lpwstr>8</vt:lpwstr>
  </property>
  <property fmtid="{D5CDD505-2E9C-101B-9397-08002B2CF9AE}" pid="16" name="TYPE_ABS_DATE">
    <vt:lpwstr>380120130303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8994;</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שיקולים</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נגד קשישים</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20130310</vt:lpwstr>
  </property>
  <property fmtid="{D5CDD505-2E9C-101B-9397-08002B2CF9AE}" pid="70" name="CASESLISTTMP1">
    <vt:lpwstr>4022588;2911975;5707464;5738617</vt:lpwstr>
  </property>
  <property fmtid="{D5CDD505-2E9C-101B-9397-08002B2CF9AE}" pid="71" name="CASENOTES1">
    <vt:lpwstr>ProcID=209&amp;PartA=1239&amp;PartC=07</vt:lpwstr>
  </property>
  <property fmtid="{D5CDD505-2E9C-101B-9397-08002B2CF9AE}" pid="72" name="LAWLISTTMP1">
    <vt:lpwstr>4216/007.a;007.c</vt:lpwstr>
  </property>
  <property fmtid="{D5CDD505-2E9C-101B-9397-08002B2CF9AE}" pid="73" name="LAWLISTTMP2">
    <vt:lpwstr>70301/447.a:2;384;406.a</vt:lpwstr>
  </property>
  <property fmtid="{D5CDD505-2E9C-101B-9397-08002B2CF9AE}" pid="74" name="LAWLISTTMP3">
    <vt:lpwstr>72265/017</vt:lpwstr>
  </property>
  <property fmtid="{D5CDD505-2E9C-101B-9397-08002B2CF9AE}" pid="75" name="LAWLISTTMP4">
    <vt:lpwstr>70348/024.1</vt:lpwstr>
  </property>
</Properties>
</file>