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9A5622" w:rsidRPr="00F707B5" w14:paraId="02D4A6F9" w14:textId="77777777">
        <w:trPr>
          <w:trHeight w:hRule="exact" w:val="418"/>
          <w:jc w:val="center"/>
        </w:trPr>
        <w:tc>
          <w:tcPr>
            <w:tcW w:w="8721" w:type="dxa"/>
            <w:gridSpan w:val="2"/>
          </w:tcPr>
          <w:p w14:paraId="239E1692" w14:textId="77777777" w:rsidR="009A5622" w:rsidRPr="00F707B5" w:rsidRDefault="00F707B5">
            <w:pPr>
              <w:pStyle w:val="a3"/>
              <w:jc w:val="center"/>
              <w:rPr>
                <w:rFonts w:ascii="Tahoma" w:hAnsi="Tahoma" w:cs="Tahoma"/>
                <w:color w:val="000080"/>
                <w:rtl/>
              </w:rPr>
            </w:pPr>
            <w:bookmarkStart w:id="0" w:name="FirstLawyer"/>
            <w:bookmarkStart w:id="1" w:name="LastJudge"/>
            <w:r w:rsidRPr="00F707B5">
              <w:rPr>
                <w:rFonts w:ascii="Tahoma" w:hAnsi="Tahoma" w:cs="Tahoma"/>
                <w:b/>
                <w:bCs/>
                <w:color w:val="000080"/>
                <w:rtl/>
              </w:rPr>
              <w:t>בית משפט השלום בכפר סבא</w:t>
            </w:r>
          </w:p>
        </w:tc>
      </w:tr>
      <w:tr w:rsidR="009A5622" w:rsidRPr="00F707B5" w14:paraId="24F6DF2D" w14:textId="77777777">
        <w:trPr>
          <w:trHeight w:val="337"/>
          <w:jc w:val="center"/>
        </w:trPr>
        <w:tc>
          <w:tcPr>
            <w:tcW w:w="5049" w:type="dxa"/>
          </w:tcPr>
          <w:p w14:paraId="33166052" w14:textId="77777777" w:rsidR="009A5622" w:rsidRPr="00F707B5" w:rsidRDefault="00F707B5">
            <w:pPr>
              <w:rPr>
                <w:rFonts w:cs="FrankRuehl"/>
                <w:sz w:val="28"/>
                <w:szCs w:val="28"/>
                <w:rtl/>
              </w:rPr>
            </w:pPr>
            <w:r w:rsidRPr="00F707B5">
              <w:rPr>
                <w:rFonts w:cs="FrankRuehl"/>
                <w:sz w:val="28"/>
                <w:szCs w:val="28"/>
                <w:rtl/>
              </w:rPr>
              <w:t>ת"פ</w:t>
            </w:r>
            <w:r w:rsidRPr="00F707B5">
              <w:rPr>
                <w:rFonts w:cs="FrankRuehl" w:hint="cs"/>
                <w:sz w:val="28"/>
                <w:szCs w:val="28"/>
                <w:rtl/>
              </w:rPr>
              <w:t xml:space="preserve"> </w:t>
            </w:r>
            <w:r w:rsidRPr="00F707B5">
              <w:rPr>
                <w:rFonts w:cs="FrankRuehl"/>
                <w:sz w:val="28"/>
                <w:szCs w:val="28"/>
                <w:rtl/>
              </w:rPr>
              <w:t>47430-02-12</w:t>
            </w:r>
            <w:r w:rsidRPr="00F707B5">
              <w:rPr>
                <w:rFonts w:cs="FrankRuehl" w:hint="cs"/>
                <w:sz w:val="28"/>
                <w:szCs w:val="28"/>
                <w:rtl/>
              </w:rPr>
              <w:t xml:space="preserve"> </w:t>
            </w:r>
            <w:r w:rsidRPr="00F707B5">
              <w:rPr>
                <w:rFonts w:cs="FrankRuehl"/>
                <w:sz w:val="28"/>
                <w:szCs w:val="28"/>
                <w:rtl/>
              </w:rPr>
              <w:t>מדינת ישראל נ' אל גרבלי</w:t>
            </w:r>
          </w:p>
          <w:p w14:paraId="7C79F6AA" w14:textId="77777777" w:rsidR="009A5622" w:rsidRPr="00F707B5" w:rsidRDefault="009A5622">
            <w:pPr>
              <w:pStyle w:val="a3"/>
              <w:rPr>
                <w:rFonts w:cs="FrankRuehl"/>
                <w:sz w:val="28"/>
                <w:szCs w:val="28"/>
                <w:rtl/>
              </w:rPr>
            </w:pPr>
          </w:p>
          <w:p w14:paraId="6DF8D689" w14:textId="77777777" w:rsidR="009A5622" w:rsidRPr="00F707B5" w:rsidRDefault="009A5622"/>
        </w:tc>
        <w:tc>
          <w:tcPr>
            <w:tcW w:w="3672" w:type="dxa"/>
          </w:tcPr>
          <w:p w14:paraId="7E4B2C7E" w14:textId="77777777" w:rsidR="009A5622" w:rsidRPr="00F707B5" w:rsidRDefault="00F707B5">
            <w:pPr>
              <w:pStyle w:val="a3"/>
              <w:jc w:val="right"/>
              <w:rPr>
                <w:rFonts w:cs="FrankRuehl"/>
                <w:sz w:val="28"/>
                <w:szCs w:val="28"/>
                <w:rtl/>
              </w:rPr>
            </w:pPr>
            <w:r w:rsidRPr="00F707B5">
              <w:rPr>
                <w:rFonts w:cs="FrankRuehl" w:hint="cs"/>
                <w:sz w:val="28"/>
                <w:szCs w:val="28"/>
                <w:rtl/>
              </w:rPr>
              <w:t>3 אפריל</w:t>
            </w:r>
            <w:r w:rsidRPr="00F707B5">
              <w:rPr>
                <w:rFonts w:cs="FrankRuehl"/>
                <w:sz w:val="28"/>
                <w:szCs w:val="28"/>
                <w:rtl/>
              </w:rPr>
              <w:t xml:space="preserve"> 2013</w:t>
            </w:r>
          </w:p>
        </w:tc>
      </w:tr>
    </w:tbl>
    <w:p w14:paraId="2DDC8F80" w14:textId="77777777" w:rsidR="009A5622" w:rsidRPr="00F707B5" w:rsidRDefault="00F707B5">
      <w:pPr>
        <w:pStyle w:val="a3"/>
        <w:rPr>
          <w:rtl/>
        </w:rPr>
      </w:pPr>
      <w:r w:rsidRPr="00F707B5">
        <w:rPr>
          <w:rFonts w:hint="cs"/>
          <w:rtl/>
        </w:rPr>
        <w:t xml:space="preserve"> </w:t>
      </w:r>
    </w:p>
    <w:p w14:paraId="0179E64A" w14:textId="77777777" w:rsidR="009A5622" w:rsidRPr="00F707B5" w:rsidRDefault="009A562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A5622" w:rsidRPr="00F707B5" w14:paraId="3AC8E3E8" w14:textId="77777777">
        <w:trPr>
          <w:gridAfter w:val="1"/>
          <w:wAfter w:w="3771" w:type="dxa"/>
          <w:trHeight w:val="295"/>
          <w:jc w:val="center"/>
        </w:trPr>
        <w:tc>
          <w:tcPr>
            <w:tcW w:w="5049" w:type="dxa"/>
            <w:gridSpan w:val="2"/>
            <w:tcBorders>
              <w:top w:val="nil"/>
              <w:left w:val="nil"/>
              <w:bottom w:val="nil"/>
              <w:right w:val="nil"/>
            </w:tcBorders>
          </w:tcPr>
          <w:p w14:paraId="3C844E9E" w14:textId="77777777" w:rsidR="009A5622" w:rsidRPr="00F707B5" w:rsidRDefault="009A5622">
            <w:pPr>
              <w:jc w:val="right"/>
              <w:rPr>
                <w:rFonts w:ascii="Arial" w:hAnsi="Arial" w:cs="FrankRuehl"/>
                <w:sz w:val="28"/>
                <w:szCs w:val="28"/>
                <w:rtl/>
              </w:rPr>
            </w:pPr>
          </w:p>
        </w:tc>
      </w:tr>
      <w:tr w:rsidR="009A5622" w:rsidRPr="00F707B5" w14:paraId="49ED8C9B" w14:textId="77777777">
        <w:trPr>
          <w:trHeight w:val="295"/>
          <w:jc w:val="center"/>
        </w:trPr>
        <w:tc>
          <w:tcPr>
            <w:tcW w:w="923" w:type="dxa"/>
            <w:tcBorders>
              <w:top w:val="nil"/>
              <w:left w:val="nil"/>
              <w:bottom w:val="nil"/>
              <w:right w:val="nil"/>
            </w:tcBorders>
          </w:tcPr>
          <w:p w14:paraId="47DC1EC9" w14:textId="77777777" w:rsidR="009A5622" w:rsidRPr="00F707B5" w:rsidRDefault="00F707B5">
            <w:pPr>
              <w:jc w:val="both"/>
              <w:rPr>
                <w:rFonts w:ascii="Arial" w:hAnsi="Arial" w:cs="FrankRuehl"/>
                <w:sz w:val="28"/>
                <w:szCs w:val="28"/>
              </w:rPr>
            </w:pPr>
            <w:r w:rsidRPr="00F707B5">
              <w:rPr>
                <w:rFonts w:ascii="Arial" w:hAnsi="Arial" w:cs="FrankRuehl" w:hint="cs"/>
                <w:sz w:val="28"/>
                <w:szCs w:val="28"/>
                <w:rtl/>
              </w:rPr>
              <w:t>ב</w:t>
            </w:r>
            <w:r w:rsidRPr="00F707B5">
              <w:rPr>
                <w:rFonts w:ascii="Arial" w:hAnsi="Arial" w:cs="FrankRuehl"/>
                <w:sz w:val="28"/>
                <w:szCs w:val="28"/>
                <w:rtl/>
              </w:rPr>
              <w:t xml:space="preserve">פני </w:t>
            </w:r>
          </w:p>
        </w:tc>
        <w:tc>
          <w:tcPr>
            <w:tcW w:w="7897" w:type="dxa"/>
            <w:gridSpan w:val="2"/>
            <w:tcBorders>
              <w:top w:val="nil"/>
              <w:left w:val="nil"/>
              <w:bottom w:val="nil"/>
              <w:right w:val="nil"/>
            </w:tcBorders>
          </w:tcPr>
          <w:p w14:paraId="6295E740" w14:textId="77777777" w:rsidR="009A5622" w:rsidRPr="00F707B5" w:rsidRDefault="00F707B5">
            <w:pPr>
              <w:rPr>
                <w:rFonts w:ascii="Arial" w:hAnsi="Arial"/>
                <w:b/>
                <w:bCs/>
                <w:rtl/>
              </w:rPr>
            </w:pPr>
            <w:r w:rsidRPr="00F707B5">
              <w:rPr>
                <w:rFonts w:ascii="Arial" w:hAnsi="Arial" w:hint="cs"/>
                <w:b/>
                <w:bCs/>
                <w:rtl/>
              </w:rPr>
              <w:t>כב' ה</w:t>
            </w:r>
            <w:r w:rsidRPr="00F707B5">
              <w:rPr>
                <w:rFonts w:hint="cs"/>
                <w:rtl/>
              </w:rPr>
              <w:t>שופטת</w:t>
            </w:r>
            <w:r w:rsidRPr="00F707B5">
              <w:rPr>
                <w:rFonts w:ascii="Arial" w:hAnsi="Arial" w:hint="cs"/>
                <w:b/>
                <w:bCs/>
                <w:rtl/>
              </w:rPr>
              <w:t xml:space="preserve">  </w:t>
            </w:r>
            <w:r w:rsidRPr="00F707B5">
              <w:rPr>
                <w:rFonts w:hint="cs"/>
                <w:rtl/>
              </w:rPr>
              <w:t>דנה מרשק מרום</w:t>
            </w:r>
          </w:p>
          <w:p w14:paraId="2BD5611C" w14:textId="77777777" w:rsidR="009A5622" w:rsidRPr="00F707B5" w:rsidRDefault="009A5622">
            <w:pPr>
              <w:rPr>
                <w:rtl/>
              </w:rPr>
            </w:pPr>
          </w:p>
          <w:p w14:paraId="33FB475D" w14:textId="77777777" w:rsidR="009A5622" w:rsidRPr="00F707B5" w:rsidRDefault="009A5622">
            <w:pPr>
              <w:jc w:val="both"/>
              <w:rPr>
                <w:rFonts w:ascii="Arial" w:hAnsi="Arial" w:cs="FrankRuehl"/>
                <w:sz w:val="28"/>
                <w:szCs w:val="28"/>
              </w:rPr>
            </w:pPr>
          </w:p>
        </w:tc>
      </w:tr>
      <w:tr w:rsidR="009A5622" w:rsidRPr="00F707B5" w14:paraId="29761625" w14:textId="77777777">
        <w:trPr>
          <w:trHeight w:val="355"/>
          <w:jc w:val="center"/>
        </w:trPr>
        <w:tc>
          <w:tcPr>
            <w:tcW w:w="923" w:type="dxa"/>
            <w:tcBorders>
              <w:top w:val="nil"/>
              <w:left w:val="nil"/>
              <w:bottom w:val="nil"/>
              <w:right w:val="nil"/>
            </w:tcBorders>
          </w:tcPr>
          <w:p w14:paraId="3937FDA3" w14:textId="77777777" w:rsidR="009A5622" w:rsidRPr="00F707B5" w:rsidRDefault="009A5622">
            <w:pPr>
              <w:jc w:val="both"/>
              <w:rPr>
                <w:rFonts w:ascii="Arial" w:hAnsi="Arial" w:cs="FrankRuehl"/>
                <w:sz w:val="28"/>
                <w:szCs w:val="28"/>
                <w:rtl/>
              </w:rPr>
            </w:pPr>
          </w:p>
          <w:p w14:paraId="340A1C33" w14:textId="77777777" w:rsidR="009A5622" w:rsidRPr="00F707B5" w:rsidRDefault="009A5622">
            <w:pPr>
              <w:jc w:val="both"/>
              <w:rPr>
                <w:rFonts w:ascii="Arial" w:hAnsi="Arial" w:cs="FrankRuehl"/>
                <w:sz w:val="28"/>
                <w:szCs w:val="28"/>
              </w:rPr>
            </w:pPr>
          </w:p>
        </w:tc>
        <w:tc>
          <w:tcPr>
            <w:tcW w:w="4126" w:type="dxa"/>
            <w:tcBorders>
              <w:top w:val="nil"/>
              <w:left w:val="nil"/>
              <w:bottom w:val="nil"/>
              <w:right w:val="nil"/>
            </w:tcBorders>
          </w:tcPr>
          <w:p w14:paraId="02E89D08" w14:textId="77777777" w:rsidR="009A5622" w:rsidRPr="00F707B5" w:rsidRDefault="00F707B5">
            <w:r w:rsidRPr="00F707B5">
              <w:rPr>
                <w:rFonts w:hint="cs"/>
                <w:rtl/>
              </w:rPr>
              <w:t>מדינת ישראל ע"י עו"ד צדיק וינוביץ'</w:t>
            </w:r>
          </w:p>
        </w:tc>
        <w:tc>
          <w:tcPr>
            <w:tcW w:w="3771" w:type="dxa"/>
            <w:tcBorders>
              <w:top w:val="nil"/>
              <w:left w:val="nil"/>
              <w:bottom w:val="nil"/>
              <w:right w:val="nil"/>
            </w:tcBorders>
          </w:tcPr>
          <w:p w14:paraId="30DD00D7" w14:textId="77777777" w:rsidR="009A5622" w:rsidRPr="00F707B5" w:rsidRDefault="009A5622">
            <w:pPr>
              <w:jc w:val="both"/>
              <w:rPr>
                <w:rFonts w:ascii="Arial" w:hAnsi="Arial" w:cs="FrankRuehl"/>
                <w:sz w:val="28"/>
                <w:szCs w:val="28"/>
              </w:rPr>
            </w:pPr>
          </w:p>
        </w:tc>
      </w:tr>
      <w:tr w:rsidR="009A5622" w:rsidRPr="00F707B5" w14:paraId="49E49E2E" w14:textId="77777777">
        <w:trPr>
          <w:trHeight w:val="355"/>
          <w:jc w:val="center"/>
        </w:trPr>
        <w:tc>
          <w:tcPr>
            <w:tcW w:w="923" w:type="dxa"/>
            <w:tcBorders>
              <w:top w:val="nil"/>
              <w:left w:val="nil"/>
              <w:bottom w:val="nil"/>
              <w:right w:val="nil"/>
            </w:tcBorders>
          </w:tcPr>
          <w:p w14:paraId="323C5259" w14:textId="77777777" w:rsidR="009A5622" w:rsidRPr="00F707B5" w:rsidRDefault="009A5622">
            <w:pPr>
              <w:jc w:val="both"/>
              <w:rPr>
                <w:rFonts w:ascii="Arial" w:hAnsi="Arial" w:cs="FrankRuehl"/>
                <w:sz w:val="28"/>
                <w:szCs w:val="28"/>
                <w:rtl/>
              </w:rPr>
            </w:pPr>
            <w:bookmarkStart w:id="2" w:name="FirstAppellant" w:colFirst="0" w:colLast="1"/>
          </w:p>
        </w:tc>
        <w:tc>
          <w:tcPr>
            <w:tcW w:w="4126" w:type="dxa"/>
            <w:tcBorders>
              <w:top w:val="nil"/>
              <w:left w:val="nil"/>
              <w:bottom w:val="nil"/>
              <w:right w:val="nil"/>
            </w:tcBorders>
          </w:tcPr>
          <w:p w14:paraId="4F2FF00E" w14:textId="77777777" w:rsidR="009A5622" w:rsidRPr="00F707B5" w:rsidRDefault="009A5622">
            <w:pPr>
              <w:jc w:val="both"/>
              <w:rPr>
                <w:rtl/>
              </w:rPr>
            </w:pPr>
          </w:p>
        </w:tc>
        <w:tc>
          <w:tcPr>
            <w:tcW w:w="3771" w:type="dxa"/>
            <w:tcBorders>
              <w:top w:val="nil"/>
              <w:left w:val="nil"/>
              <w:bottom w:val="nil"/>
              <w:right w:val="nil"/>
            </w:tcBorders>
          </w:tcPr>
          <w:p w14:paraId="7D192D1D" w14:textId="77777777" w:rsidR="009A5622" w:rsidRPr="00F707B5" w:rsidRDefault="00F707B5">
            <w:pPr>
              <w:jc w:val="right"/>
              <w:rPr>
                <w:rFonts w:ascii="Arial" w:hAnsi="Arial" w:cs="FrankRuehl"/>
                <w:sz w:val="28"/>
                <w:szCs w:val="28"/>
                <w:rtl/>
              </w:rPr>
            </w:pPr>
            <w:r w:rsidRPr="00F707B5">
              <w:rPr>
                <w:rFonts w:ascii="Arial" w:hAnsi="Arial" w:cs="FrankRuehl" w:hint="cs"/>
                <w:sz w:val="28"/>
                <w:szCs w:val="28"/>
                <w:rtl/>
              </w:rPr>
              <w:t>ה</w:t>
            </w:r>
            <w:r w:rsidRPr="00F707B5">
              <w:rPr>
                <w:rFonts w:hint="cs"/>
                <w:rtl/>
              </w:rPr>
              <w:t xml:space="preserve">מאשימה </w:t>
            </w:r>
          </w:p>
        </w:tc>
      </w:tr>
      <w:tr w:rsidR="009A5622" w:rsidRPr="00F707B5" w14:paraId="4110C522" w14:textId="77777777">
        <w:trPr>
          <w:trHeight w:val="355"/>
          <w:jc w:val="center"/>
        </w:trPr>
        <w:tc>
          <w:tcPr>
            <w:tcW w:w="923" w:type="dxa"/>
            <w:tcBorders>
              <w:top w:val="nil"/>
              <w:left w:val="nil"/>
              <w:bottom w:val="nil"/>
              <w:right w:val="nil"/>
            </w:tcBorders>
          </w:tcPr>
          <w:p w14:paraId="6295333C" w14:textId="77777777" w:rsidR="009A5622" w:rsidRPr="00F707B5" w:rsidRDefault="009A5622">
            <w:pPr>
              <w:jc w:val="both"/>
              <w:rPr>
                <w:rFonts w:ascii="Arial" w:hAnsi="Arial" w:cs="FrankRuehl"/>
                <w:sz w:val="28"/>
                <w:szCs w:val="28"/>
                <w:rtl/>
              </w:rPr>
            </w:pPr>
          </w:p>
        </w:tc>
        <w:tc>
          <w:tcPr>
            <w:tcW w:w="7897" w:type="dxa"/>
            <w:gridSpan w:val="2"/>
            <w:tcBorders>
              <w:top w:val="nil"/>
              <w:left w:val="nil"/>
              <w:bottom w:val="nil"/>
              <w:right w:val="nil"/>
            </w:tcBorders>
          </w:tcPr>
          <w:p w14:paraId="10DB6D8D" w14:textId="77777777" w:rsidR="009A5622" w:rsidRPr="00F707B5" w:rsidRDefault="009A5622">
            <w:pPr>
              <w:jc w:val="center"/>
              <w:rPr>
                <w:rFonts w:ascii="Arial" w:hAnsi="Arial" w:cs="FrankRuehl"/>
                <w:b/>
                <w:bCs/>
                <w:sz w:val="28"/>
                <w:szCs w:val="28"/>
                <w:rtl/>
              </w:rPr>
            </w:pPr>
          </w:p>
          <w:p w14:paraId="4D066B26" w14:textId="77777777" w:rsidR="009A5622" w:rsidRPr="00F707B5" w:rsidRDefault="00F707B5">
            <w:pPr>
              <w:jc w:val="center"/>
              <w:rPr>
                <w:rFonts w:ascii="Arial" w:hAnsi="Arial" w:cs="FrankRuehl"/>
                <w:b/>
                <w:bCs/>
                <w:sz w:val="28"/>
                <w:szCs w:val="28"/>
                <w:rtl/>
              </w:rPr>
            </w:pPr>
            <w:r w:rsidRPr="00F707B5">
              <w:rPr>
                <w:rFonts w:ascii="Arial" w:hAnsi="Arial" w:cs="FrankRuehl"/>
                <w:b/>
                <w:bCs/>
                <w:sz w:val="28"/>
                <w:szCs w:val="28"/>
                <w:rtl/>
              </w:rPr>
              <w:t>נגד</w:t>
            </w:r>
          </w:p>
          <w:p w14:paraId="0A49821A" w14:textId="77777777" w:rsidR="009A5622" w:rsidRPr="00F707B5" w:rsidRDefault="009A5622">
            <w:pPr>
              <w:jc w:val="both"/>
              <w:rPr>
                <w:rFonts w:ascii="Arial" w:hAnsi="Arial" w:cs="FrankRuehl"/>
                <w:sz w:val="28"/>
                <w:szCs w:val="28"/>
              </w:rPr>
            </w:pPr>
          </w:p>
        </w:tc>
      </w:tr>
      <w:bookmarkEnd w:id="2"/>
      <w:tr w:rsidR="009A5622" w:rsidRPr="00F707B5" w14:paraId="33D2A97A" w14:textId="77777777">
        <w:trPr>
          <w:trHeight w:val="355"/>
          <w:jc w:val="center"/>
        </w:trPr>
        <w:tc>
          <w:tcPr>
            <w:tcW w:w="923" w:type="dxa"/>
            <w:tcBorders>
              <w:top w:val="nil"/>
              <w:left w:val="nil"/>
              <w:bottom w:val="nil"/>
              <w:right w:val="nil"/>
            </w:tcBorders>
          </w:tcPr>
          <w:p w14:paraId="3B679134" w14:textId="77777777" w:rsidR="009A5622" w:rsidRPr="00F707B5" w:rsidRDefault="009A5622">
            <w:pPr>
              <w:rPr>
                <w:rFonts w:ascii="Arial" w:hAnsi="Arial" w:cs="FrankRuehl"/>
                <w:sz w:val="28"/>
                <w:szCs w:val="28"/>
                <w:rtl/>
              </w:rPr>
            </w:pPr>
          </w:p>
        </w:tc>
        <w:tc>
          <w:tcPr>
            <w:tcW w:w="4126" w:type="dxa"/>
            <w:tcBorders>
              <w:top w:val="nil"/>
              <w:left w:val="nil"/>
              <w:bottom w:val="nil"/>
              <w:right w:val="nil"/>
            </w:tcBorders>
          </w:tcPr>
          <w:p w14:paraId="0F3A484B" w14:textId="77777777" w:rsidR="009A5622" w:rsidRPr="00F707B5" w:rsidRDefault="00F707B5">
            <w:pPr>
              <w:rPr>
                <w:rtl/>
              </w:rPr>
            </w:pPr>
            <w:r w:rsidRPr="00F707B5">
              <w:rPr>
                <w:rFonts w:hint="cs"/>
                <w:rtl/>
              </w:rPr>
              <w:t>משה ארמנד אל גרבלי בעצמו וע"י עו"ד כשכאש</w:t>
            </w:r>
          </w:p>
        </w:tc>
        <w:tc>
          <w:tcPr>
            <w:tcW w:w="3771" w:type="dxa"/>
            <w:tcBorders>
              <w:top w:val="nil"/>
              <w:left w:val="nil"/>
              <w:bottom w:val="nil"/>
              <w:right w:val="nil"/>
            </w:tcBorders>
          </w:tcPr>
          <w:p w14:paraId="49F414E6" w14:textId="77777777" w:rsidR="009A5622" w:rsidRPr="00F707B5" w:rsidRDefault="009A5622">
            <w:pPr>
              <w:jc w:val="right"/>
              <w:rPr>
                <w:rFonts w:ascii="Arial" w:hAnsi="Arial" w:cs="FrankRuehl"/>
                <w:sz w:val="28"/>
                <w:szCs w:val="28"/>
              </w:rPr>
            </w:pPr>
          </w:p>
        </w:tc>
      </w:tr>
      <w:tr w:rsidR="009A5622" w:rsidRPr="00F707B5" w14:paraId="70DD600B" w14:textId="77777777">
        <w:trPr>
          <w:trHeight w:val="355"/>
          <w:jc w:val="center"/>
        </w:trPr>
        <w:tc>
          <w:tcPr>
            <w:tcW w:w="923" w:type="dxa"/>
            <w:tcBorders>
              <w:top w:val="nil"/>
              <w:left w:val="nil"/>
              <w:bottom w:val="nil"/>
              <w:right w:val="nil"/>
            </w:tcBorders>
          </w:tcPr>
          <w:p w14:paraId="33BC72B4" w14:textId="77777777" w:rsidR="009A5622" w:rsidRPr="00F707B5" w:rsidRDefault="009A5622">
            <w:pPr>
              <w:jc w:val="both"/>
              <w:rPr>
                <w:rFonts w:ascii="Arial" w:hAnsi="Arial" w:cs="FrankRuehl"/>
                <w:sz w:val="28"/>
                <w:szCs w:val="28"/>
                <w:rtl/>
              </w:rPr>
            </w:pPr>
          </w:p>
        </w:tc>
        <w:tc>
          <w:tcPr>
            <w:tcW w:w="4126" w:type="dxa"/>
            <w:tcBorders>
              <w:top w:val="nil"/>
              <w:left w:val="nil"/>
              <w:bottom w:val="nil"/>
              <w:right w:val="nil"/>
            </w:tcBorders>
          </w:tcPr>
          <w:p w14:paraId="5F8944DF" w14:textId="77777777" w:rsidR="009A5622" w:rsidRPr="00F707B5" w:rsidRDefault="009A5622">
            <w:pPr>
              <w:jc w:val="both"/>
              <w:rPr>
                <w:rtl/>
              </w:rPr>
            </w:pPr>
          </w:p>
        </w:tc>
        <w:tc>
          <w:tcPr>
            <w:tcW w:w="3771" w:type="dxa"/>
            <w:tcBorders>
              <w:top w:val="nil"/>
              <w:left w:val="nil"/>
              <w:bottom w:val="nil"/>
              <w:right w:val="nil"/>
            </w:tcBorders>
          </w:tcPr>
          <w:p w14:paraId="302404EA" w14:textId="77777777" w:rsidR="009A5622" w:rsidRPr="00F707B5" w:rsidRDefault="00F707B5">
            <w:pPr>
              <w:jc w:val="right"/>
              <w:rPr>
                <w:rFonts w:ascii="Arial" w:hAnsi="Arial" w:cs="FrankRuehl"/>
                <w:sz w:val="28"/>
                <w:szCs w:val="28"/>
              </w:rPr>
            </w:pPr>
            <w:r w:rsidRPr="00F707B5">
              <w:rPr>
                <w:rFonts w:ascii="Arial" w:hAnsi="Arial" w:cs="FrankRuehl" w:hint="cs"/>
                <w:sz w:val="28"/>
                <w:szCs w:val="28"/>
                <w:rtl/>
              </w:rPr>
              <w:t>ה</w:t>
            </w:r>
            <w:r w:rsidRPr="00F707B5">
              <w:rPr>
                <w:rFonts w:hint="cs"/>
                <w:rtl/>
              </w:rPr>
              <w:t xml:space="preserve">נאשם </w:t>
            </w:r>
          </w:p>
        </w:tc>
      </w:tr>
    </w:tbl>
    <w:p w14:paraId="77BA7A6E" w14:textId="77777777" w:rsidR="009A5622" w:rsidRPr="00F707B5" w:rsidRDefault="009A562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5622" w14:paraId="03189CDA" w14:textId="77777777">
        <w:trPr>
          <w:trHeight w:val="355"/>
          <w:jc w:val="center"/>
        </w:trPr>
        <w:tc>
          <w:tcPr>
            <w:tcW w:w="8820" w:type="dxa"/>
            <w:tcBorders>
              <w:top w:val="nil"/>
              <w:left w:val="nil"/>
              <w:bottom w:val="nil"/>
              <w:right w:val="nil"/>
            </w:tcBorders>
          </w:tcPr>
          <w:p w14:paraId="47F7D8A7" w14:textId="77777777" w:rsidR="00F707B5" w:rsidRPr="00F707B5" w:rsidRDefault="00F707B5">
            <w:pPr>
              <w:jc w:val="center"/>
              <w:rPr>
                <w:rFonts w:ascii="Arial" w:hAnsi="Arial" w:cs="FrankRuehl"/>
                <w:b/>
                <w:bCs/>
                <w:sz w:val="32"/>
                <w:szCs w:val="32"/>
                <w:rtl/>
              </w:rPr>
            </w:pPr>
          </w:p>
          <w:p w14:paraId="0A3F60E7" w14:textId="77777777" w:rsidR="00F707B5" w:rsidRPr="00F707B5" w:rsidRDefault="00F707B5" w:rsidP="00F707B5">
            <w:pPr>
              <w:jc w:val="center"/>
              <w:rPr>
                <w:rFonts w:ascii="Arial" w:hAnsi="Arial" w:cs="FrankRuehl"/>
                <w:b/>
                <w:bCs/>
                <w:sz w:val="32"/>
                <w:szCs w:val="32"/>
                <w:u w:val="single"/>
                <w:rtl/>
              </w:rPr>
            </w:pPr>
            <w:bookmarkStart w:id="3" w:name="PsakDin"/>
            <w:r w:rsidRPr="00F707B5">
              <w:rPr>
                <w:rFonts w:ascii="Arial" w:hAnsi="Arial" w:cs="FrankRuehl"/>
                <w:b/>
                <w:bCs/>
                <w:sz w:val="32"/>
                <w:szCs w:val="32"/>
                <w:u w:val="single"/>
                <w:rtl/>
              </w:rPr>
              <w:t>גזר דין</w:t>
            </w:r>
          </w:p>
          <w:bookmarkEnd w:id="3"/>
          <w:p w14:paraId="3C75366A" w14:textId="77777777" w:rsidR="009A5622" w:rsidRDefault="009A5622">
            <w:pPr>
              <w:jc w:val="center"/>
              <w:rPr>
                <w:rFonts w:ascii="Arial" w:hAnsi="Arial" w:cs="FrankRuehl"/>
                <w:sz w:val="32"/>
                <w:szCs w:val="32"/>
                <w:u w:val="single"/>
                <w:rtl/>
              </w:rPr>
            </w:pPr>
          </w:p>
          <w:p w14:paraId="77B558B2" w14:textId="77777777" w:rsidR="009A5622" w:rsidRDefault="009A5622">
            <w:pPr>
              <w:jc w:val="center"/>
              <w:rPr>
                <w:rFonts w:ascii="Arial" w:hAnsi="Arial" w:cs="FrankRuehl"/>
                <w:sz w:val="32"/>
                <w:szCs w:val="32"/>
                <w:u w:val="single"/>
                <w:rtl/>
              </w:rPr>
            </w:pPr>
          </w:p>
        </w:tc>
      </w:tr>
      <w:bookmarkEnd w:id="0"/>
      <w:bookmarkEnd w:id="1"/>
    </w:tbl>
    <w:p w14:paraId="62461828" w14:textId="77777777" w:rsidR="009A5622" w:rsidRDefault="009A5622">
      <w:pPr>
        <w:rPr>
          <w:rFonts w:ascii="Arial" w:hAnsi="Arial"/>
          <w:rtl/>
        </w:rPr>
      </w:pPr>
    </w:p>
    <w:p w14:paraId="3619A2E1" w14:textId="77777777" w:rsidR="009A5622" w:rsidRDefault="00F707B5">
      <w:pPr>
        <w:spacing w:line="360" w:lineRule="auto"/>
        <w:ind w:left="720" w:hanging="720"/>
        <w:jc w:val="both"/>
        <w:rPr>
          <w:rFonts w:ascii="Calibri" w:eastAsia="Calibri" w:hAnsi="Calibri"/>
        </w:rPr>
      </w:pPr>
      <w:r>
        <w:rPr>
          <w:rFonts w:ascii="Calibri" w:eastAsia="Calibri" w:hAnsi="Calibri" w:hint="cs"/>
          <w:rtl/>
        </w:rPr>
        <w:t>1.</w:t>
      </w:r>
      <w:r>
        <w:rPr>
          <w:rFonts w:ascii="Calibri" w:eastAsia="Calibri" w:hAnsi="Calibri" w:hint="cs"/>
          <w:rtl/>
        </w:rPr>
        <w:tab/>
      </w:r>
      <w:bookmarkStart w:id="4" w:name="ABSTRACT_START"/>
      <w:bookmarkEnd w:id="4"/>
      <w:r>
        <w:rPr>
          <w:rFonts w:ascii="Calibri" w:eastAsia="Calibri" w:hAnsi="Calibri" w:hint="cs"/>
          <w:rtl/>
        </w:rPr>
        <w:t>הנאשם הורשע על יסוד הודאתו, במסגרת הסדר חלקי, בביצוע עבירות של החזקת סם שלא לצריכה עצמית לפי סעיף 7(א)(ג) רישא ל</w:t>
      </w:r>
      <w:hyperlink r:id="rId6" w:history="1">
        <w:r w:rsidRPr="00F707B5">
          <w:rPr>
            <w:rFonts w:ascii="Calibri" w:eastAsia="Calibri" w:hAnsi="Calibri" w:hint="cs"/>
            <w:color w:val="0000FF"/>
            <w:u w:val="single"/>
            <w:rtl/>
          </w:rPr>
          <w:t>פקודת</w:t>
        </w:r>
        <w:r w:rsidRPr="00F707B5">
          <w:rPr>
            <w:rFonts w:ascii="Calibri" w:eastAsia="Calibri" w:hAnsi="Calibri"/>
            <w:color w:val="0000FF"/>
            <w:u w:val="single"/>
            <w:rtl/>
          </w:rPr>
          <w:t xml:space="preserve"> </w:t>
        </w:r>
        <w:r w:rsidRPr="00F707B5">
          <w:rPr>
            <w:rFonts w:ascii="Calibri" w:eastAsia="Calibri" w:hAnsi="Calibri" w:hint="cs"/>
            <w:color w:val="0000FF"/>
            <w:u w:val="single"/>
            <w:rtl/>
          </w:rPr>
          <w:t>הסמים</w:t>
        </w:r>
        <w:r w:rsidRPr="00F707B5">
          <w:rPr>
            <w:rFonts w:ascii="Calibri" w:eastAsia="Calibri" w:hAnsi="Calibri"/>
            <w:color w:val="0000FF"/>
            <w:u w:val="single"/>
            <w:rtl/>
          </w:rPr>
          <w:t xml:space="preserve"> </w:t>
        </w:r>
        <w:r w:rsidRPr="00F707B5">
          <w:rPr>
            <w:rFonts w:ascii="Calibri" w:eastAsia="Calibri" w:hAnsi="Calibri" w:hint="cs"/>
            <w:color w:val="0000FF"/>
            <w:u w:val="single"/>
            <w:rtl/>
          </w:rPr>
          <w:t>המסוכנים</w:t>
        </w:r>
      </w:hyperlink>
      <w:r>
        <w:rPr>
          <w:rFonts w:ascii="Calibri" w:eastAsia="Calibri" w:hAnsi="Calibri" w:hint="cs"/>
          <w:rtl/>
        </w:rPr>
        <w:t xml:space="preserve"> [נוסח חדש], התשל"ג – 1973 [להלן: פקודת הסמים] ואספקת סם לפי סעיף 13 לפקודת הסמים. כתב-האישום מתאר אירועים שהתרחשו במהלך חודש פברואר 2012, בעת שהנאשם שימש כמורה תורני לעצורים באגף 8 בכלא רימונים. בעקבות פנייה של אחד העצורים אליו, יצר אחר קשר עם הנאשם ביום 19.2.12 וביקש להעביר לנאשם חפצים עבור אותו עצור. הנאשם נפגש עם האחר בבית-קפה בנתניה, והאחר העביר לנאשם שקית ניילון שהכילה חשיש במשקל של 4.86 גרם במטרה להעביר את השקית לעצור. למחרת, נתפס הנאשם בכניסתו לכלא כשהשקית ברשותו.</w:t>
      </w:r>
    </w:p>
    <w:p w14:paraId="108A753F" w14:textId="77777777" w:rsidR="009A5622" w:rsidRDefault="00F707B5">
      <w:pPr>
        <w:spacing w:line="360" w:lineRule="auto"/>
        <w:ind w:left="720" w:hanging="720"/>
        <w:jc w:val="both"/>
        <w:rPr>
          <w:rFonts w:ascii="Calibri" w:eastAsia="Calibri" w:hAnsi="Calibri"/>
          <w:rtl/>
        </w:rPr>
      </w:pPr>
      <w:bookmarkStart w:id="5" w:name="ABSTRACT_END"/>
      <w:bookmarkEnd w:id="5"/>
      <w:r>
        <w:rPr>
          <w:rFonts w:ascii="Calibri" w:eastAsia="Calibri" w:hAnsi="Calibri" w:hint="cs"/>
          <w:rtl/>
        </w:rPr>
        <w:tab/>
      </w:r>
    </w:p>
    <w:p w14:paraId="2AC0ADC2"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2.</w:t>
      </w:r>
      <w:r>
        <w:rPr>
          <w:rFonts w:ascii="Calibri" w:eastAsia="Calibri" w:hAnsi="Calibri" w:hint="cs"/>
          <w:rtl/>
        </w:rPr>
        <w:tab/>
        <w:t xml:space="preserve">במסגרת ההסדר, נשלח הנאשם לקבלת תסקיר בעניינו. התסקיר מיום 31.1.13 מתאר את נסיבותיו האישיות והמשפחתיות של הנאשם, שהינו כבן 51, נשוי בשלישית ואב לשני ילדים, הצעיר סובל ממחלת לב ולפני מספר חודשים עבר צנתור. הנאשם חזר בתשובה לפני כ – 20 שנה ומאז מנהל אורח חיים דתי, כשעל רקע בעיות בריאות שונות התקיים במשך </w:t>
      </w:r>
      <w:r>
        <w:rPr>
          <w:rFonts w:ascii="Calibri" w:eastAsia="Calibri" w:hAnsi="Calibri" w:hint="cs"/>
          <w:rtl/>
        </w:rPr>
        <w:lastRenderedPageBreak/>
        <w:t xml:space="preserve">שנים מקצבת נכות וממשכורתה של אשתו ונהג לבלות את הימים בלימודים בישיבות שונות עד להשתלבותו בעבודה בבית-המעצר. </w:t>
      </w:r>
    </w:p>
    <w:p w14:paraId="3CD6A3F9"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ab/>
        <w:t>הנאשם לקח אחריות מלאה על ביצוע העבירה ותיאר, כי במסגרת הקשר עם העצורים התקשה לסרב לבקשותיהם להעביר עבורם דברים, וכן תיאר מצוקה כלכלית של משפחתו באותה התקופה. כיום חש בושה ואכזבה מכך שפגע במערכת בה עבד ובאמון שניתן בו ותיאר תחושת הקלה שנתפס מאחר וחשש שמצבו היה מתדרדר.</w:t>
      </w:r>
    </w:p>
    <w:p w14:paraId="115D5FA7"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ab/>
        <w:t>על רקע מצוקתו האישית ובעקבות ביצוע העבירה פנה הנאשם מיוזמתו, לפני כשנה, למטפלת פרטית, עימה משתף הוא פעולה באופן מלא ומגיע לשיחות שבועיות חרף קשייו הכלכליים.</w:t>
      </w:r>
    </w:p>
    <w:p w14:paraId="462B3520"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ab/>
        <w:t>קצינת המבחן התרשמה, כי לצד תפקוד תקין במשפחתו, קיימים קשיים רגשיים הבאים לידי ביטוי בדימוי עצמי נמוך, צורך בתחושת שייכות וקבלה מצד הסובבים אותו, וקושי להתמודד במצבים חברתיים מורכבים. עוד התרשמה, כי אין המדובר באדם בעל דפוסי התנהגות שוליים, כשהטיפול הפרטי מסייע לו בקשיים עימם מתמודד.</w:t>
      </w:r>
    </w:p>
    <w:p w14:paraId="02A1F3F5"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ab/>
        <w:t>לאור כל האמור לעיל, ממליצה קצינת המבחן להטיל צו מבחן למשך שנה לצד ענישה חינוכית של של"צ בהיקף של 250 שעות.</w:t>
      </w:r>
    </w:p>
    <w:p w14:paraId="1A189DA0" w14:textId="77777777" w:rsidR="009A5622" w:rsidRDefault="009A5622">
      <w:pPr>
        <w:spacing w:line="360" w:lineRule="auto"/>
        <w:ind w:left="720" w:hanging="720"/>
        <w:jc w:val="both"/>
        <w:rPr>
          <w:rFonts w:ascii="Calibri" w:eastAsia="Calibri" w:hAnsi="Calibri"/>
          <w:rtl/>
        </w:rPr>
      </w:pPr>
    </w:p>
    <w:p w14:paraId="3D63CFA1"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3.</w:t>
      </w:r>
      <w:r>
        <w:rPr>
          <w:rFonts w:ascii="Calibri" w:eastAsia="Calibri" w:hAnsi="Calibri" w:hint="cs"/>
          <w:rtl/>
        </w:rPr>
        <w:tab/>
        <w:t>ב"כ המאשימה הדגישה את חומרת העבירות אותן ביצע הנאשם, אשר ניצל את תפקידו ואת האמון שניתן בו, והפך לחלק משרשרת הפצת הסם. עם זאת ציינה, כי המדובר בנאשם ללא עבר פלילי והפנתה לתכנים החיוביים המופיעים בתסקיר. באיזון בין כל האינטרסים, עותרת ב"כ המאשימה להטיל על הנאשם עונש של מאסר שירוצה בדרך של עבודות שירות, מאסר על תנאי, קנס ופסילה על תנאי.</w:t>
      </w:r>
    </w:p>
    <w:p w14:paraId="39212F6D"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ab/>
        <w:t>יצויין, כי הנאשם נשלח לממונה על עבודות השירות לאחר שמיעת הטיעונים לעונש ונמצא, כי הוא כשיר לרצות את עונשו בדרך זו.</w:t>
      </w:r>
    </w:p>
    <w:p w14:paraId="49253D91" w14:textId="77777777" w:rsidR="009A5622" w:rsidRDefault="009A5622">
      <w:pPr>
        <w:spacing w:line="360" w:lineRule="auto"/>
        <w:ind w:left="720" w:hanging="720"/>
        <w:jc w:val="both"/>
        <w:rPr>
          <w:rFonts w:ascii="Calibri" w:eastAsia="Calibri" w:hAnsi="Calibri"/>
          <w:rtl/>
        </w:rPr>
      </w:pPr>
    </w:p>
    <w:p w14:paraId="34B7BCC4"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4.</w:t>
      </w:r>
      <w:r>
        <w:rPr>
          <w:rFonts w:ascii="Calibri" w:eastAsia="Calibri" w:hAnsi="Calibri" w:hint="cs"/>
          <w:rtl/>
        </w:rPr>
        <w:tab/>
        <w:t>הסניגורית ניסתה לשכנע כי יש מקום לאמץ את המלצת שירות המבחן. הדגישה את הלחץ האישי בו היה נתון הנאשם, העובדה שפנה לטפול מיוזמתו ושיתוף הפעולה המלא שלו עם רשויות אכיפה החוק למרות הסיכון לו ולמשפחתו. כן הזכירה, כי הנאשם סובל מבעיות בריאותיות וכיום בנו הקטן סובל מבעיה קרדיולוגית, וכן תיארה את הבושה שחש לאחר שהמקרה נחשף בקרב משפחתו ובקהילת מקום מגוריו. פירטה, כי הנאשם היה במעצר מיום 20.2.12 – 26.2.12, ולאחר מכן שהה בתנאי "מעצר בית מלא" במשך כארבעה חודשים ללא כל הפרות. לטעמה, האינטרס הציבורי לא ייפגע באם תוטל הנאשם ענישה חינוכית של של"צ בהיקף גבוה לצד צו מבחן לו זקוק הנאשם.</w:t>
      </w:r>
    </w:p>
    <w:p w14:paraId="07D183EC" w14:textId="77777777" w:rsidR="009A5622" w:rsidRDefault="009A5622">
      <w:pPr>
        <w:spacing w:line="360" w:lineRule="auto"/>
        <w:ind w:left="720" w:hanging="720"/>
        <w:jc w:val="both"/>
        <w:rPr>
          <w:rFonts w:ascii="Calibri" w:eastAsia="Calibri" w:hAnsi="Calibri"/>
          <w:rtl/>
        </w:rPr>
      </w:pPr>
    </w:p>
    <w:p w14:paraId="0BBEAA9D"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5.</w:t>
      </w:r>
      <w:r>
        <w:rPr>
          <w:rFonts w:ascii="Calibri" w:eastAsia="Calibri" w:hAnsi="Calibri" w:hint="cs"/>
          <w:rtl/>
        </w:rPr>
        <w:tab/>
        <w:t>בדברו לבית-המשפט, מסר הנאשם כי הוא מצטער על מעשיו, מביע חרטה על ביצועם וכי הפסיד את מקור הפרנסה שלו.</w:t>
      </w:r>
    </w:p>
    <w:p w14:paraId="2CA3ED27" w14:textId="77777777" w:rsidR="009A5622" w:rsidRDefault="009A5622">
      <w:pPr>
        <w:spacing w:line="360" w:lineRule="auto"/>
        <w:ind w:left="720" w:hanging="720"/>
        <w:jc w:val="both"/>
        <w:rPr>
          <w:rFonts w:ascii="Calibri" w:eastAsia="Calibri" w:hAnsi="Calibri"/>
          <w:rtl/>
        </w:rPr>
      </w:pPr>
    </w:p>
    <w:p w14:paraId="27CDB9C6"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6.</w:t>
      </w:r>
      <w:r>
        <w:rPr>
          <w:rFonts w:ascii="Calibri" w:eastAsia="Calibri" w:hAnsi="Calibri" w:hint="cs"/>
          <w:rtl/>
        </w:rPr>
        <w:tab/>
        <w:t>ייאמר כבר, כי לטעמי עמדת המאשימה מתונה מאד ומגולמת בה התחשבות רבה בנאשם.</w:t>
      </w:r>
    </w:p>
    <w:p w14:paraId="1A5CBB25"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ab/>
        <w:t>זאת, נוכח חומרת התנהלותו של הנאשם, אשר ביצע המעשים לצורך החדרת סם לעצור בכלא, והכל תוך ניצול תפקידו, הגישה החופשית שלו אל ומחוץ לכותלי בית-הסוהר והאמון שניתן בו. צודקת ב"כ המאשימה, כי בתי-המשפט מצווים לשרש את התופעה של החדרת סם לכלא באמצעות השתת ענישה חמורה ומכאיבה, שכן יש בה כדי להפר את הסדר בין כותלי בית הסוהר ולגרום לחברה לנזקים בלתי הפיכים. על כן, לא אחמיר מעבר לשנדרשתי על-ידי התביעה, ואולם כאמור, חסד רב עשתה המאשימה עם הנאשם ואין מקום לשקול השתת ענישה חינוכית-טיפולית בלבד, כפי שעתרה ההגנה, גם אם העתירה מבוססת על המלצת שירות המבחן.</w:t>
      </w:r>
    </w:p>
    <w:p w14:paraId="72844897" w14:textId="77777777" w:rsidR="009A5622" w:rsidRDefault="009A5622">
      <w:pPr>
        <w:spacing w:line="360" w:lineRule="auto"/>
        <w:ind w:left="720" w:hanging="720"/>
        <w:jc w:val="both"/>
        <w:rPr>
          <w:rFonts w:ascii="Calibri" w:eastAsia="Calibri" w:hAnsi="Calibri"/>
          <w:rtl/>
        </w:rPr>
      </w:pPr>
    </w:p>
    <w:p w14:paraId="57E1B400"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7.</w:t>
      </w:r>
      <w:r>
        <w:rPr>
          <w:rFonts w:ascii="Calibri" w:eastAsia="Calibri" w:hAnsi="Calibri" w:hint="cs"/>
          <w:rtl/>
        </w:rPr>
        <w:tab/>
        <w:t>אל מול חומרת העבירות עומדות נסיבות אישיות ומשפחתיות לא קלות של הנאשם, אשר נאלץ להתמודד עם לחצים, בעיות בריאות שלו ושל בנו הצעיר ועם קשיים כלכליים. עוד יש לציין לזכותו כי לקח אחריות מלאה על מעשיו ועל מצבו באמצעות פניה מיוזמתו למטפלת פרטית. כן נותנת אני אמון בדבריו כי הוא ניזוק מחשיפת הפרשה וכי חש בושה רבה על מעשיו. כמו-כן, איני מתעלמת מהתקופה בה הוגבלה חירותו במעצר של ממש ובתנאים מגבילים למשך כארבעה חודשים. עם זאת, בסופו של יום, ערכה ב"כ המאשימה את האיזון הראוי בין מכלול השיקולים והאינטרסים בעצם העובדה שאינה עותרת לשלוח את הנאשם אל מאחורי סורג ובריח.</w:t>
      </w:r>
    </w:p>
    <w:p w14:paraId="08C35A9D" w14:textId="77777777" w:rsidR="009A5622" w:rsidRDefault="009A5622">
      <w:pPr>
        <w:spacing w:line="360" w:lineRule="auto"/>
        <w:jc w:val="both"/>
        <w:rPr>
          <w:rFonts w:ascii="Calibri" w:eastAsia="Calibri" w:hAnsi="Calibri"/>
          <w:rtl/>
        </w:rPr>
      </w:pPr>
    </w:p>
    <w:p w14:paraId="4978011E" w14:textId="77777777" w:rsidR="009A5622" w:rsidRDefault="00F707B5">
      <w:pPr>
        <w:spacing w:line="360" w:lineRule="auto"/>
        <w:ind w:left="720" w:hanging="720"/>
        <w:jc w:val="both"/>
        <w:rPr>
          <w:rFonts w:ascii="Calibri" w:eastAsia="Calibri" w:hAnsi="Calibri"/>
          <w:rtl/>
        </w:rPr>
      </w:pPr>
      <w:r>
        <w:rPr>
          <w:rFonts w:ascii="Calibri" w:eastAsia="Calibri" w:hAnsi="Calibri" w:hint="cs"/>
          <w:rtl/>
        </w:rPr>
        <w:t>8.</w:t>
      </w:r>
      <w:r>
        <w:rPr>
          <w:rFonts w:ascii="Calibri" w:eastAsia="Calibri" w:hAnsi="Calibri" w:hint="cs"/>
          <w:rtl/>
        </w:rPr>
        <w:tab/>
        <w:t>על כן הכרעתי היא, כי יש מקום להטיל מאסר שירוצה בעבודות שירות לצד מבחן וענישה הרתעתית וכספית, ובהתאם גוזרת על הנאשם את העונשים הבאים:</w:t>
      </w:r>
    </w:p>
    <w:p w14:paraId="1BCFABB3" w14:textId="77777777" w:rsidR="009A5622" w:rsidRDefault="009A5622">
      <w:pPr>
        <w:tabs>
          <w:tab w:val="left" w:pos="566"/>
        </w:tabs>
        <w:spacing w:line="360" w:lineRule="auto"/>
        <w:ind w:left="567" w:hanging="567"/>
        <w:jc w:val="both"/>
        <w:rPr>
          <w:rtl/>
        </w:rPr>
      </w:pPr>
    </w:p>
    <w:p w14:paraId="08FAB6AA" w14:textId="77777777" w:rsidR="009A5622" w:rsidRDefault="00F707B5">
      <w:pPr>
        <w:spacing w:line="360" w:lineRule="auto"/>
        <w:ind w:left="720" w:hanging="720"/>
        <w:jc w:val="both"/>
        <w:rPr>
          <w:rtl/>
        </w:rPr>
      </w:pPr>
      <w:r>
        <w:rPr>
          <w:rFonts w:hint="cs"/>
          <w:rtl/>
        </w:rPr>
        <w:tab/>
        <w:t>מאסר בפועל של 6 חודשים אשר ירוצו בדרך של עבודות שירות.</w:t>
      </w:r>
    </w:p>
    <w:p w14:paraId="153E59EC" w14:textId="77777777" w:rsidR="009A5622" w:rsidRDefault="00F707B5">
      <w:pPr>
        <w:spacing w:line="360" w:lineRule="auto"/>
        <w:ind w:left="720" w:hanging="720"/>
        <w:jc w:val="both"/>
        <w:rPr>
          <w:rtl/>
        </w:rPr>
      </w:pPr>
      <w:r>
        <w:rPr>
          <w:rFonts w:hint="cs"/>
          <w:rtl/>
        </w:rPr>
        <w:tab/>
        <w:t>עבודות השירות יבוצעו ב"שווים" עמותה לשיקום תעסוקתי, בימים ובשעות המפורטים בחוות-הדעת מיום 21.3.13 והחל מיום 23.6.13. במועד זה, על הנאשם להתייצב עד השעה 8:00 במפקדת מחוז מרכז, יחידת עבודות השירות.</w:t>
      </w:r>
    </w:p>
    <w:p w14:paraId="140C7520" w14:textId="77777777" w:rsidR="009A5622" w:rsidRDefault="00F707B5">
      <w:pPr>
        <w:spacing w:line="360" w:lineRule="auto"/>
        <w:ind w:left="720" w:hanging="720"/>
        <w:jc w:val="both"/>
        <w:rPr>
          <w:rtl/>
        </w:rPr>
      </w:pPr>
      <w:r>
        <w:rPr>
          <w:rFonts w:hint="cs"/>
          <w:rtl/>
        </w:rPr>
        <w:tab/>
        <w:t>מובהר לנאשם, כי עליו לעדכן את משרד הממונה בכל שינוי, אם יחול, בכתובת מגוריו. כמו-כן, עליו לעמוד בתנאי הפיקוח ובביקורות הפתע. מובהר, כי כל הפרה בעבודות השירות תביא להפסקה מנהלית וריצוי העונש במאסר ממש.</w:t>
      </w:r>
    </w:p>
    <w:p w14:paraId="3CF5FD8E" w14:textId="77777777" w:rsidR="009A5622" w:rsidRDefault="009A5622">
      <w:pPr>
        <w:spacing w:line="360" w:lineRule="auto"/>
        <w:ind w:left="720" w:hanging="720"/>
        <w:jc w:val="both"/>
        <w:rPr>
          <w:rtl/>
        </w:rPr>
      </w:pPr>
    </w:p>
    <w:p w14:paraId="440CFB84" w14:textId="77777777" w:rsidR="009A5622" w:rsidRDefault="00F707B5">
      <w:pPr>
        <w:spacing w:line="360" w:lineRule="auto"/>
        <w:ind w:left="720" w:hanging="720"/>
        <w:jc w:val="both"/>
        <w:rPr>
          <w:rtl/>
        </w:rPr>
      </w:pPr>
      <w:r>
        <w:rPr>
          <w:rFonts w:hint="cs"/>
          <w:rtl/>
        </w:rPr>
        <w:tab/>
        <w:t>מאסר על תנאי של 8 חודשים למשך 3 שנים מהיום, שלא יעבור עבירות סמים מסוג פשע; מאסר על תנאי של 4 חודשים למשך 3 שנים מהיום, שלא יעבור עבירות סמים מסוג עוון.</w:t>
      </w:r>
    </w:p>
    <w:p w14:paraId="4119C301" w14:textId="77777777" w:rsidR="009A5622" w:rsidRDefault="009A5622">
      <w:pPr>
        <w:tabs>
          <w:tab w:val="left" w:pos="566"/>
        </w:tabs>
        <w:spacing w:line="360" w:lineRule="auto"/>
        <w:ind w:left="567" w:hanging="567"/>
        <w:jc w:val="both"/>
      </w:pPr>
    </w:p>
    <w:p w14:paraId="145AE538" w14:textId="77777777" w:rsidR="009A5622" w:rsidRDefault="00F707B5">
      <w:pPr>
        <w:tabs>
          <w:tab w:val="left" w:pos="566"/>
        </w:tabs>
        <w:spacing w:line="360" w:lineRule="auto"/>
        <w:ind w:left="720" w:hanging="720"/>
        <w:jc w:val="both"/>
        <w:rPr>
          <w:rtl/>
        </w:rPr>
      </w:pPr>
      <w:r>
        <w:rPr>
          <w:rFonts w:hint="cs"/>
          <w:rtl/>
        </w:rPr>
        <w:tab/>
      </w:r>
      <w:r>
        <w:rPr>
          <w:rFonts w:hint="cs"/>
          <w:rtl/>
        </w:rPr>
        <w:tab/>
        <w:t>קנס בסך 4000₪, או 40 ימי מאסר תמורתו. הקנס ישולם ב-8 תשלומים חודשיים, שווים ורצופים של 500 ₪ כל אחד, החל מיום 1.5.13 בכל ראשון לחודש שלאחריו. לא שולם תשלום אחד במועדו – תעמוד כל היתרה לפרעון מיידי. תשלום ראשון של הקנס יקוזז מפקדון על סך 500 ₪ בתיק המ"ת</w:t>
      </w:r>
      <w:bookmarkStart w:id="6" w:name="_GoBack"/>
      <w:bookmarkEnd w:id="6"/>
      <w:r>
        <w:rPr>
          <w:rFonts w:hint="cs"/>
          <w:rtl/>
        </w:rPr>
        <w:t>, ככל שזה קיים.</w:t>
      </w:r>
    </w:p>
    <w:p w14:paraId="7E183F60" w14:textId="77777777" w:rsidR="009A5622" w:rsidRDefault="009A5622">
      <w:pPr>
        <w:tabs>
          <w:tab w:val="left" w:pos="566"/>
        </w:tabs>
        <w:spacing w:line="360" w:lineRule="auto"/>
        <w:ind w:left="720" w:hanging="720"/>
        <w:jc w:val="both"/>
        <w:rPr>
          <w:rtl/>
        </w:rPr>
      </w:pPr>
    </w:p>
    <w:p w14:paraId="03444243" w14:textId="77777777" w:rsidR="009A5622" w:rsidRDefault="00F707B5">
      <w:pPr>
        <w:tabs>
          <w:tab w:val="left" w:pos="566"/>
        </w:tabs>
        <w:spacing w:line="360" w:lineRule="auto"/>
        <w:ind w:left="720" w:hanging="720"/>
        <w:jc w:val="both"/>
        <w:rPr>
          <w:rtl/>
        </w:rPr>
      </w:pPr>
      <w:r>
        <w:rPr>
          <w:rFonts w:hint="cs"/>
          <w:rtl/>
        </w:rPr>
        <w:tab/>
        <w:t>ניתן צו מבחן למשך שנה מהיום, לצורך מעקב אחר המשך הטיפול הפרטי.</w:t>
      </w:r>
    </w:p>
    <w:p w14:paraId="6CAEA588" w14:textId="77777777" w:rsidR="009A5622" w:rsidRDefault="009A5622">
      <w:pPr>
        <w:tabs>
          <w:tab w:val="left" w:pos="566"/>
        </w:tabs>
        <w:spacing w:line="360" w:lineRule="auto"/>
        <w:ind w:left="567" w:hanging="567"/>
        <w:jc w:val="both"/>
        <w:rPr>
          <w:rtl/>
        </w:rPr>
      </w:pPr>
    </w:p>
    <w:p w14:paraId="03113E29" w14:textId="77777777" w:rsidR="009A5622" w:rsidRDefault="00F707B5">
      <w:pPr>
        <w:spacing w:line="360" w:lineRule="auto"/>
        <w:jc w:val="both"/>
        <w:rPr>
          <w:rtl/>
        </w:rPr>
      </w:pPr>
      <w:r>
        <w:rPr>
          <w:rFonts w:hint="cs"/>
          <w:rtl/>
        </w:rPr>
        <w:t xml:space="preserve">הוסבר לנאשם כי אם לא יעמוד בתנאי הפיקוח ניתן יהיה  להחזירו לביהמ"ש ולהוסיף על עונשו. </w:t>
      </w:r>
    </w:p>
    <w:p w14:paraId="478A56BA" w14:textId="77777777" w:rsidR="009A5622" w:rsidRDefault="009A5622">
      <w:pPr>
        <w:spacing w:line="360" w:lineRule="auto"/>
      </w:pPr>
    </w:p>
    <w:p w14:paraId="212E0161" w14:textId="77777777" w:rsidR="009A5622" w:rsidRDefault="00F707B5">
      <w:pPr>
        <w:tabs>
          <w:tab w:val="left" w:pos="566"/>
        </w:tabs>
        <w:spacing w:line="360" w:lineRule="auto"/>
        <w:jc w:val="both"/>
        <w:rPr>
          <w:rtl/>
        </w:rPr>
      </w:pPr>
      <w:r>
        <w:rPr>
          <w:rFonts w:hint="cs"/>
          <w:rtl/>
        </w:rPr>
        <w:t>משום עיכוב ביצוע המאסר (בעבודות שירות), ערבות עצמית אשר נחתמה בתיק המ"ת תשמש מעתה כבטוחה להתייצבות הנאשם לריצוי והשלמת עבודות השירות; בנוסף, תיאסר יציאת הנאשם מהארץ עד לתום ביצוע העבודות.</w:t>
      </w:r>
    </w:p>
    <w:p w14:paraId="7CF7AE9E" w14:textId="77777777" w:rsidR="009A5622" w:rsidRDefault="009A5622">
      <w:pPr>
        <w:tabs>
          <w:tab w:val="left" w:pos="566"/>
        </w:tabs>
        <w:spacing w:line="360" w:lineRule="auto"/>
        <w:ind w:left="567" w:hanging="567"/>
        <w:jc w:val="both"/>
      </w:pPr>
    </w:p>
    <w:p w14:paraId="44F2CF12" w14:textId="77777777" w:rsidR="009A5622" w:rsidRDefault="00F707B5">
      <w:pPr>
        <w:tabs>
          <w:tab w:val="left" w:pos="566"/>
        </w:tabs>
        <w:spacing w:line="360" w:lineRule="auto"/>
        <w:ind w:left="567" w:hanging="567"/>
        <w:rPr>
          <w:b/>
          <w:bCs/>
          <w:u w:val="single"/>
          <w:rtl/>
        </w:rPr>
      </w:pPr>
      <w:r>
        <w:rPr>
          <w:rFonts w:hint="cs"/>
          <w:b/>
          <w:bCs/>
          <w:u w:val="single"/>
          <w:rtl/>
        </w:rPr>
        <w:t>הודעה זכות ערעור לבית-המשפט המחוזי בתוך 45 יום.</w:t>
      </w:r>
    </w:p>
    <w:p w14:paraId="31FEC021" w14:textId="77777777" w:rsidR="009A5622" w:rsidRDefault="009A5622">
      <w:pPr>
        <w:tabs>
          <w:tab w:val="left" w:pos="566"/>
        </w:tabs>
        <w:spacing w:line="360" w:lineRule="auto"/>
        <w:ind w:left="567" w:hanging="567"/>
        <w:rPr>
          <w:rtl/>
        </w:rPr>
      </w:pPr>
    </w:p>
    <w:p w14:paraId="151D7C9F" w14:textId="77777777" w:rsidR="009A5622" w:rsidRDefault="00F707B5">
      <w:pPr>
        <w:tabs>
          <w:tab w:val="left" w:pos="566"/>
        </w:tabs>
        <w:spacing w:line="360" w:lineRule="auto"/>
        <w:ind w:left="567" w:hanging="567"/>
        <w:rPr>
          <w:b/>
          <w:bCs/>
        </w:rPr>
      </w:pPr>
      <w:r>
        <w:rPr>
          <w:rFonts w:hint="cs"/>
          <w:b/>
          <w:bCs/>
          <w:rtl/>
        </w:rPr>
        <w:t>המזכירות תשלח העתק מגזר הדין לממונה על עבודות השירות.</w:t>
      </w:r>
    </w:p>
    <w:p w14:paraId="27428FF1" w14:textId="77777777" w:rsidR="009A5622" w:rsidRPr="00F707B5" w:rsidRDefault="00F707B5">
      <w:pPr>
        <w:spacing w:line="360" w:lineRule="auto"/>
        <w:jc w:val="both"/>
        <w:rPr>
          <w:rFonts w:ascii="Arial" w:hAnsi="Arial"/>
          <w:color w:val="FFFFFF"/>
          <w:sz w:val="2"/>
          <w:szCs w:val="2"/>
          <w:rtl/>
        </w:rPr>
      </w:pPr>
      <w:r w:rsidRPr="00F707B5">
        <w:rPr>
          <w:rFonts w:ascii="Arial" w:hAnsi="Arial"/>
          <w:color w:val="FFFFFF"/>
          <w:sz w:val="2"/>
          <w:szCs w:val="2"/>
          <w:rtl/>
        </w:rPr>
        <w:t>5129371</w:t>
      </w:r>
    </w:p>
    <w:p w14:paraId="3F98E286" w14:textId="77777777" w:rsidR="009A5622" w:rsidRDefault="00F707B5">
      <w:pPr>
        <w:rPr>
          <w:rFonts w:cs="FrankRuehl"/>
          <w:sz w:val="28"/>
          <w:szCs w:val="28"/>
          <w:rtl/>
        </w:rPr>
      </w:pPr>
      <w:r w:rsidRPr="00F707B5">
        <w:rPr>
          <w:rFonts w:ascii="Arial" w:hAnsi="Arial"/>
          <w:color w:val="FFFFFF"/>
          <w:sz w:val="2"/>
          <w:szCs w:val="2"/>
          <w:rtl/>
        </w:rPr>
        <w:t>54678313</w:t>
      </w:r>
      <w:r>
        <w:rPr>
          <w:rFonts w:ascii="Arial" w:hAnsi="Arial"/>
          <w:rtl/>
        </w:rPr>
        <w:t xml:space="preserve">ניתן היום, 3 אפריל 2013, במעמד הנוכחים.  </w:t>
      </w:r>
    </w:p>
    <w:p w14:paraId="6736FD94" w14:textId="77777777" w:rsidR="00F707B5" w:rsidRPr="00A10FBF" w:rsidRDefault="00A10FBF" w:rsidP="00F707B5">
      <w:pPr>
        <w:keepNext/>
        <w:rPr>
          <w:rFonts w:ascii="David" w:hAnsi="David" w:hint="cs"/>
          <w:color w:val="FFFFFF"/>
          <w:sz w:val="2"/>
          <w:szCs w:val="2"/>
          <w:rtl/>
        </w:rPr>
      </w:pPr>
      <w:r w:rsidRPr="00A10FBF">
        <w:rPr>
          <w:rFonts w:ascii="David" w:hAnsi="David"/>
          <w:color w:val="FFFFFF"/>
          <w:sz w:val="2"/>
          <w:szCs w:val="2"/>
          <w:rtl/>
        </w:rPr>
        <w:t>5129371</w:t>
      </w:r>
    </w:p>
    <w:p w14:paraId="43AAFADF" w14:textId="77777777" w:rsidR="00A10FBF" w:rsidRPr="00A10FBF" w:rsidRDefault="00A10FBF" w:rsidP="00A10FBF">
      <w:pPr>
        <w:keepNext/>
        <w:rPr>
          <w:rFonts w:ascii="David" w:hAnsi="David"/>
          <w:color w:val="000000"/>
          <w:sz w:val="22"/>
          <w:szCs w:val="22"/>
          <w:rtl/>
        </w:rPr>
      </w:pPr>
      <w:r w:rsidRPr="00A10FBF">
        <w:rPr>
          <w:rFonts w:ascii="David" w:hAnsi="David"/>
          <w:color w:val="000000"/>
          <w:sz w:val="22"/>
          <w:szCs w:val="22"/>
          <w:rtl/>
        </w:rPr>
        <w:t>דנה מרשק מרום 54678313-/</w:t>
      </w:r>
    </w:p>
    <w:p w14:paraId="11670A44" w14:textId="77777777" w:rsidR="009A5622" w:rsidRDefault="00F707B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9019098" w14:textId="77777777" w:rsidR="00F707B5" w:rsidRDefault="00F707B5" w:rsidP="00F707B5">
      <w:r w:rsidRPr="00F707B5">
        <w:rPr>
          <w:color w:val="000000"/>
          <w:rtl/>
        </w:rPr>
        <w:t>נוסח מסמך זה כפוף לשינויי ניסוח ועריכה</w:t>
      </w:r>
    </w:p>
    <w:p w14:paraId="0C14F269" w14:textId="77777777" w:rsidR="00F707B5" w:rsidRDefault="00F707B5" w:rsidP="00F707B5">
      <w:pPr>
        <w:rPr>
          <w:rtl/>
        </w:rPr>
      </w:pPr>
    </w:p>
    <w:p w14:paraId="1AA45BCC" w14:textId="77777777" w:rsidR="00F707B5" w:rsidRDefault="00F707B5" w:rsidP="00F707B5">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sectPr w:rsidR="00F707B5" w:rsidSect="00A10FBF">
      <w:headerReference w:type="even" r:id="rId8"/>
      <w:headerReference w:type="default" r:id="rId9"/>
      <w:footerReference w:type="even" r:id="rId10"/>
      <w:footerReference w:type="default" r:id="rId1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5BD42" w14:textId="77777777" w:rsidR="000151A0" w:rsidRPr="00E1408D" w:rsidRDefault="000151A0">
      <w:pPr>
        <w:rPr>
          <w:rFonts w:cs="Arial"/>
          <w:szCs w:val="20"/>
        </w:rPr>
      </w:pPr>
      <w:r>
        <w:separator/>
      </w:r>
    </w:p>
  </w:endnote>
  <w:endnote w:type="continuationSeparator" w:id="0">
    <w:p w14:paraId="06D25190" w14:textId="77777777" w:rsidR="000151A0" w:rsidRPr="00E1408D" w:rsidRDefault="000151A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5E69C" w14:textId="77777777" w:rsidR="00A10FBF" w:rsidRDefault="00A10FBF" w:rsidP="00A10F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0CB7E0" w14:textId="77777777" w:rsidR="009A5622" w:rsidRPr="00A10FBF" w:rsidRDefault="00A10FBF" w:rsidP="00A10FBF">
    <w:pPr>
      <w:pStyle w:val="a4"/>
      <w:pBdr>
        <w:top w:val="single" w:sz="4" w:space="1" w:color="auto"/>
        <w:between w:val="single" w:sz="4" w:space="0" w:color="auto"/>
      </w:pBdr>
      <w:spacing w:after="60"/>
      <w:jc w:val="center"/>
      <w:rPr>
        <w:rFonts w:ascii="FrankRuehl" w:hAnsi="FrankRuehl" w:cs="FrankRuehl"/>
        <w:color w:val="000000"/>
      </w:rPr>
    </w:pPr>
    <w:r w:rsidRPr="00A10F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3DF00" w14:textId="77777777" w:rsidR="00A10FBF" w:rsidRDefault="00A10FBF" w:rsidP="00A10F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CDEF125" w14:textId="77777777" w:rsidR="009A5622" w:rsidRPr="00A10FBF" w:rsidRDefault="00A10FBF" w:rsidP="00A10FBF">
    <w:pPr>
      <w:pStyle w:val="a4"/>
      <w:pBdr>
        <w:top w:val="single" w:sz="4" w:space="1" w:color="auto"/>
        <w:between w:val="single" w:sz="4" w:space="0" w:color="auto"/>
      </w:pBdr>
      <w:spacing w:after="60"/>
      <w:jc w:val="center"/>
      <w:rPr>
        <w:rFonts w:ascii="FrankRuehl" w:hAnsi="FrankRuehl" w:cs="FrankRuehl"/>
        <w:color w:val="000000"/>
      </w:rPr>
    </w:pPr>
    <w:r w:rsidRPr="00A10FBF">
      <w:rPr>
        <w:rFonts w:ascii="FrankRuehl" w:hAnsi="FrankRuehl" w:cs="FrankRuehl"/>
        <w:color w:val="000000"/>
      </w:rPr>
      <w:pict w14:anchorId="369A3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44C8C" w14:textId="77777777" w:rsidR="000151A0" w:rsidRPr="00E1408D" w:rsidRDefault="000151A0">
      <w:pPr>
        <w:rPr>
          <w:rFonts w:cs="Arial"/>
          <w:szCs w:val="20"/>
        </w:rPr>
      </w:pPr>
      <w:r>
        <w:separator/>
      </w:r>
    </w:p>
  </w:footnote>
  <w:footnote w:type="continuationSeparator" w:id="0">
    <w:p w14:paraId="2C28D835" w14:textId="77777777" w:rsidR="000151A0" w:rsidRPr="00E1408D" w:rsidRDefault="000151A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70F3B" w14:textId="77777777" w:rsidR="00F707B5" w:rsidRPr="00A10FBF" w:rsidRDefault="00A10FBF" w:rsidP="00A10F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47430-02-12</w:t>
    </w:r>
    <w:r>
      <w:rPr>
        <w:rFonts w:ascii="David" w:hAnsi="David"/>
        <w:color w:val="000000"/>
        <w:sz w:val="22"/>
        <w:szCs w:val="22"/>
        <w:rtl/>
      </w:rPr>
      <w:tab/>
      <w:t xml:space="preserve"> מדינת ישראל נ' משה ארמנד אל גרבלי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6B3EB" w14:textId="77777777" w:rsidR="00F707B5" w:rsidRPr="00A10FBF" w:rsidRDefault="00A10FBF" w:rsidP="00A10F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47430-02-12</w:t>
    </w:r>
    <w:r>
      <w:rPr>
        <w:rFonts w:ascii="David" w:hAnsi="David"/>
        <w:color w:val="000000"/>
        <w:sz w:val="22"/>
        <w:szCs w:val="22"/>
        <w:rtl/>
      </w:rPr>
      <w:tab/>
      <w:t xml:space="preserve"> מדינת ישראל נ' משה ארמנד אל גרבלי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5622"/>
    <w:rsid w:val="000151A0"/>
    <w:rsid w:val="008632E6"/>
    <w:rsid w:val="008C689A"/>
    <w:rsid w:val="009A5622"/>
    <w:rsid w:val="00A10FBF"/>
    <w:rsid w:val="00F707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108215"/>
  <w15:chartTrackingRefBased/>
  <w15:docId w15:val="{6F287F1C-F044-4C54-BD5F-B8F607F3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562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A5622"/>
    <w:pPr>
      <w:tabs>
        <w:tab w:val="center" w:pos="4153"/>
        <w:tab w:val="right" w:pos="8306"/>
      </w:tabs>
    </w:pPr>
  </w:style>
  <w:style w:type="paragraph" w:styleId="a4">
    <w:name w:val="footer"/>
    <w:basedOn w:val="a"/>
    <w:rsid w:val="009A5622"/>
    <w:pPr>
      <w:tabs>
        <w:tab w:val="center" w:pos="4153"/>
        <w:tab w:val="right" w:pos="8306"/>
      </w:tabs>
    </w:pPr>
  </w:style>
  <w:style w:type="character" w:styleId="a5">
    <w:name w:val="page number"/>
    <w:basedOn w:val="a0"/>
    <w:rsid w:val="009A5622"/>
  </w:style>
  <w:style w:type="character" w:styleId="Hyperlink">
    <w:name w:val="Hyperlink"/>
    <w:basedOn w:val="a0"/>
    <w:rsid w:val="00F70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6209</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47430</vt:lpwstr>
  </property>
  <property fmtid="{D5CDD505-2E9C-101B-9397-08002B2CF9AE}" pid="6" name="NEWPARTB">
    <vt:lpwstr>02</vt:lpwstr>
  </property>
  <property fmtid="{D5CDD505-2E9C-101B-9397-08002B2CF9AE}" pid="7" name="NEWPARTC">
    <vt:lpwstr>12</vt:lpwstr>
  </property>
  <property fmtid="{D5CDD505-2E9C-101B-9397-08002B2CF9AE}" pid="8" name="APPELLEE">
    <vt:lpwstr>משה ארמנד אל גרבלי </vt:lpwstr>
  </property>
  <property fmtid="{D5CDD505-2E9C-101B-9397-08002B2CF9AE}" pid="9" name="LAWYER">
    <vt:lpwstr>צדיק וינוביץ';כשכאש</vt:lpwstr>
  </property>
  <property fmtid="{D5CDD505-2E9C-101B-9397-08002B2CF9AE}" pid="10" name="JUDGE">
    <vt:lpwstr>דנה מרשק מרום</vt:lpwstr>
  </property>
  <property fmtid="{D5CDD505-2E9C-101B-9397-08002B2CF9AE}" pid="11" name="CITY">
    <vt:lpwstr>כ"ס</vt:lpwstr>
  </property>
  <property fmtid="{D5CDD505-2E9C-101B-9397-08002B2CF9AE}" pid="12" name="DATE">
    <vt:lpwstr>20130403</vt:lpwstr>
  </property>
  <property fmtid="{D5CDD505-2E9C-101B-9397-08002B2CF9AE}" pid="13" name="TYPE_N_DATE">
    <vt:lpwstr>38020130403</vt:lpwstr>
  </property>
  <property fmtid="{D5CDD505-2E9C-101B-9397-08002B2CF9AE}" pid="14" name="WORDNUMPAGES">
    <vt:lpwstr>4</vt:lpwstr>
  </property>
  <property fmtid="{D5CDD505-2E9C-101B-9397-08002B2CF9AE}" pid="15" name="TYPE_ABS_DATE">
    <vt:lpwstr>380020130403</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