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F83ABA" w:rsidRPr="00F54BC4" w14:paraId="52CBDA9C" w14:textId="77777777">
        <w:trPr>
          <w:trHeight w:hRule="exact" w:val="418"/>
          <w:jc w:val="center"/>
        </w:trPr>
        <w:tc>
          <w:tcPr>
            <w:tcW w:w="8720" w:type="dxa"/>
            <w:gridSpan w:val="3"/>
          </w:tcPr>
          <w:p w14:paraId="1F1DBC41" w14:textId="77777777" w:rsidR="00F83ABA" w:rsidRPr="00F54BC4" w:rsidRDefault="00F54BC4">
            <w:pPr>
              <w:pStyle w:val="a4"/>
              <w:tabs>
                <w:tab w:val="clear" w:pos="8306"/>
              </w:tabs>
              <w:jc w:val="center"/>
              <w:rPr>
                <w:rFonts w:ascii="Tahoma" w:hAnsi="Tahoma" w:cs="Tahoma"/>
                <w:b/>
                <w:bCs/>
                <w:color w:val="000080"/>
                <w:sz w:val="20"/>
                <w:szCs w:val="20"/>
                <w:rtl/>
              </w:rPr>
            </w:pPr>
            <w:bookmarkStart w:id="0" w:name="LastJudge"/>
            <w:r w:rsidRPr="00F54BC4">
              <w:rPr>
                <w:rFonts w:ascii="Tahoma" w:hAnsi="Tahoma" w:cs="Tahoma"/>
                <w:b/>
                <w:bCs/>
                <w:color w:val="000080"/>
                <w:sz w:val="20"/>
                <w:szCs w:val="20"/>
                <w:rtl/>
              </w:rPr>
              <w:t>בית משפט השלום בתל אביב - יפו</w:t>
            </w:r>
          </w:p>
        </w:tc>
      </w:tr>
      <w:tr w:rsidR="00F83ABA" w:rsidRPr="00F54BC4" w14:paraId="5B226154" w14:textId="77777777">
        <w:trPr>
          <w:trHeight w:val="337"/>
          <w:jc w:val="center"/>
        </w:trPr>
        <w:tc>
          <w:tcPr>
            <w:tcW w:w="3973" w:type="dxa"/>
          </w:tcPr>
          <w:p w14:paraId="718E7A12" w14:textId="77777777" w:rsidR="00F83ABA" w:rsidRPr="00F54BC4" w:rsidRDefault="00F54BC4">
            <w:pPr>
              <w:rPr>
                <w:b/>
                <w:bCs/>
                <w:sz w:val="26"/>
                <w:szCs w:val="26"/>
                <w:rtl/>
              </w:rPr>
            </w:pPr>
            <w:r w:rsidRPr="00F54BC4">
              <w:rPr>
                <w:b/>
                <w:bCs/>
                <w:sz w:val="26"/>
                <w:szCs w:val="26"/>
                <w:rtl/>
              </w:rPr>
              <w:t>ת"פ</w:t>
            </w:r>
            <w:r w:rsidRPr="00F54BC4">
              <w:rPr>
                <w:rFonts w:hint="cs"/>
                <w:b/>
                <w:bCs/>
                <w:sz w:val="26"/>
                <w:szCs w:val="26"/>
                <w:rtl/>
              </w:rPr>
              <w:t xml:space="preserve"> </w:t>
            </w:r>
            <w:r w:rsidRPr="00F54BC4">
              <w:rPr>
                <w:b/>
                <w:bCs/>
                <w:sz w:val="26"/>
                <w:szCs w:val="26"/>
                <w:rtl/>
              </w:rPr>
              <w:t>8202-02-12</w:t>
            </w:r>
            <w:r w:rsidRPr="00F54BC4">
              <w:rPr>
                <w:rFonts w:hint="cs"/>
                <w:b/>
                <w:bCs/>
                <w:sz w:val="26"/>
                <w:szCs w:val="26"/>
                <w:rtl/>
              </w:rPr>
              <w:t xml:space="preserve"> </w:t>
            </w:r>
            <w:r w:rsidRPr="00F54BC4">
              <w:rPr>
                <w:b/>
                <w:bCs/>
                <w:sz w:val="26"/>
                <w:szCs w:val="26"/>
                <w:rtl/>
              </w:rPr>
              <w:t>מדינת ישראל נ' צ'קול</w:t>
            </w:r>
          </w:p>
          <w:p w14:paraId="01EDF7DC" w14:textId="77777777" w:rsidR="00F83ABA" w:rsidRPr="00F54BC4" w:rsidRDefault="00F83ABA">
            <w:pPr>
              <w:rPr>
                <w:b/>
                <w:bCs/>
                <w:sz w:val="26"/>
                <w:szCs w:val="26"/>
                <w:rtl/>
              </w:rPr>
            </w:pPr>
          </w:p>
        </w:tc>
        <w:tc>
          <w:tcPr>
            <w:tcW w:w="1068" w:type="dxa"/>
          </w:tcPr>
          <w:p w14:paraId="214A5504" w14:textId="77777777" w:rsidR="00F83ABA" w:rsidRPr="00F54BC4" w:rsidRDefault="00F83ABA">
            <w:pPr>
              <w:pStyle w:val="a4"/>
              <w:jc w:val="right"/>
              <w:rPr>
                <w:b/>
                <w:bCs/>
                <w:sz w:val="26"/>
                <w:szCs w:val="26"/>
                <w:rtl/>
              </w:rPr>
            </w:pPr>
          </w:p>
        </w:tc>
        <w:tc>
          <w:tcPr>
            <w:tcW w:w="3679" w:type="dxa"/>
          </w:tcPr>
          <w:p w14:paraId="3BAC46BC" w14:textId="77777777" w:rsidR="00F83ABA" w:rsidRPr="00F54BC4" w:rsidRDefault="00F54BC4">
            <w:pPr>
              <w:pStyle w:val="a4"/>
              <w:tabs>
                <w:tab w:val="clear" w:pos="4153"/>
              </w:tabs>
              <w:jc w:val="right"/>
              <w:rPr>
                <w:b/>
                <w:bCs/>
                <w:sz w:val="26"/>
                <w:szCs w:val="26"/>
                <w:rtl/>
              </w:rPr>
            </w:pPr>
            <w:r w:rsidRPr="00F54BC4">
              <w:rPr>
                <w:b/>
                <w:bCs/>
                <w:sz w:val="26"/>
                <w:szCs w:val="26"/>
                <w:rtl/>
              </w:rPr>
              <w:t>02 מרץ 2015</w:t>
            </w:r>
          </w:p>
        </w:tc>
      </w:tr>
    </w:tbl>
    <w:p w14:paraId="50FCB4D9" w14:textId="77777777" w:rsidR="00F83ABA" w:rsidRPr="00F54BC4" w:rsidRDefault="00F83ABA">
      <w:pPr>
        <w:pStyle w:val="a4"/>
        <w:jc w:val="center"/>
        <w:rPr>
          <w:rFonts w:ascii="Tahoma" w:hAnsi="Tahoma" w:cs="Tahoma"/>
          <w:b/>
          <w:bCs/>
          <w:color w:val="000080"/>
          <w:sz w:val="20"/>
          <w:szCs w:val="20"/>
          <w:rtl/>
        </w:rPr>
      </w:pPr>
    </w:p>
    <w:tbl>
      <w:tblPr>
        <w:bidiVisual/>
        <w:tblW w:w="0" w:type="auto"/>
        <w:jc w:val="center"/>
        <w:tblLook w:val="0000" w:firstRow="0" w:lastRow="0" w:firstColumn="0" w:lastColumn="0" w:noHBand="0" w:noVBand="0"/>
      </w:tblPr>
      <w:tblGrid>
        <w:gridCol w:w="5856"/>
        <w:gridCol w:w="236"/>
        <w:gridCol w:w="2628"/>
      </w:tblGrid>
      <w:tr w:rsidR="00F83ABA" w:rsidRPr="00F54BC4" w14:paraId="601193E4" w14:textId="77777777">
        <w:trPr>
          <w:trHeight w:val="337"/>
          <w:jc w:val="center"/>
        </w:trPr>
        <w:tc>
          <w:tcPr>
            <w:tcW w:w="5856" w:type="dxa"/>
          </w:tcPr>
          <w:p w14:paraId="09B2C0CD" w14:textId="77777777" w:rsidR="00F83ABA" w:rsidRPr="00F54BC4" w:rsidRDefault="00F54BC4">
            <w:pPr>
              <w:spacing w:line="360" w:lineRule="auto"/>
              <w:jc w:val="both"/>
              <w:rPr>
                <w:b/>
                <w:bCs/>
                <w:sz w:val="26"/>
                <w:szCs w:val="26"/>
                <w:rtl/>
              </w:rPr>
            </w:pPr>
            <w:r w:rsidRPr="00F54BC4">
              <w:rPr>
                <w:rFonts w:hint="cs"/>
                <w:b/>
                <w:bCs/>
                <w:sz w:val="26"/>
                <w:szCs w:val="26"/>
                <w:rtl/>
              </w:rPr>
              <w:t>בפני כב' ה</w:t>
            </w:r>
            <w:r w:rsidRPr="00F54BC4">
              <w:rPr>
                <w:rFonts w:hint="cs"/>
                <w:rtl/>
              </w:rPr>
              <w:t>שופטת הדסה נאור</w:t>
            </w:r>
          </w:p>
        </w:tc>
        <w:tc>
          <w:tcPr>
            <w:tcW w:w="236" w:type="dxa"/>
          </w:tcPr>
          <w:p w14:paraId="299B3564" w14:textId="77777777" w:rsidR="00F83ABA" w:rsidRPr="00F54BC4" w:rsidRDefault="00F83ABA">
            <w:pPr>
              <w:pStyle w:val="a4"/>
              <w:jc w:val="both"/>
              <w:rPr>
                <w:b/>
                <w:bCs/>
                <w:sz w:val="26"/>
                <w:szCs w:val="26"/>
                <w:rtl/>
              </w:rPr>
            </w:pPr>
          </w:p>
        </w:tc>
        <w:tc>
          <w:tcPr>
            <w:tcW w:w="2628" w:type="dxa"/>
          </w:tcPr>
          <w:p w14:paraId="425C0AA8" w14:textId="77777777" w:rsidR="00F83ABA" w:rsidRPr="00F54BC4" w:rsidRDefault="00F83ABA">
            <w:pPr>
              <w:pStyle w:val="a4"/>
              <w:jc w:val="both"/>
              <w:rPr>
                <w:b/>
                <w:bCs/>
                <w:sz w:val="26"/>
                <w:szCs w:val="26"/>
                <w:rtl/>
              </w:rPr>
            </w:pPr>
          </w:p>
        </w:tc>
      </w:tr>
    </w:tbl>
    <w:p w14:paraId="1D6368E6" w14:textId="77777777" w:rsidR="00F83ABA" w:rsidRPr="00F54BC4" w:rsidRDefault="00F83ABA">
      <w:pPr>
        <w:pStyle w:val="a7"/>
        <w:rPr>
          <w:rFonts w:ascii="Arial" w:hAnsi="Arial"/>
          <w:rtl/>
        </w:rPr>
      </w:pPr>
    </w:p>
    <w:tbl>
      <w:tblPr>
        <w:bidiVisual/>
        <w:tblW w:w="8802" w:type="dxa"/>
        <w:tblInd w:w="-28" w:type="dxa"/>
        <w:tblLayout w:type="fixed"/>
        <w:tblLook w:val="01E0" w:firstRow="1" w:lastRow="1" w:firstColumn="1" w:lastColumn="1" w:noHBand="0" w:noVBand="0"/>
      </w:tblPr>
      <w:tblGrid>
        <w:gridCol w:w="3240"/>
        <w:gridCol w:w="5562"/>
      </w:tblGrid>
      <w:tr w:rsidR="00F83ABA" w:rsidRPr="00F54BC4" w14:paraId="5D255670" w14:textId="77777777">
        <w:tc>
          <w:tcPr>
            <w:tcW w:w="3240" w:type="dxa"/>
            <w:shd w:val="clear" w:color="auto" w:fill="auto"/>
          </w:tcPr>
          <w:p w14:paraId="09BBF595" w14:textId="77777777" w:rsidR="00F83ABA" w:rsidRPr="00F54BC4" w:rsidRDefault="00F54BC4">
            <w:pPr>
              <w:ind w:left="26"/>
              <w:rPr>
                <w:rFonts w:ascii="Times New Roman" w:eastAsia="Times New Roman" w:hAnsi="Times New Roman"/>
                <w:b/>
                <w:bCs/>
                <w:sz w:val="26"/>
                <w:szCs w:val="26"/>
                <w:rtl/>
              </w:rPr>
            </w:pPr>
            <w:bookmarkStart w:id="1" w:name="FirstAppellant"/>
            <w:r w:rsidRPr="00F54BC4">
              <w:rPr>
                <w:rFonts w:ascii="Times New Roman" w:eastAsia="Times New Roman" w:hAnsi="Times New Roman" w:hint="cs"/>
                <w:b/>
                <w:bCs/>
                <w:sz w:val="26"/>
                <w:szCs w:val="26"/>
                <w:rtl/>
              </w:rPr>
              <w:t>ה</w:t>
            </w:r>
            <w:r w:rsidRPr="00F54BC4">
              <w:rPr>
                <w:rFonts w:ascii="Times New Roman" w:eastAsia="Times New Roman" w:hAnsi="Times New Roman" w:hint="cs"/>
                <w:rtl/>
              </w:rPr>
              <w:t>מאשימה</w:t>
            </w:r>
          </w:p>
        </w:tc>
        <w:tc>
          <w:tcPr>
            <w:tcW w:w="5562" w:type="dxa"/>
            <w:shd w:val="clear" w:color="auto" w:fill="auto"/>
          </w:tcPr>
          <w:p w14:paraId="0AC9072F" w14:textId="77777777" w:rsidR="00F83ABA" w:rsidRPr="00F54BC4" w:rsidRDefault="00F54BC4">
            <w:pPr>
              <w:rPr>
                <w:rFonts w:ascii="Times New Roman" w:eastAsia="Times New Roman" w:hAnsi="Times New Roman"/>
                <w:b/>
                <w:bCs/>
                <w:sz w:val="26"/>
                <w:szCs w:val="26"/>
                <w:rtl/>
              </w:rPr>
            </w:pPr>
            <w:r w:rsidRPr="00F54BC4">
              <w:rPr>
                <w:rFonts w:ascii="Times New Roman" w:eastAsia="Times New Roman" w:hAnsi="Times New Roman" w:hint="cs"/>
                <w:b/>
                <w:bCs/>
                <w:sz w:val="26"/>
                <w:szCs w:val="26"/>
                <w:rtl/>
              </w:rPr>
              <w:t xml:space="preserve"> </w:t>
            </w:r>
            <w:r w:rsidRPr="00F54BC4">
              <w:rPr>
                <w:rFonts w:ascii="Times New Roman" w:eastAsia="Times New Roman" w:hAnsi="Times New Roman" w:hint="cs"/>
                <w:rtl/>
              </w:rPr>
              <w:t>מדינת ישראל</w:t>
            </w:r>
          </w:p>
        </w:tc>
      </w:tr>
      <w:bookmarkEnd w:id="1"/>
      <w:tr w:rsidR="00F83ABA" w:rsidRPr="00F54BC4" w14:paraId="5090A926" w14:textId="77777777">
        <w:tc>
          <w:tcPr>
            <w:tcW w:w="8802" w:type="dxa"/>
            <w:gridSpan w:val="2"/>
            <w:shd w:val="clear" w:color="auto" w:fill="auto"/>
          </w:tcPr>
          <w:p w14:paraId="7C71E1A6" w14:textId="77777777" w:rsidR="00F83ABA" w:rsidRPr="00F54BC4" w:rsidRDefault="00F83ABA">
            <w:pPr>
              <w:jc w:val="both"/>
              <w:rPr>
                <w:rFonts w:ascii="Arial" w:eastAsia="Times New Roman" w:hAnsi="Arial"/>
                <w:b/>
                <w:bCs/>
                <w:sz w:val="26"/>
                <w:szCs w:val="26"/>
                <w:rtl/>
              </w:rPr>
            </w:pPr>
          </w:p>
          <w:p w14:paraId="37EA8AC7" w14:textId="77777777" w:rsidR="00F83ABA" w:rsidRPr="00F54BC4" w:rsidRDefault="00F54BC4">
            <w:pPr>
              <w:jc w:val="center"/>
              <w:rPr>
                <w:rFonts w:ascii="Arial" w:eastAsia="Times New Roman" w:hAnsi="Arial"/>
                <w:b/>
                <w:bCs/>
                <w:sz w:val="26"/>
                <w:szCs w:val="26"/>
                <w:rtl/>
              </w:rPr>
            </w:pPr>
            <w:r w:rsidRPr="00F54BC4">
              <w:rPr>
                <w:rFonts w:ascii="Arial" w:eastAsia="Times New Roman" w:hAnsi="Arial"/>
                <w:b/>
                <w:bCs/>
                <w:sz w:val="26"/>
                <w:szCs w:val="26"/>
                <w:rtl/>
              </w:rPr>
              <w:t>נגד</w:t>
            </w:r>
          </w:p>
          <w:p w14:paraId="3BDAB64E" w14:textId="77777777" w:rsidR="00F83ABA" w:rsidRPr="00F54BC4" w:rsidRDefault="00F83ABA">
            <w:pPr>
              <w:jc w:val="center"/>
              <w:rPr>
                <w:rFonts w:ascii="Arial" w:eastAsia="Times New Roman" w:hAnsi="Arial"/>
                <w:b/>
                <w:bCs/>
                <w:sz w:val="26"/>
                <w:szCs w:val="26"/>
              </w:rPr>
            </w:pPr>
          </w:p>
        </w:tc>
      </w:tr>
      <w:tr w:rsidR="00F83ABA" w:rsidRPr="00F54BC4" w14:paraId="505ABF1D" w14:textId="77777777">
        <w:tc>
          <w:tcPr>
            <w:tcW w:w="3240" w:type="dxa"/>
            <w:shd w:val="clear" w:color="auto" w:fill="auto"/>
          </w:tcPr>
          <w:p w14:paraId="58B5F656" w14:textId="77777777" w:rsidR="00F83ABA" w:rsidRPr="00F54BC4" w:rsidRDefault="00F54BC4">
            <w:pPr>
              <w:ind w:left="26"/>
              <w:rPr>
                <w:rFonts w:ascii="Times New Roman" w:eastAsia="Times New Roman" w:hAnsi="Times New Roman"/>
                <w:b/>
                <w:bCs/>
                <w:sz w:val="26"/>
                <w:szCs w:val="26"/>
                <w:rtl/>
              </w:rPr>
            </w:pPr>
            <w:r w:rsidRPr="00F54BC4">
              <w:rPr>
                <w:rFonts w:ascii="Times New Roman" w:eastAsia="Times New Roman" w:hAnsi="Times New Roman" w:hint="cs"/>
                <w:b/>
                <w:bCs/>
                <w:sz w:val="26"/>
                <w:szCs w:val="26"/>
                <w:rtl/>
              </w:rPr>
              <w:t>ה</w:t>
            </w:r>
            <w:r w:rsidRPr="00F54BC4">
              <w:rPr>
                <w:rFonts w:ascii="Times New Roman" w:eastAsia="Times New Roman" w:hAnsi="Times New Roman" w:hint="cs"/>
                <w:rtl/>
              </w:rPr>
              <w:t>נאשם</w:t>
            </w:r>
          </w:p>
        </w:tc>
        <w:tc>
          <w:tcPr>
            <w:tcW w:w="5562" w:type="dxa"/>
            <w:shd w:val="clear" w:color="auto" w:fill="auto"/>
          </w:tcPr>
          <w:p w14:paraId="57B831C9" w14:textId="77777777" w:rsidR="00F83ABA" w:rsidRPr="00F54BC4" w:rsidRDefault="00F54BC4">
            <w:pPr>
              <w:rPr>
                <w:rFonts w:ascii="Times New Roman" w:eastAsia="Times New Roman" w:hAnsi="Times New Roman"/>
                <w:b/>
                <w:bCs/>
                <w:sz w:val="26"/>
                <w:szCs w:val="26"/>
                <w:rtl/>
              </w:rPr>
            </w:pPr>
            <w:r w:rsidRPr="00F54BC4">
              <w:rPr>
                <w:rFonts w:ascii="Times New Roman" w:eastAsia="Times New Roman" w:hAnsi="Times New Roman" w:hint="cs"/>
                <w:b/>
                <w:bCs/>
                <w:sz w:val="26"/>
                <w:szCs w:val="26"/>
                <w:rtl/>
              </w:rPr>
              <w:t xml:space="preserve"> </w:t>
            </w:r>
            <w:r w:rsidRPr="00F54BC4">
              <w:rPr>
                <w:rFonts w:ascii="Times New Roman" w:eastAsia="Times New Roman" w:hAnsi="Times New Roman" w:hint="cs"/>
                <w:rtl/>
              </w:rPr>
              <w:t>אייצ'או ארז צ'קול</w:t>
            </w:r>
          </w:p>
        </w:tc>
      </w:tr>
    </w:tbl>
    <w:p w14:paraId="4462A63C" w14:textId="77777777" w:rsidR="00F83ABA" w:rsidRPr="00F54BC4" w:rsidRDefault="00F54BC4">
      <w:pPr>
        <w:pStyle w:val="12"/>
        <w:rPr>
          <w:u w:val="none"/>
        </w:rPr>
      </w:pPr>
      <w:r w:rsidRPr="00F54BC4">
        <w:rPr>
          <w:rFonts w:hint="cs"/>
          <w:u w:val="none"/>
          <w:rtl/>
        </w:rPr>
        <w:t>נוכחים:</w:t>
      </w:r>
    </w:p>
    <w:p w14:paraId="17901874" w14:textId="77777777" w:rsidR="00F83ABA" w:rsidRPr="00F54BC4" w:rsidRDefault="00F54BC4">
      <w:pPr>
        <w:pStyle w:val="12"/>
        <w:rPr>
          <w:b w:val="0"/>
          <w:bCs w:val="0"/>
          <w:sz w:val="26"/>
          <w:szCs w:val="26"/>
          <w:u w:val="none"/>
          <w:rtl/>
        </w:rPr>
      </w:pPr>
      <w:bookmarkStart w:id="2" w:name="FirstLawyer"/>
      <w:r w:rsidRPr="00F54BC4">
        <w:rPr>
          <w:rFonts w:hint="cs"/>
          <w:b w:val="0"/>
          <w:bCs w:val="0"/>
          <w:sz w:val="26"/>
          <w:szCs w:val="26"/>
          <w:u w:val="none"/>
          <w:rtl/>
        </w:rPr>
        <w:t>ב"כ</w:t>
      </w:r>
      <w:bookmarkEnd w:id="2"/>
      <w:r w:rsidRPr="00F54BC4">
        <w:rPr>
          <w:rFonts w:hint="cs"/>
          <w:b w:val="0"/>
          <w:bCs w:val="0"/>
          <w:sz w:val="26"/>
          <w:szCs w:val="26"/>
          <w:u w:val="none"/>
          <w:rtl/>
        </w:rPr>
        <w:t xml:space="preserve"> המאשימה עו"ד שירי חבה </w:t>
      </w:r>
    </w:p>
    <w:p w14:paraId="0E06C6A7" w14:textId="77777777" w:rsidR="00F83ABA" w:rsidRPr="00F54BC4" w:rsidRDefault="00F54BC4">
      <w:pPr>
        <w:pStyle w:val="12"/>
        <w:rPr>
          <w:b w:val="0"/>
          <w:bCs w:val="0"/>
          <w:sz w:val="26"/>
          <w:szCs w:val="26"/>
          <w:u w:val="none"/>
          <w:rtl/>
        </w:rPr>
      </w:pPr>
      <w:r w:rsidRPr="00F54BC4">
        <w:rPr>
          <w:rFonts w:hint="cs"/>
          <w:b w:val="0"/>
          <w:bCs w:val="0"/>
          <w:sz w:val="26"/>
          <w:szCs w:val="26"/>
          <w:u w:val="none"/>
          <w:rtl/>
        </w:rPr>
        <w:t>הנאשם בעצמו</w:t>
      </w:r>
    </w:p>
    <w:p w14:paraId="34FFA419" w14:textId="77777777" w:rsidR="00F83ABA" w:rsidRPr="00F54BC4" w:rsidRDefault="00F54BC4">
      <w:pPr>
        <w:pStyle w:val="12"/>
        <w:rPr>
          <w:b w:val="0"/>
          <w:bCs w:val="0"/>
          <w:sz w:val="26"/>
          <w:szCs w:val="26"/>
          <w:u w:val="none"/>
          <w:rtl/>
        </w:rPr>
      </w:pPr>
      <w:r w:rsidRPr="00F54BC4">
        <w:rPr>
          <w:rFonts w:hint="cs"/>
          <w:b w:val="0"/>
          <w:bCs w:val="0"/>
          <w:sz w:val="26"/>
          <w:szCs w:val="26"/>
          <w:u w:val="none"/>
          <w:rtl/>
        </w:rPr>
        <w:t xml:space="preserve">ב"כ  הנאשם עו"ד יוסי שילוח </w:t>
      </w:r>
    </w:p>
    <w:p w14:paraId="4E472C19" w14:textId="77777777" w:rsidR="00F83ABA" w:rsidRPr="00F54BC4" w:rsidRDefault="00F54BC4">
      <w:pPr>
        <w:spacing w:line="360" w:lineRule="auto"/>
        <w:jc w:val="center"/>
        <w:rPr>
          <w:rFonts w:ascii="Arial" w:hAnsi="Arial"/>
          <w:b/>
          <w:bCs/>
          <w:sz w:val="28"/>
          <w:szCs w:val="28"/>
          <w:rtl/>
        </w:rPr>
      </w:pPr>
      <w:r w:rsidRPr="00F54BC4">
        <w:rPr>
          <w:rFonts w:ascii="Arial" w:hAnsi="Arial"/>
          <w:b/>
          <w:color w:val="FF0000"/>
          <w:sz w:val="28"/>
          <w:rtl/>
        </w:rPr>
        <w:t>במסמך זה הושמטו פרוטוקולים</w:t>
      </w:r>
    </w:p>
    <w:p w14:paraId="1B738CD5" w14:textId="77777777" w:rsidR="00F54BC4" w:rsidRPr="00F54BC4" w:rsidRDefault="00F54BC4" w:rsidP="00F54BC4">
      <w:pPr>
        <w:spacing w:after="120" w:line="240" w:lineRule="exact"/>
        <w:ind w:left="283" w:hanging="283"/>
        <w:jc w:val="both"/>
        <w:rPr>
          <w:rFonts w:ascii="FrankRuehl" w:hAnsi="FrankRuehl" w:cs="FrankRuehl"/>
          <w:rtl/>
        </w:rPr>
      </w:pPr>
      <w:bookmarkStart w:id="3" w:name="LawTable"/>
      <w:bookmarkEnd w:id="3"/>
      <w:r w:rsidRPr="00F54BC4">
        <w:rPr>
          <w:rFonts w:ascii="FrankRuehl" w:hAnsi="FrankRuehl" w:cs="FrankRuehl"/>
          <w:rtl/>
        </w:rPr>
        <w:t xml:space="preserve">חקיקה שאוזכרה: </w:t>
      </w:r>
    </w:p>
    <w:p w14:paraId="3AEE8160" w14:textId="77777777" w:rsidR="00F54BC4" w:rsidRPr="00F54BC4" w:rsidRDefault="00F54BC4" w:rsidP="00F54BC4">
      <w:pPr>
        <w:spacing w:after="120" w:line="240" w:lineRule="exact"/>
        <w:ind w:left="283" w:hanging="283"/>
        <w:jc w:val="both"/>
        <w:rPr>
          <w:rFonts w:ascii="FrankRuehl" w:hAnsi="FrankRuehl" w:cs="FrankRuehl"/>
          <w:rtl/>
        </w:rPr>
      </w:pPr>
      <w:hyperlink r:id="rId6" w:history="1">
        <w:r w:rsidRPr="00F54BC4">
          <w:rPr>
            <w:rFonts w:ascii="FrankRuehl" w:hAnsi="FrankRuehl" w:cs="FrankRuehl"/>
            <w:color w:val="0000FF"/>
            <w:u w:val="single"/>
            <w:rtl/>
          </w:rPr>
          <w:t>פקודת הסמים המסוכנים [נוסח חדש], תשל"ג-1973</w:t>
        </w:r>
      </w:hyperlink>
    </w:p>
    <w:p w14:paraId="6AE609FA" w14:textId="77777777" w:rsidR="00F54BC4" w:rsidRPr="00F54BC4" w:rsidRDefault="00F54BC4">
      <w:pPr>
        <w:spacing w:line="360" w:lineRule="auto"/>
        <w:jc w:val="center"/>
        <w:rPr>
          <w:rFonts w:ascii="Arial" w:hAnsi="Arial"/>
          <w:b/>
          <w:bCs/>
          <w:sz w:val="28"/>
          <w:szCs w:val="28"/>
          <w:rtl/>
        </w:rPr>
      </w:pPr>
      <w:bookmarkStart w:id="4" w:name="LawTable_End"/>
      <w:bookmarkEnd w:id="4"/>
    </w:p>
    <w:p w14:paraId="1619AE50" w14:textId="77777777" w:rsidR="00F54BC4" w:rsidRPr="00F54BC4" w:rsidRDefault="00F54BC4" w:rsidP="00F54BC4">
      <w:pPr>
        <w:spacing w:line="360" w:lineRule="auto"/>
        <w:jc w:val="center"/>
        <w:rPr>
          <w:rFonts w:ascii="Arial" w:hAnsi="Arial"/>
          <w:b/>
          <w:bCs/>
          <w:sz w:val="28"/>
          <w:szCs w:val="28"/>
          <w:u w:val="single"/>
          <w:rtl/>
        </w:rPr>
      </w:pPr>
      <w:bookmarkStart w:id="5" w:name="PsakDin"/>
      <w:bookmarkEnd w:id="0"/>
      <w:r w:rsidRPr="00F54BC4">
        <w:rPr>
          <w:rFonts w:ascii="Arial" w:hAnsi="Arial"/>
          <w:b/>
          <w:bCs/>
          <w:sz w:val="28"/>
          <w:szCs w:val="28"/>
          <w:u w:val="single"/>
          <w:rtl/>
        </w:rPr>
        <w:t>גזר דין</w:t>
      </w:r>
    </w:p>
    <w:bookmarkEnd w:id="5"/>
    <w:p w14:paraId="7240FB84" w14:textId="77777777" w:rsidR="00F83ABA" w:rsidRDefault="00F54BC4">
      <w:pPr>
        <w:overflowPunct w:val="0"/>
        <w:autoSpaceDE w:val="0"/>
        <w:autoSpaceDN w:val="0"/>
        <w:adjustRightInd w:val="0"/>
        <w:spacing w:line="360" w:lineRule="auto"/>
        <w:rPr>
          <w:b/>
          <w:bCs/>
          <w:sz w:val="26"/>
          <w:szCs w:val="26"/>
          <w:rtl/>
        </w:rPr>
      </w:pPr>
      <w:r>
        <w:rPr>
          <w:rFonts w:hint="eastAsia"/>
          <w:b/>
          <w:bCs/>
          <w:sz w:val="26"/>
          <w:szCs w:val="26"/>
          <w:rtl/>
        </w:rPr>
        <w:t>הנאשם</w:t>
      </w:r>
      <w:r>
        <w:rPr>
          <w:b/>
          <w:bCs/>
          <w:sz w:val="26"/>
          <w:szCs w:val="26"/>
          <w:rtl/>
        </w:rPr>
        <w:t xml:space="preserve"> הורשע </w:t>
      </w:r>
      <w:r>
        <w:rPr>
          <w:rFonts w:hint="cs"/>
          <w:b/>
          <w:bCs/>
          <w:sz w:val="26"/>
          <w:szCs w:val="26"/>
          <w:rtl/>
        </w:rPr>
        <w:t xml:space="preserve">לאחר ניהול הוכחות בעבירות של תקיפה סתם ואיומים, וזוכה מעבירה של היזק לרכוש במזיד. </w:t>
      </w:r>
    </w:p>
    <w:p w14:paraId="41FDE998" w14:textId="77777777" w:rsidR="00F83ABA" w:rsidRDefault="00F54BC4">
      <w:pPr>
        <w:overflowPunct w:val="0"/>
        <w:autoSpaceDE w:val="0"/>
        <w:autoSpaceDN w:val="0"/>
        <w:adjustRightInd w:val="0"/>
        <w:spacing w:line="360" w:lineRule="auto"/>
        <w:rPr>
          <w:b/>
          <w:bCs/>
          <w:sz w:val="26"/>
          <w:szCs w:val="26"/>
          <w:rtl/>
        </w:rPr>
      </w:pPr>
      <w:r>
        <w:rPr>
          <w:rFonts w:hint="cs"/>
          <w:b/>
          <w:bCs/>
          <w:sz w:val="26"/>
          <w:szCs w:val="26"/>
          <w:rtl/>
        </w:rPr>
        <w:t xml:space="preserve">העבירות בוצעו במהלך ויכוח שהתפתח בין המתלוננת ואחיה לבין הנאשם ואביו על רקע חשדם של הראשונים שהנאשם זורק סיגריות בוערות על מצעי המתלוננת. </w:t>
      </w:r>
    </w:p>
    <w:p w14:paraId="44F742C3" w14:textId="77777777" w:rsidR="00F83ABA" w:rsidRDefault="00F54BC4">
      <w:pPr>
        <w:overflowPunct w:val="0"/>
        <w:autoSpaceDE w:val="0"/>
        <w:autoSpaceDN w:val="0"/>
        <w:adjustRightInd w:val="0"/>
        <w:spacing w:line="360" w:lineRule="auto"/>
        <w:rPr>
          <w:b/>
          <w:bCs/>
          <w:sz w:val="26"/>
          <w:szCs w:val="26"/>
          <w:rtl/>
        </w:rPr>
      </w:pPr>
      <w:r>
        <w:rPr>
          <w:rFonts w:hint="cs"/>
          <w:b/>
          <w:bCs/>
          <w:sz w:val="26"/>
          <w:szCs w:val="26"/>
          <w:rtl/>
        </w:rPr>
        <w:t xml:space="preserve">בסופו של יום, זוכה הנאשם מעבירה של גרימת נזק לסדינים, משלא הובאה ראיה מספיקה להוכחת עבירה זו. </w:t>
      </w:r>
    </w:p>
    <w:p w14:paraId="5CC904CF" w14:textId="77777777" w:rsidR="00F83ABA" w:rsidRDefault="00F83ABA">
      <w:pPr>
        <w:overflowPunct w:val="0"/>
        <w:autoSpaceDE w:val="0"/>
        <w:autoSpaceDN w:val="0"/>
        <w:adjustRightInd w:val="0"/>
        <w:spacing w:line="360" w:lineRule="auto"/>
        <w:rPr>
          <w:b/>
          <w:bCs/>
          <w:sz w:val="26"/>
          <w:szCs w:val="26"/>
          <w:rtl/>
        </w:rPr>
      </w:pPr>
    </w:p>
    <w:p w14:paraId="26CA6E77" w14:textId="77777777" w:rsidR="00F83ABA" w:rsidRDefault="00F54BC4">
      <w:pPr>
        <w:overflowPunct w:val="0"/>
        <w:autoSpaceDE w:val="0"/>
        <w:autoSpaceDN w:val="0"/>
        <w:adjustRightInd w:val="0"/>
        <w:spacing w:line="360" w:lineRule="auto"/>
        <w:rPr>
          <w:b/>
          <w:bCs/>
          <w:sz w:val="26"/>
          <w:szCs w:val="26"/>
          <w:rtl/>
        </w:rPr>
      </w:pPr>
      <w:r>
        <w:rPr>
          <w:rFonts w:hint="cs"/>
          <w:b/>
          <w:bCs/>
          <w:sz w:val="26"/>
          <w:szCs w:val="26"/>
          <w:rtl/>
        </w:rPr>
        <w:t xml:space="preserve">מדובר בסכסוך שכנים ארוך שנים שבבסיסו החלטת המתלוננת לגדר את החצר המשותפת ולאמצה לדירתה, שלא על דעת השכנים אשר הגישו נגדה תביעה בפני המפקחת על בתים משותפים ואף זכו בתביעתם. </w:t>
      </w:r>
    </w:p>
    <w:p w14:paraId="3EFC88F9" w14:textId="77777777" w:rsidR="00F83ABA" w:rsidRDefault="00F83ABA">
      <w:pPr>
        <w:overflowPunct w:val="0"/>
        <w:autoSpaceDE w:val="0"/>
        <w:autoSpaceDN w:val="0"/>
        <w:adjustRightInd w:val="0"/>
        <w:spacing w:line="360" w:lineRule="auto"/>
        <w:rPr>
          <w:b/>
          <w:bCs/>
          <w:sz w:val="26"/>
          <w:szCs w:val="26"/>
          <w:rtl/>
        </w:rPr>
      </w:pPr>
    </w:p>
    <w:p w14:paraId="791F85B4" w14:textId="77777777" w:rsidR="00F83ABA" w:rsidRDefault="00F54BC4">
      <w:pPr>
        <w:overflowPunct w:val="0"/>
        <w:autoSpaceDE w:val="0"/>
        <w:autoSpaceDN w:val="0"/>
        <w:adjustRightInd w:val="0"/>
        <w:spacing w:line="360" w:lineRule="auto"/>
        <w:rPr>
          <w:b/>
          <w:bCs/>
          <w:sz w:val="26"/>
          <w:szCs w:val="26"/>
          <w:rtl/>
        </w:rPr>
      </w:pPr>
      <w:r>
        <w:rPr>
          <w:rFonts w:hint="cs"/>
          <w:b/>
          <w:bCs/>
          <w:sz w:val="26"/>
          <w:szCs w:val="26"/>
          <w:rtl/>
        </w:rPr>
        <w:t xml:space="preserve">אין בכל אלה כדי להצדיק את האיומים שהשמיע הנאשם כלפי המתלוננת ואחיה או כדי להצדיק את מעשה התקיפה שבא לידי ביטוי ביריקה שירק עליהם. </w:t>
      </w:r>
    </w:p>
    <w:p w14:paraId="49595502" w14:textId="77777777" w:rsidR="00F83ABA" w:rsidRDefault="00F54BC4">
      <w:pPr>
        <w:overflowPunct w:val="0"/>
        <w:autoSpaceDE w:val="0"/>
        <w:autoSpaceDN w:val="0"/>
        <w:adjustRightInd w:val="0"/>
        <w:spacing w:line="360" w:lineRule="auto"/>
        <w:rPr>
          <w:b/>
          <w:bCs/>
          <w:sz w:val="26"/>
          <w:szCs w:val="26"/>
          <w:rtl/>
        </w:rPr>
      </w:pPr>
      <w:r>
        <w:rPr>
          <w:rFonts w:hint="cs"/>
          <w:b/>
          <w:bCs/>
          <w:sz w:val="26"/>
          <w:szCs w:val="26"/>
          <w:rtl/>
        </w:rPr>
        <w:t>תקיפה באמצעות יריקה, אולי אין פגיעתה הפיזית קשה, אך היא מבזה ומשפילה, ולכן לא ניתן להתייחס אליה כאל מעשה תקיפה קל.</w:t>
      </w:r>
    </w:p>
    <w:p w14:paraId="031F0911" w14:textId="77777777" w:rsidR="00F83ABA" w:rsidRDefault="00F54BC4">
      <w:pPr>
        <w:overflowPunct w:val="0"/>
        <w:autoSpaceDE w:val="0"/>
        <w:autoSpaceDN w:val="0"/>
        <w:adjustRightInd w:val="0"/>
        <w:spacing w:line="360" w:lineRule="auto"/>
        <w:rPr>
          <w:b/>
          <w:bCs/>
          <w:sz w:val="26"/>
          <w:szCs w:val="26"/>
          <w:rtl/>
        </w:rPr>
      </w:pPr>
      <w:r>
        <w:rPr>
          <w:rFonts w:hint="cs"/>
          <w:b/>
          <w:bCs/>
          <w:sz w:val="26"/>
          <w:szCs w:val="26"/>
          <w:rtl/>
        </w:rPr>
        <w:t xml:space="preserve">עם זאת, מוסכם עליי שיש משמעות למרחק ממנו ירק הנאשם לעבר השניים, כשעל פי הראיות עמד בחלון בקומה השניה, כשהמתלוננת ואחיה עמדו בחצר הבית. </w:t>
      </w:r>
    </w:p>
    <w:p w14:paraId="58AB94C3" w14:textId="77777777" w:rsidR="00F83ABA" w:rsidRDefault="00F54BC4">
      <w:pPr>
        <w:overflowPunct w:val="0"/>
        <w:autoSpaceDE w:val="0"/>
        <w:autoSpaceDN w:val="0"/>
        <w:adjustRightInd w:val="0"/>
        <w:spacing w:line="360" w:lineRule="auto"/>
        <w:rPr>
          <w:b/>
          <w:bCs/>
          <w:sz w:val="26"/>
          <w:szCs w:val="26"/>
          <w:rtl/>
        </w:rPr>
      </w:pPr>
      <w:r>
        <w:rPr>
          <w:rFonts w:hint="cs"/>
          <w:b/>
          <w:bCs/>
          <w:sz w:val="26"/>
          <w:szCs w:val="26"/>
          <w:rtl/>
        </w:rPr>
        <w:lastRenderedPageBreak/>
        <w:t xml:space="preserve">הערכים המוגנים שנפגעו הם פגיעה בכבודו של הנאשם ובשלוות נפשו, ומקובל עליי כי מתחם הענישה בעבירות אלה נע בין מאסר על תנאי ל-8 חודשי מאסר בפועל. </w:t>
      </w:r>
    </w:p>
    <w:p w14:paraId="4976D089" w14:textId="77777777" w:rsidR="00F83ABA" w:rsidRDefault="00F83ABA">
      <w:pPr>
        <w:overflowPunct w:val="0"/>
        <w:autoSpaceDE w:val="0"/>
        <w:autoSpaceDN w:val="0"/>
        <w:adjustRightInd w:val="0"/>
        <w:spacing w:line="360" w:lineRule="auto"/>
        <w:rPr>
          <w:b/>
          <w:bCs/>
          <w:sz w:val="26"/>
          <w:szCs w:val="26"/>
          <w:rtl/>
        </w:rPr>
      </w:pPr>
    </w:p>
    <w:p w14:paraId="6E2B047D" w14:textId="77777777" w:rsidR="00F83ABA" w:rsidRDefault="00F54BC4">
      <w:pPr>
        <w:overflowPunct w:val="0"/>
        <w:autoSpaceDE w:val="0"/>
        <w:autoSpaceDN w:val="0"/>
        <w:adjustRightInd w:val="0"/>
        <w:spacing w:line="360" w:lineRule="auto"/>
        <w:rPr>
          <w:b/>
          <w:bCs/>
          <w:sz w:val="26"/>
          <w:szCs w:val="26"/>
          <w:rtl/>
        </w:rPr>
      </w:pPr>
      <w:r>
        <w:rPr>
          <w:rFonts w:hint="cs"/>
          <w:b/>
          <w:bCs/>
          <w:sz w:val="26"/>
          <w:szCs w:val="26"/>
          <w:rtl/>
        </w:rPr>
        <w:t xml:space="preserve">בתוך מתחם הענישה לקחתי בחשבון את נסיבות ביצוע העבירה כפי שתוארו לעיל וביתר הרחבה בהכרעת הדין, ואת מיהותו של העושה, שמחד בעברו 13 הרשעות קודמות, רובם מעת היותו נער, בעבירות רכוש, אלימות ועל </w:t>
      </w:r>
      <w:hyperlink r:id="rId7" w:history="1">
        <w:r w:rsidRPr="00F54BC4">
          <w:rPr>
            <w:b/>
            <w:bCs/>
            <w:color w:val="0000FF"/>
            <w:sz w:val="26"/>
            <w:szCs w:val="26"/>
            <w:u w:val="single"/>
            <w:rtl/>
          </w:rPr>
          <w:t>פקודת הסמים המסוכנים</w:t>
        </w:r>
      </w:hyperlink>
      <w:r>
        <w:rPr>
          <w:rFonts w:hint="cs"/>
          <w:b/>
          <w:bCs/>
          <w:sz w:val="26"/>
          <w:szCs w:val="26"/>
          <w:rtl/>
        </w:rPr>
        <w:t xml:space="preserve">, כשהוא אף ריצה מאסרים בפועל בגינם, ומאידך יש פתח של תקוה לשיקום הנאשם, אשר השתלב לאחרונה בלימודים בפורום של "לנדמרק" </w:t>
      </w:r>
      <w:r>
        <w:rPr>
          <w:b/>
          <w:bCs/>
          <w:sz w:val="26"/>
          <w:szCs w:val="26"/>
          <w:rtl/>
        </w:rPr>
        <w:t>–</w:t>
      </w:r>
      <w:r>
        <w:rPr>
          <w:rFonts w:hint="cs"/>
          <w:b/>
          <w:bCs/>
          <w:sz w:val="26"/>
          <w:szCs w:val="26"/>
          <w:rtl/>
        </w:rPr>
        <w:t xml:space="preserve"> קורס המאמן אנשים לפרודוקטיביות ואפקטיביות אישית בתחומי החיים שחשובים להם ומקדם את איכות מערכות היחסים שלהם. </w:t>
      </w:r>
    </w:p>
    <w:p w14:paraId="03581EC2" w14:textId="77777777" w:rsidR="00F83ABA" w:rsidRDefault="00F83ABA">
      <w:pPr>
        <w:overflowPunct w:val="0"/>
        <w:autoSpaceDE w:val="0"/>
        <w:autoSpaceDN w:val="0"/>
        <w:adjustRightInd w:val="0"/>
        <w:spacing w:line="360" w:lineRule="auto"/>
        <w:rPr>
          <w:b/>
          <w:bCs/>
          <w:sz w:val="26"/>
          <w:szCs w:val="26"/>
          <w:rtl/>
        </w:rPr>
      </w:pPr>
    </w:p>
    <w:p w14:paraId="66A0A8F4" w14:textId="77777777" w:rsidR="00F83ABA" w:rsidRDefault="00F54BC4">
      <w:pPr>
        <w:overflowPunct w:val="0"/>
        <w:autoSpaceDE w:val="0"/>
        <w:autoSpaceDN w:val="0"/>
        <w:adjustRightInd w:val="0"/>
        <w:spacing w:line="360" w:lineRule="auto"/>
        <w:rPr>
          <w:b/>
          <w:bCs/>
          <w:sz w:val="26"/>
          <w:szCs w:val="26"/>
          <w:rtl/>
        </w:rPr>
      </w:pPr>
      <w:r>
        <w:rPr>
          <w:rFonts w:hint="cs"/>
          <w:b/>
          <w:bCs/>
          <w:sz w:val="26"/>
          <w:szCs w:val="26"/>
          <w:rtl/>
        </w:rPr>
        <w:t xml:space="preserve">בשקלול מהות העבירות ומיהות העושה כפי שציינתי לעיל, ולאחר ששמעתי את טיעוני הצדדים,  </w:t>
      </w:r>
      <w:r>
        <w:rPr>
          <w:b/>
          <w:bCs/>
          <w:sz w:val="26"/>
          <w:szCs w:val="26"/>
          <w:rtl/>
        </w:rPr>
        <w:t xml:space="preserve">אני מטילה </w:t>
      </w:r>
      <w:r>
        <w:rPr>
          <w:rFonts w:hint="eastAsia"/>
          <w:b/>
          <w:bCs/>
          <w:sz w:val="26"/>
          <w:szCs w:val="26"/>
          <w:rtl/>
        </w:rPr>
        <w:t>על</w:t>
      </w:r>
      <w:r>
        <w:rPr>
          <w:b/>
          <w:bCs/>
          <w:sz w:val="26"/>
          <w:szCs w:val="26"/>
          <w:rtl/>
        </w:rPr>
        <w:t xml:space="preserve"> הנאשם את העונשים הבאים: </w:t>
      </w:r>
    </w:p>
    <w:p w14:paraId="3C7E867C" w14:textId="77777777" w:rsidR="00F83ABA" w:rsidRDefault="00F83ABA">
      <w:pPr>
        <w:overflowPunct w:val="0"/>
        <w:autoSpaceDE w:val="0"/>
        <w:autoSpaceDN w:val="0"/>
        <w:adjustRightInd w:val="0"/>
        <w:spacing w:line="360" w:lineRule="auto"/>
        <w:rPr>
          <w:b/>
          <w:bCs/>
          <w:sz w:val="26"/>
          <w:szCs w:val="26"/>
          <w:rtl/>
        </w:rPr>
      </w:pPr>
    </w:p>
    <w:p w14:paraId="5CFA27D3" w14:textId="77777777" w:rsidR="00F83ABA" w:rsidRDefault="00F54BC4">
      <w:pPr>
        <w:overflowPunct w:val="0"/>
        <w:autoSpaceDE w:val="0"/>
        <w:autoSpaceDN w:val="0"/>
        <w:adjustRightInd w:val="0"/>
        <w:spacing w:line="360" w:lineRule="auto"/>
        <w:ind w:left="720" w:hanging="720"/>
        <w:rPr>
          <w:b/>
          <w:bCs/>
          <w:sz w:val="26"/>
          <w:szCs w:val="26"/>
          <w:rtl/>
        </w:rPr>
      </w:pPr>
      <w:r>
        <w:rPr>
          <w:rFonts w:hint="cs"/>
          <w:b/>
          <w:bCs/>
          <w:sz w:val="26"/>
          <w:szCs w:val="26"/>
          <w:rtl/>
        </w:rPr>
        <w:t>1.</w:t>
      </w:r>
      <w:r>
        <w:rPr>
          <w:b/>
          <w:bCs/>
          <w:sz w:val="26"/>
          <w:szCs w:val="26"/>
          <w:rtl/>
        </w:rPr>
        <w:tab/>
      </w:r>
      <w:r>
        <w:rPr>
          <w:rFonts w:hint="eastAsia"/>
          <w:b/>
          <w:bCs/>
          <w:sz w:val="26"/>
          <w:szCs w:val="26"/>
          <w:rtl/>
        </w:rPr>
        <w:t>מאסר</w:t>
      </w:r>
      <w:r>
        <w:rPr>
          <w:b/>
          <w:bCs/>
          <w:sz w:val="26"/>
          <w:szCs w:val="26"/>
          <w:rtl/>
        </w:rPr>
        <w:t xml:space="preserve"> על תנאי למשך </w:t>
      </w:r>
      <w:r>
        <w:rPr>
          <w:rFonts w:hint="cs"/>
          <w:b/>
          <w:bCs/>
          <w:sz w:val="26"/>
          <w:szCs w:val="26"/>
          <w:rtl/>
        </w:rPr>
        <w:t xml:space="preserve">6 חודשים </w:t>
      </w:r>
      <w:r>
        <w:rPr>
          <w:rFonts w:hint="eastAsia"/>
          <w:b/>
          <w:bCs/>
          <w:sz w:val="26"/>
          <w:szCs w:val="26"/>
          <w:rtl/>
        </w:rPr>
        <w:t>והתנאי</w:t>
      </w:r>
      <w:r>
        <w:rPr>
          <w:b/>
          <w:bCs/>
          <w:sz w:val="26"/>
          <w:szCs w:val="26"/>
          <w:rtl/>
        </w:rPr>
        <w:t xml:space="preserve"> הוא שהנאשם לא יעבור </w:t>
      </w:r>
      <w:r>
        <w:rPr>
          <w:rFonts w:hint="cs"/>
          <w:b/>
          <w:bCs/>
          <w:sz w:val="26"/>
          <w:szCs w:val="26"/>
          <w:rtl/>
        </w:rPr>
        <w:t>עבירה מ</w:t>
      </w:r>
      <w:r>
        <w:rPr>
          <w:b/>
          <w:bCs/>
          <w:sz w:val="26"/>
          <w:szCs w:val="26"/>
          <w:rtl/>
        </w:rPr>
        <w:t xml:space="preserve">העבירות  </w:t>
      </w:r>
      <w:r>
        <w:rPr>
          <w:rFonts w:hint="eastAsia"/>
          <w:b/>
          <w:bCs/>
          <w:sz w:val="26"/>
          <w:szCs w:val="26"/>
          <w:rtl/>
        </w:rPr>
        <w:t>בהן</w:t>
      </w:r>
      <w:r>
        <w:rPr>
          <w:b/>
          <w:bCs/>
          <w:sz w:val="26"/>
          <w:szCs w:val="26"/>
          <w:rtl/>
        </w:rPr>
        <w:t xml:space="preserve"> הורשע  </w:t>
      </w:r>
      <w:r>
        <w:rPr>
          <w:rFonts w:hint="eastAsia"/>
          <w:b/>
          <w:bCs/>
          <w:sz w:val="26"/>
          <w:szCs w:val="26"/>
          <w:rtl/>
        </w:rPr>
        <w:t>במשך</w:t>
      </w:r>
      <w:r>
        <w:rPr>
          <w:b/>
          <w:bCs/>
          <w:sz w:val="26"/>
          <w:szCs w:val="26"/>
          <w:rtl/>
        </w:rPr>
        <w:t xml:space="preserve"> </w:t>
      </w:r>
      <w:r>
        <w:rPr>
          <w:rFonts w:hint="cs"/>
          <w:b/>
          <w:bCs/>
          <w:sz w:val="26"/>
          <w:szCs w:val="26"/>
          <w:rtl/>
        </w:rPr>
        <w:t xml:space="preserve">3 </w:t>
      </w:r>
      <w:r>
        <w:rPr>
          <w:rFonts w:hint="eastAsia"/>
          <w:b/>
          <w:bCs/>
          <w:sz w:val="26"/>
          <w:szCs w:val="26"/>
          <w:rtl/>
        </w:rPr>
        <w:t>שנים</w:t>
      </w:r>
      <w:r>
        <w:rPr>
          <w:b/>
          <w:bCs/>
          <w:sz w:val="26"/>
          <w:szCs w:val="26"/>
          <w:rtl/>
        </w:rPr>
        <w:t xml:space="preserve"> מהיום. </w:t>
      </w:r>
    </w:p>
    <w:p w14:paraId="03D6AF42" w14:textId="77777777" w:rsidR="00F83ABA" w:rsidRDefault="00F54BC4">
      <w:pPr>
        <w:overflowPunct w:val="0"/>
        <w:autoSpaceDE w:val="0"/>
        <w:autoSpaceDN w:val="0"/>
        <w:adjustRightInd w:val="0"/>
        <w:spacing w:line="360" w:lineRule="auto"/>
        <w:ind w:left="720" w:hanging="720"/>
        <w:rPr>
          <w:b/>
          <w:bCs/>
          <w:sz w:val="26"/>
          <w:szCs w:val="26"/>
          <w:rtl/>
        </w:rPr>
      </w:pPr>
      <w:r>
        <w:rPr>
          <w:rFonts w:hint="cs"/>
          <w:b/>
          <w:bCs/>
          <w:sz w:val="26"/>
          <w:szCs w:val="26"/>
          <w:rtl/>
        </w:rPr>
        <w:t>2.</w:t>
      </w:r>
      <w:r>
        <w:rPr>
          <w:b/>
          <w:bCs/>
          <w:sz w:val="26"/>
          <w:szCs w:val="26"/>
          <w:rtl/>
        </w:rPr>
        <w:tab/>
      </w:r>
      <w:r>
        <w:rPr>
          <w:rFonts w:hint="eastAsia"/>
          <w:b/>
          <w:bCs/>
          <w:sz w:val="26"/>
          <w:szCs w:val="26"/>
          <w:rtl/>
        </w:rPr>
        <w:t>הנאשם</w:t>
      </w:r>
      <w:r>
        <w:rPr>
          <w:b/>
          <w:bCs/>
          <w:sz w:val="26"/>
          <w:szCs w:val="26"/>
          <w:rtl/>
        </w:rPr>
        <w:t xml:space="preserve"> ישלם קנס בסך </w:t>
      </w:r>
      <w:r>
        <w:rPr>
          <w:rFonts w:hint="cs"/>
          <w:b/>
          <w:bCs/>
          <w:sz w:val="26"/>
          <w:szCs w:val="26"/>
          <w:rtl/>
        </w:rPr>
        <w:t xml:space="preserve">1500 </w:t>
      </w:r>
      <w:r>
        <w:rPr>
          <w:rFonts w:hint="eastAsia"/>
          <w:b/>
          <w:bCs/>
          <w:sz w:val="26"/>
          <w:szCs w:val="26"/>
          <w:rtl/>
        </w:rPr>
        <w:t>ש</w:t>
      </w:r>
      <w:r>
        <w:rPr>
          <w:b/>
          <w:bCs/>
          <w:sz w:val="26"/>
          <w:szCs w:val="26"/>
          <w:rtl/>
        </w:rPr>
        <w:t>"</w:t>
      </w:r>
      <w:r>
        <w:rPr>
          <w:rFonts w:hint="eastAsia"/>
          <w:b/>
          <w:bCs/>
          <w:sz w:val="26"/>
          <w:szCs w:val="26"/>
          <w:rtl/>
        </w:rPr>
        <w:t>ח</w:t>
      </w:r>
      <w:r>
        <w:rPr>
          <w:b/>
          <w:bCs/>
          <w:sz w:val="26"/>
          <w:szCs w:val="26"/>
          <w:rtl/>
        </w:rPr>
        <w:t xml:space="preserve"> או </w:t>
      </w:r>
      <w:r>
        <w:rPr>
          <w:rFonts w:hint="cs"/>
          <w:b/>
          <w:bCs/>
          <w:sz w:val="26"/>
          <w:szCs w:val="26"/>
          <w:rtl/>
        </w:rPr>
        <w:t xml:space="preserve">20 </w:t>
      </w:r>
      <w:r>
        <w:rPr>
          <w:rFonts w:hint="eastAsia"/>
          <w:b/>
          <w:bCs/>
          <w:sz w:val="26"/>
          <w:szCs w:val="26"/>
          <w:rtl/>
        </w:rPr>
        <w:t>ימי</w:t>
      </w:r>
      <w:r>
        <w:rPr>
          <w:b/>
          <w:bCs/>
          <w:sz w:val="26"/>
          <w:szCs w:val="26"/>
          <w:rtl/>
        </w:rPr>
        <w:t xml:space="preserve"> מאסר  </w:t>
      </w:r>
      <w:r>
        <w:rPr>
          <w:rFonts w:hint="eastAsia"/>
          <w:b/>
          <w:bCs/>
          <w:sz w:val="26"/>
          <w:szCs w:val="26"/>
          <w:rtl/>
        </w:rPr>
        <w:t>תמורתו</w:t>
      </w:r>
      <w:r>
        <w:rPr>
          <w:b/>
          <w:bCs/>
          <w:sz w:val="26"/>
          <w:szCs w:val="26"/>
          <w:rtl/>
        </w:rPr>
        <w:t xml:space="preserve">. </w:t>
      </w:r>
    </w:p>
    <w:p w14:paraId="5E0E3624" w14:textId="77777777" w:rsidR="00F83ABA" w:rsidRDefault="00F54BC4">
      <w:pPr>
        <w:overflowPunct w:val="0"/>
        <w:autoSpaceDE w:val="0"/>
        <w:autoSpaceDN w:val="0"/>
        <w:adjustRightInd w:val="0"/>
        <w:spacing w:line="360" w:lineRule="auto"/>
        <w:ind w:left="720" w:hanging="720"/>
        <w:rPr>
          <w:b/>
          <w:bCs/>
          <w:sz w:val="26"/>
          <w:szCs w:val="26"/>
          <w:rtl/>
        </w:rPr>
      </w:pPr>
      <w:r>
        <w:rPr>
          <w:rFonts w:hint="cs"/>
          <w:b/>
          <w:bCs/>
          <w:sz w:val="26"/>
          <w:szCs w:val="26"/>
          <w:rtl/>
        </w:rPr>
        <w:t>3.</w:t>
      </w:r>
      <w:r>
        <w:rPr>
          <w:rFonts w:hint="cs"/>
          <w:b/>
          <w:bCs/>
          <w:sz w:val="26"/>
          <w:szCs w:val="26"/>
          <w:rtl/>
        </w:rPr>
        <w:tab/>
        <w:t xml:space="preserve">הנאשם ישלם פיצוי למתלוננת ולאחיה בסך של 750 ₪ כ"א. </w:t>
      </w:r>
    </w:p>
    <w:p w14:paraId="623FE1A3" w14:textId="77777777" w:rsidR="00F83ABA" w:rsidRDefault="00F54BC4">
      <w:pPr>
        <w:overflowPunct w:val="0"/>
        <w:autoSpaceDE w:val="0"/>
        <w:autoSpaceDN w:val="0"/>
        <w:adjustRightInd w:val="0"/>
        <w:spacing w:line="360" w:lineRule="auto"/>
        <w:ind w:left="720" w:hanging="720"/>
        <w:rPr>
          <w:b/>
          <w:bCs/>
          <w:sz w:val="28"/>
          <w:szCs w:val="28"/>
          <w:u w:val="single"/>
          <w:rtl/>
        </w:rPr>
      </w:pPr>
      <w:r>
        <w:rPr>
          <w:rFonts w:hint="cs"/>
          <w:b/>
          <w:bCs/>
          <w:sz w:val="26"/>
          <w:szCs w:val="26"/>
          <w:rtl/>
        </w:rPr>
        <w:tab/>
      </w:r>
      <w:r>
        <w:rPr>
          <w:rFonts w:hint="cs"/>
          <w:b/>
          <w:bCs/>
          <w:sz w:val="28"/>
          <w:szCs w:val="28"/>
          <w:u w:val="single"/>
          <w:rtl/>
        </w:rPr>
        <w:t xml:space="preserve">המאשימה תעביר את פרטי המתלוננת ואחיה למזכירות. </w:t>
      </w:r>
    </w:p>
    <w:p w14:paraId="47C00CE5" w14:textId="77777777" w:rsidR="00F83ABA" w:rsidRDefault="00F54BC4">
      <w:pPr>
        <w:spacing w:line="360" w:lineRule="auto"/>
        <w:ind w:left="720"/>
        <w:rPr>
          <w:b/>
          <w:bCs/>
          <w:sz w:val="26"/>
          <w:szCs w:val="26"/>
          <w:rtl/>
        </w:rPr>
      </w:pPr>
      <w:r>
        <w:rPr>
          <w:rFonts w:hint="eastAsia"/>
          <w:b/>
          <w:bCs/>
          <w:sz w:val="26"/>
          <w:szCs w:val="26"/>
          <w:rtl/>
        </w:rPr>
        <w:t>הקנס</w:t>
      </w:r>
      <w:r>
        <w:rPr>
          <w:b/>
          <w:bCs/>
          <w:sz w:val="26"/>
          <w:szCs w:val="26"/>
          <w:rtl/>
        </w:rPr>
        <w:t xml:space="preserve"> </w:t>
      </w:r>
      <w:r>
        <w:rPr>
          <w:rFonts w:hint="cs"/>
          <w:b/>
          <w:bCs/>
          <w:sz w:val="26"/>
          <w:szCs w:val="26"/>
          <w:rtl/>
        </w:rPr>
        <w:t xml:space="preserve">והפיצוי ישולמו ב- 4 תשלומים שווים ורצופים בסך 750 ₪ כ"א, החל בתאריך 15.4.15 ובכל 15 בחודש שלאחריו. </w:t>
      </w:r>
    </w:p>
    <w:p w14:paraId="2DBB8F80" w14:textId="77777777" w:rsidR="00F83ABA" w:rsidRDefault="00F54BC4">
      <w:pPr>
        <w:spacing w:line="360" w:lineRule="auto"/>
        <w:ind w:left="720"/>
        <w:rPr>
          <w:b/>
          <w:bCs/>
          <w:sz w:val="28"/>
          <w:szCs w:val="26"/>
          <w:rtl/>
        </w:rPr>
      </w:pPr>
      <w:r>
        <w:rPr>
          <w:rFonts w:hint="cs"/>
          <w:b/>
          <w:bCs/>
          <w:sz w:val="28"/>
          <w:szCs w:val="26"/>
          <w:rtl/>
        </w:rPr>
        <w:t xml:space="preserve">אי עמידה באחד התשלומים תביא לפרעון מיידי של הקנס והפיצוי, והפיצוי יישא הפרשי הצמדה וריבית כדין מהיום ועד התשלום המלא בפועל. </w:t>
      </w:r>
    </w:p>
    <w:p w14:paraId="0F7CE0F8" w14:textId="77777777" w:rsidR="00F83ABA" w:rsidRDefault="00F54BC4">
      <w:pPr>
        <w:pStyle w:val="a8"/>
        <w:spacing w:line="360" w:lineRule="auto"/>
        <w:rPr>
          <w:b/>
          <w:sz w:val="26"/>
          <w:szCs w:val="26"/>
          <w:rtl/>
        </w:rPr>
      </w:pPr>
      <w:r>
        <w:rPr>
          <w:rFonts w:hint="eastAsia"/>
          <w:b/>
          <w:sz w:val="26"/>
          <w:szCs w:val="26"/>
          <w:rtl/>
        </w:rPr>
        <w:t>זכות</w:t>
      </w:r>
      <w:r>
        <w:rPr>
          <w:b/>
          <w:sz w:val="26"/>
          <w:szCs w:val="26"/>
          <w:rtl/>
        </w:rPr>
        <w:t xml:space="preserve"> ערעור תוך 45 יום. </w:t>
      </w:r>
    </w:p>
    <w:p w14:paraId="44CF37CD" w14:textId="77777777" w:rsidR="00F83ABA" w:rsidRDefault="00F54BC4">
      <w:pPr>
        <w:spacing w:line="360" w:lineRule="auto"/>
        <w:rPr>
          <w:b/>
          <w:bCs/>
          <w:sz w:val="6"/>
          <w:szCs w:val="6"/>
        </w:rPr>
      </w:pPr>
      <w:r>
        <w:rPr>
          <w:b/>
          <w:bCs/>
          <w:sz w:val="6"/>
          <w:szCs w:val="6"/>
          <w:rtl/>
        </w:rPr>
        <w:t>&lt;#3#&gt;</w:t>
      </w:r>
    </w:p>
    <w:p w14:paraId="5C9C85AB" w14:textId="77777777" w:rsidR="00F83ABA" w:rsidRPr="00F54BC4" w:rsidRDefault="00F54BC4">
      <w:pPr>
        <w:jc w:val="right"/>
        <w:rPr>
          <w:color w:val="FFFFFF"/>
          <w:sz w:val="2"/>
          <w:szCs w:val="2"/>
          <w:rtl/>
        </w:rPr>
      </w:pPr>
      <w:r w:rsidRPr="00F54BC4">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F83ABA" w14:paraId="5C2A898E" w14:textId="77777777">
        <w:trPr>
          <w:trHeight w:val="316"/>
          <w:jc w:val="right"/>
        </w:trPr>
        <w:tc>
          <w:tcPr>
            <w:tcW w:w="3936" w:type="dxa"/>
            <w:shd w:val="clear" w:color="auto" w:fill="auto"/>
          </w:tcPr>
          <w:p w14:paraId="7BC0D4EC" w14:textId="77777777" w:rsidR="00F83ABA" w:rsidRDefault="00F54BC4">
            <w:pPr>
              <w:jc w:val="center"/>
              <w:rPr>
                <w:rFonts w:ascii="Times New Roman" w:eastAsia="Times New Roman" w:hAnsi="Times New Roman" w:cs="Times New Roman"/>
              </w:rPr>
            </w:pPr>
            <w:r w:rsidRPr="00F54BC4">
              <w:rPr>
                <w:b/>
                <w:bCs/>
                <w:color w:val="FFFFFF"/>
                <w:sz w:val="2"/>
                <w:szCs w:val="2"/>
                <w:rtl/>
              </w:rPr>
              <w:t>54678313</w:t>
            </w:r>
            <w:r>
              <w:rPr>
                <w:b/>
                <w:bCs/>
                <w:rtl/>
              </w:rPr>
              <w:t xml:space="preserve">ניתנה והודעה היום י"א אדר תשע"ה, 02/03/2015 במעמד הנוכחים. </w:t>
            </w:r>
          </w:p>
          <w:p w14:paraId="2FB55FD7" w14:textId="77777777" w:rsidR="00F83ABA" w:rsidRDefault="00F83ABA">
            <w:pPr>
              <w:jc w:val="center"/>
              <w:rPr>
                <w:rFonts w:ascii="Times New Roman" w:eastAsia="Times New Roman" w:hAnsi="Times New Roman" w:cs="Times New Roman"/>
                <w:rtl/>
              </w:rPr>
            </w:pPr>
          </w:p>
        </w:tc>
      </w:tr>
      <w:tr w:rsidR="00F83ABA" w14:paraId="03F94981" w14:textId="77777777">
        <w:trPr>
          <w:trHeight w:val="361"/>
          <w:jc w:val="right"/>
        </w:trPr>
        <w:tc>
          <w:tcPr>
            <w:tcW w:w="3936" w:type="dxa"/>
            <w:shd w:val="clear" w:color="auto" w:fill="auto"/>
          </w:tcPr>
          <w:p w14:paraId="66EBED3E" w14:textId="77777777" w:rsidR="00F83ABA" w:rsidRDefault="00F54BC4">
            <w:pPr>
              <w:jc w:val="center"/>
              <w:rPr>
                <w:rFonts w:ascii="Times New Roman" w:eastAsia="Times New Roman" w:hAnsi="Times New Roman"/>
                <w:b/>
                <w:bCs/>
                <w:rtl/>
              </w:rPr>
            </w:pPr>
            <w:r>
              <w:rPr>
                <w:rFonts w:ascii="Times New Roman" w:eastAsia="Times New Roman" w:hAnsi="Times New Roman" w:hint="cs"/>
                <w:b/>
                <w:bCs/>
                <w:rtl/>
              </w:rPr>
              <w:t>הדסה נאור</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0D859582" w14:textId="77777777" w:rsidR="00F83ABA" w:rsidRDefault="00F54BC4">
      <w:pPr>
        <w:spacing w:line="360" w:lineRule="auto"/>
        <w:jc w:val="both"/>
        <w:rPr>
          <w:rtl/>
        </w:rPr>
      </w:pPr>
      <w:r>
        <w:rPr>
          <w:rFonts w:hint="cs"/>
          <w:rtl/>
        </w:rPr>
        <w:t>אליה</w:t>
      </w:r>
    </w:p>
    <w:p w14:paraId="58C5662E" w14:textId="77777777" w:rsidR="00F54BC4" w:rsidRPr="00F54BC4" w:rsidRDefault="00F54BC4" w:rsidP="00F54BC4">
      <w:pPr>
        <w:keepNext/>
        <w:rPr>
          <w:color w:val="000000"/>
          <w:sz w:val="22"/>
          <w:szCs w:val="22"/>
          <w:rtl/>
        </w:rPr>
      </w:pPr>
    </w:p>
    <w:p w14:paraId="27EDD744" w14:textId="77777777" w:rsidR="00F54BC4" w:rsidRPr="00F54BC4" w:rsidRDefault="00F54BC4" w:rsidP="00F54BC4">
      <w:pPr>
        <w:keepNext/>
        <w:rPr>
          <w:color w:val="000000"/>
          <w:sz w:val="22"/>
          <w:szCs w:val="22"/>
          <w:rtl/>
        </w:rPr>
      </w:pPr>
      <w:r w:rsidRPr="00F54BC4">
        <w:rPr>
          <w:color w:val="000000"/>
          <w:sz w:val="22"/>
          <w:szCs w:val="22"/>
          <w:rtl/>
        </w:rPr>
        <w:t>הדסה נאור 54678313</w:t>
      </w:r>
    </w:p>
    <w:p w14:paraId="6A681C66" w14:textId="77777777" w:rsidR="00F54BC4" w:rsidRDefault="00F54BC4" w:rsidP="00F54BC4">
      <w:r w:rsidRPr="00F54BC4">
        <w:rPr>
          <w:color w:val="000000"/>
          <w:rtl/>
        </w:rPr>
        <w:t>נוסח מסמך זה כפוף לשינויי ניסוח ועריכה</w:t>
      </w:r>
    </w:p>
    <w:p w14:paraId="371666F2" w14:textId="77777777" w:rsidR="00F54BC4" w:rsidRDefault="00F54BC4" w:rsidP="00F54BC4">
      <w:pPr>
        <w:rPr>
          <w:rtl/>
        </w:rPr>
      </w:pPr>
    </w:p>
    <w:p w14:paraId="71782F59" w14:textId="77777777" w:rsidR="00F54BC4" w:rsidRDefault="00F54BC4" w:rsidP="00F54BC4">
      <w:pPr>
        <w:jc w:val="center"/>
        <w:rPr>
          <w:color w:val="0000FF"/>
          <w:u w:val="single"/>
        </w:rPr>
      </w:pPr>
      <w:hyperlink r:id="rId8" w:history="1">
        <w:r>
          <w:rPr>
            <w:color w:val="0000FF"/>
            <w:u w:val="single"/>
            <w:rtl/>
          </w:rPr>
          <w:t>בעניין עריכה ושינויים במסמכי פסיקה, חקיקה ועוד באתר נבו – הקש כאן</w:t>
        </w:r>
      </w:hyperlink>
    </w:p>
    <w:p w14:paraId="2ABD5694" w14:textId="77777777" w:rsidR="00F83ABA" w:rsidRPr="00F54BC4" w:rsidRDefault="00F83ABA" w:rsidP="00F54BC4">
      <w:pPr>
        <w:jc w:val="center"/>
        <w:rPr>
          <w:color w:val="0000FF"/>
          <w:u w:val="single"/>
        </w:rPr>
      </w:pPr>
    </w:p>
    <w:sectPr w:rsidR="00F83ABA" w:rsidRPr="00F54BC4" w:rsidSect="00F54BC4">
      <w:headerReference w:type="even" r:id="rId9"/>
      <w:headerReference w:type="default" r:id="rId10"/>
      <w:footerReference w:type="even" r:id="rId11"/>
      <w:footerReference w:type="default" r:id="rId1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89455D" w14:textId="77777777" w:rsidR="00E10105" w:rsidRDefault="00E10105">
      <w:r>
        <w:separator/>
      </w:r>
    </w:p>
  </w:endnote>
  <w:endnote w:type="continuationSeparator" w:id="0">
    <w:p w14:paraId="6D9916E6" w14:textId="77777777" w:rsidR="00E10105" w:rsidRDefault="00E10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9E304" w14:textId="77777777" w:rsidR="00E10105" w:rsidRDefault="00E10105" w:rsidP="00F54BC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44</w:t>
    </w:r>
    <w:r>
      <w:rPr>
        <w:rFonts w:ascii="FrankRuehl" w:hAnsi="FrankRuehl" w:cs="FrankRuehl"/>
        <w:rtl/>
      </w:rPr>
      <w:fldChar w:fldCharType="end"/>
    </w:r>
  </w:p>
  <w:p w14:paraId="1C46EAD2" w14:textId="77777777" w:rsidR="00E10105" w:rsidRPr="00F54BC4" w:rsidRDefault="00E10105" w:rsidP="00F54BC4">
    <w:pPr>
      <w:pStyle w:val="a5"/>
      <w:pBdr>
        <w:top w:val="single" w:sz="4" w:space="1" w:color="auto"/>
        <w:between w:val="single" w:sz="4" w:space="0" w:color="auto"/>
      </w:pBdr>
      <w:spacing w:after="60"/>
      <w:jc w:val="center"/>
      <w:rPr>
        <w:rFonts w:ascii="FrankRuehl" w:hAnsi="FrankRuehl" w:cs="FrankRuehl"/>
        <w:color w:val="000000"/>
      </w:rPr>
    </w:pPr>
    <w:r w:rsidRPr="00F54BC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DC5FF" w14:textId="77777777" w:rsidR="00E10105" w:rsidRDefault="00E10105" w:rsidP="00F54BC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C4A99">
      <w:rPr>
        <w:rFonts w:ascii="FrankRuehl" w:hAnsi="FrankRuehl" w:cs="FrankRuehl"/>
        <w:noProof/>
        <w:rtl/>
      </w:rPr>
      <w:t>1</w:t>
    </w:r>
    <w:r>
      <w:rPr>
        <w:rFonts w:ascii="FrankRuehl" w:hAnsi="FrankRuehl" w:cs="FrankRuehl"/>
        <w:rtl/>
      </w:rPr>
      <w:fldChar w:fldCharType="end"/>
    </w:r>
  </w:p>
  <w:p w14:paraId="0181987D" w14:textId="77777777" w:rsidR="00E10105" w:rsidRPr="00F54BC4" w:rsidRDefault="00E10105" w:rsidP="00F54BC4">
    <w:pPr>
      <w:pStyle w:val="a5"/>
      <w:pBdr>
        <w:top w:val="single" w:sz="4" w:space="1" w:color="auto"/>
        <w:between w:val="single" w:sz="4" w:space="0" w:color="auto"/>
      </w:pBdr>
      <w:spacing w:after="60"/>
      <w:jc w:val="center"/>
      <w:rPr>
        <w:rFonts w:ascii="FrankRuehl" w:hAnsi="FrankRuehl" w:cs="FrankRuehl"/>
        <w:color w:val="000000"/>
      </w:rPr>
    </w:pPr>
    <w:r w:rsidRPr="00F54BC4">
      <w:rPr>
        <w:rFonts w:ascii="FrankRuehl" w:hAnsi="FrankRuehl" w:cs="FrankRuehl"/>
        <w:color w:val="000000"/>
      </w:rPr>
      <w:pict w14:anchorId="67A526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1CA7D8" w14:textId="77777777" w:rsidR="00E10105" w:rsidRDefault="00E10105">
      <w:r>
        <w:separator/>
      </w:r>
    </w:p>
  </w:footnote>
  <w:footnote w:type="continuationSeparator" w:id="0">
    <w:p w14:paraId="01B15E99" w14:textId="77777777" w:rsidR="00E10105" w:rsidRDefault="00E101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342F4" w14:textId="77777777" w:rsidR="00E10105" w:rsidRPr="00F54BC4" w:rsidRDefault="00E10105" w:rsidP="00F54BC4">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8202-02-12</w:t>
    </w:r>
    <w:r>
      <w:rPr>
        <w:color w:val="000000"/>
        <w:sz w:val="22"/>
        <w:szCs w:val="22"/>
        <w:rtl/>
      </w:rPr>
      <w:tab/>
      <w:t xml:space="preserve"> מדינת ישראל נ' אייצ'או ארז צ'קול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66BD6" w14:textId="77777777" w:rsidR="00E10105" w:rsidRPr="00F54BC4" w:rsidRDefault="00E10105" w:rsidP="00F54BC4">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8202-02-12</w:t>
    </w:r>
    <w:r>
      <w:rPr>
        <w:color w:val="000000"/>
        <w:sz w:val="22"/>
        <w:szCs w:val="22"/>
        <w:rtl/>
      </w:rPr>
      <w:tab/>
      <w:t xml:space="preserve"> מדינת ישראל נ' אייצ'או ארז צ'קול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83ABA"/>
    <w:rsid w:val="0016017D"/>
    <w:rsid w:val="00272C99"/>
    <w:rsid w:val="00343B02"/>
    <w:rsid w:val="00431348"/>
    <w:rsid w:val="009A5881"/>
    <w:rsid w:val="00E10105"/>
    <w:rsid w:val="00EC4A99"/>
    <w:rsid w:val="00F54BC4"/>
    <w:rsid w:val="00F83A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805F773"/>
  <w15:chartTrackingRefBased/>
  <w15:docId w15:val="{441A159B-9D78-4AAE-8F2F-9053D9577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E1E11"/>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BE1E11"/>
  </w:style>
  <w:style w:type="paragraph" w:styleId="a4">
    <w:name w:val="header"/>
    <w:basedOn w:val="a"/>
    <w:rsid w:val="00BE1E11"/>
    <w:pPr>
      <w:tabs>
        <w:tab w:val="center" w:pos="4153"/>
        <w:tab w:val="right" w:pos="8306"/>
      </w:tabs>
    </w:pPr>
  </w:style>
  <w:style w:type="paragraph" w:styleId="a5">
    <w:name w:val="footer"/>
    <w:basedOn w:val="a"/>
    <w:rsid w:val="00BE1E11"/>
    <w:pPr>
      <w:tabs>
        <w:tab w:val="center" w:pos="4153"/>
        <w:tab w:val="right" w:pos="8306"/>
      </w:tabs>
    </w:pPr>
  </w:style>
  <w:style w:type="character" w:styleId="a6">
    <w:name w:val="page number"/>
    <w:basedOn w:val="a0"/>
    <w:rsid w:val="00BE1E11"/>
  </w:style>
  <w:style w:type="paragraph" w:customStyle="1" w:styleId="a7">
    <w:name w:val="סגנון מיושר לשני הצדדים מרווח בין שורות:  שורה וחצי"/>
    <w:basedOn w:val="a"/>
    <w:rsid w:val="00BE1E11"/>
    <w:pPr>
      <w:spacing w:line="360" w:lineRule="auto"/>
      <w:jc w:val="both"/>
    </w:pPr>
    <w:rPr>
      <w:rFonts w:eastAsia="Times New Roman"/>
      <w:szCs w:val="26"/>
    </w:rPr>
  </w:style>
  <w:style w:type="paragraph" w:customStyle="1" w:styleId="12">
    <w:name w:val="רגיל + ‏12 נק'"/>
    <w:aliases w:val="מיושר לשני הצדדים,מרווח בין שורות:  שורה וחצי"/>
    <w:basedOn w:val="a"/>
    <w:rsid w:val="00BE1E11"/>
    <w:rPr>
      <w:rFonts w:ascii="Times New Roman" w:eastAsia="Times New Roman" w:hAnsi="Times New Roman"/>
      <w:b/>
      <w:bCs/>
      <w:u w:val="single"/>
    </w:rPr>
  </w:style>
  <w:style w:type="paragraph" w:customStyle="1" w:styleId="a8">
    <w:name w:val="החלטה"/>
    <w:basedOn w:val="a"/>
    <w:rsid w:val="00BE1E11"/>
    <w:pPr>
      <w:suppressLineNumbers/>
    </w:pPr>
    <w:rPr>
      <w:rFonts w:ascii="Times New Roman" w:eastAsia="Times New Roman" w:hAnsi="Times New Roman"/>
      <w:bCs/>
      <w:snapToGrid w:val="0"/>
      <w:sz w:val="20"/>
      <w:lang w:eastAsia="he-IL"/>
    </w:rPr>
  </w:style>
  <w:style w:type="character" w:styleId="Hyperlink">
    <w:name w:val="Hyperlink"/>
    <w:basedOn w:val="a0"/>
    <w:rsid w:val="00F54B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474</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2842</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2025-04-22T21:42:00Z</dcterms:created>
  <dcterms:modified xsi:type="dcterms:W3CDTF">2025-04-22T21:42:00Z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8202</vt:lpwstr>
  </property>
  <property fmtid="{D5CDD505-2E9C-101B-9397-08002B2CF9AE}" pid="6" name="NEWPARTB">
    <vt:lpwstr>02</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אייצ'או ארז צ'קול</vt:lpwstr>
  </property>
  <property fmtid="{D5CDD505-2E9C-101B-9397-08002B2CF9AE}" pid="10" name="LAWYER">
    <vt:lpwstr>שירי חבה;יוסי שילוח</vt:lpwstr>
  </property>
  <property fmtid="{D5CDD505-2E9C-101B-9397-08002B2CF9AE}" pid="11" name="JUDGE">
    <vt:lpwstr>הדסה נאור</vt:lpwstr>
  </property>
  <property fmtid="{D5CDD505-2E9C-101B-9397-08002B2CF9AE}" pid="12" name="CITY">
    <vt:lpwstr>ת"א</vt:lpwstr>
  </property>
  <property fmtid="{D5CDD505-2E9C-101B-9397-08002B2CF9AE}" pid="13" name="DATE">
    <vt:lpwstr>20150302</vt:lpwstr>
  </property>
  <property fmtid="{D5CDD505-2E9C-101B-9397-08002B2CF9AE}" pid="14" name="TYPE_N_DATE">
    <vt:lpwstr>38020150302</vt:lpwstr>
  </property>
  <property fmtid="{D5CDD505-2E9C-101B-9397-08002B2CF9AE}" pid="15" name="LAWLISTTMP1">
    <vt:lpwstr>4216</vt:lpwstr>
  </property>
  <property fmtid="{D5CDD505-2E9C-101B-9397-08002B2CF9AE}" pid="16" name="WORDNUMPAGES">
    <vt:lpwstr>2</vt:lpwstr>
  </property>
  <property fmtid="{D5CDD505-2E9C-101B-9397-08002B2CF9AE}" pid="17" name="TYPE_ABS_DATE">
    <vt:lpwstr>380020150302</vt:lpwstr>
  </property>
</Properties>
</file>