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3872DC" w:rsidRPr="00D93225" w14:paraId="2D698012" w14:textId="77777777" w:rsidTr="0034708D">
        <w:trPr>
          <w:trHeight w:hRule="exact" w:val="418"/>
          <w:jc w:val="center"/>
        </w:trPr>
        <w:tc>
          <w:tcPr>
            <w:tcW w:w="8720" w:type="dxa"/>
            <w:gridSpan w:val="3"/>
          </w:tcPr>
          <w:p w14:paraId="4FFCB99C" w14:textId="77777777" w:rsidR="003872DC" w:rsidRPr="00D93225" w:rsidRDefault="003872DC" w:rsidP="0034708D">
            <w:pPr>
              <w:pStyle w:val="a3"/>
              <w:tabs>
                <w:tab w:val="clear" w:pos="8306"/>
              </w:tabs>
              <w:jc w:val="center"/>
              <w:rPr>
                <w:rFonts w:ascii="Tahoma" w:hAnsi="Tahoma"/>
                <w:b/>
                <w:bCs/>
                <w:color w:val="000080"/>
                <w:sz w:val="32"/>
                <w:szCs w:val="32"/>
                <w:rtl/>
              </w:rPr>
            </w:pPr>
            <w:bookmarkStart w:id="0" w:name="LastJudge"/>
            <w:r w:rsidRPr="00D93225">
              <w:rPr>
                <w:rFonts w:ascii="Tahoma" w:hAnsi="Tahoma"/>
                <w:b/>
                <w:bCs/>
                <w:color w:val="000080"/>
                <w:sz w:val="32"/>
                <w:szCs w:val="32"/>
                <w:rtl/>
              </w:rPr>
              <w:t>בית משפט השלום בתל אביב - יפו</w:t>
            </w:r>
          </w:p>
        </w:tc>
      </w:tr>
      <w:tr w:rsidR="003872DC" w:rsidRPr="00D93225" w14:paraId="59B23E2C" w14:textId="77777777" w:rsidTr="0034708D">
        <w:trPr>
          <w:trHeight w:val="337"/>
          <w:jc w:val="center"/>
        </w:trPr>
        <w:tc>
          <w:tcPr>
            <w:tcW w:w="6396" w:type="dxa"/>
          </w:tcPr>
          <w:p w14:paraId="436309AE" w14:textId="77777777" w:rsidR="003872DC" w:rsidRPr="00D93225" w:rsidRDefault="003872DC" w:rsidP="0034708D">
            <w:pPr>
              <w:rPr>
                <w:b/>
                <w:bCs/>
                <w:sz w:val="26"/>
                <w:szCs w:val="26"/>
                <w:rtl/>
              </w:rPr>
            </w:pPr>
            <w:r w:rsidRPr="00D93225">
              <w:rPr>
                <w:b/>
                <w:bCs/>
                <w:sz w:val="26"/>
                <w:szCs w:val="26"/>
                <w:rtl/>
              </w:rPr>
              <w:t>ת"פ</w:t>
            </w:r>
            <w:r w:rsidRPr="00D93225">
              <w:rPr>
                <w:rFonts w:hint="cs"/>
                <w:b/>
                <w:bCs/>
                <w:sz w:val="26"/>
                <w:szCs w:val="26"/>
                <w:rtl/>
              </w:rPr>
              <w:t xml:space="preserve"> </w:t>
            </w:r>
            <w:r w:rsidRPr="00D93225">
              <w:rPr>
                <w:b/>
                <w:bCs/>
                <w:sz w:val="26"/>
                <w:szCs w:val="26"/>
                <w:rtl/>
              </w:rPr>
              <w:t>11439-03-12</w:t>
            </w:r>
            <w:r w:rsidRPr="00D93225">
              <w:rPr>
                <w:rFonts w:hint="cs"/>
                <w:b/>
                <w:bCs/>
                <w:sz w:val="26"/>
                <w:szCs w:val="26"/>
                <w:rtl/>
              </w:rPr>
              <w:t xml:space="preserve"> </w:t>
            </w:r>
            <w:r w:rsidRPr="00D93225">
              <w:rPr>
                <w:b/>
                <w:bCs/>
                <w:sz w:val="26"/>
                <w:szCs w:val="26"/>
                <w:rtl/>
              </w:rPr>
              <w:t>מדינת ישראל נ' חודצקי</w:t>
            </w:r>
          </w:p>
          <w:p w14:paraId="49773B91" w14:textId="77777777" w:rsidR="003872DC" w:rsidRPr="00D93225" w:rsidRDefault="003872DC" w:rsidP="0034708D">
            <w:pPr>
              <w:pStyle w:val="a3"/>
              <w:rPr>
                <w:sz w:val="26"/>
                <w:szCs w:val="26"/>
                <w:rtl/>
              </w:rPr>
            </w:pPr>
          </w:p>
          <w:p w14:paraId="7E34FDF7" w14:textId="77777777" w:rsidR="003872DC" w:rsidRPr="00D93225" w:rsidRDefault="003872DC" w:rsidP="0034708D">
            <w:pPr>
              <w:rPr>
                <w:b/>
                <w:bCs/>
                <w:sz w:val="26"/>
                <w:szCs w:val="26"/>
                <w:rtl/>
              </w:rPr>
            </w:pPr>
          </w:p>
        </w:tc>
        <w:tc>
          <w:tcPr>
            <w:tcW w:w="236" w:type="dxa"/>
          </w:tcPr>
          <w:p w14:paraId="51FFFA32" w14:textId="77777777" w:rsidR="003872DC" w:rsidRPr="00D93225" w:rsidRDefault="003872DC" w:rsidP="0034708D">
            <w:pPr>
              <w:pStyle w:val="a3"/>
              <w:jc w:val="right"/>
              <w:rPr>
                <w:b/>
                <w:bCs/>
                <w:sz w:val="26"/>
                <w:szCs w:val="26"/>
                <w:rtl/>
              </w:rPr>
            </w:pPr>
          </w:p>
        </w:tc>
        <w:tc>
          <w:tcPr>
            <w:tcW w:w="2088" w:type="dxa"/>
          </w:tcPr>
          <w:p w14:paraId="642E279A" w14:textId="77777777" w:rsidR="003872DC" w:rsidRPr="00D93225" w:rsidRDefault="003872DC" w:rsidP="0034708D">
            <w:pPr>
              <w:pStyle w:val="a3"/>
              <w:tabs>
                <w:tab w:val="clear" w:pos="4153"/>
              </w:tabs>
              <w:jc w:val="right"/>
              <w:rPr>
                <w:b/>
                <w:bCs/>
                <w:sz w:val="26"/>
                <w:szCs w:val="26"/>
                <w:rtl/>
              </w:rPr>
            </w:pPr>
            <w:r w:rsidRPr="00D93225">
              <w:rPr>
                <w:b/>
                <w:bCs/>
                <w:sz w:val="26"/>
                <w:szCs w:val="26"/>
                <w:rtl/>
              </w:rPr>
              <w:t>06 ספטמבר 2017</w:t>
            </w:r>
          </w:p>
        </w:tc>
      </w:tr>
    </w:tbl>
    <w:p w14:paraId="26080829" w14:textId="77777777" w:rsidR="003872DC" w:rsidRPr="00D93225" w:rsidRDefault="003872DC" w:rsidP="003872DC">
      <w:pPr>
        <w:pStyle w:val="a3"/>
        <w:tabs>
          <w:tab w:val="left" w:pos="2785"/>
        </w:tabs>
        <w:rPr>
          <w:rFonts w:ascii="Tahoma" w:hAnsi="Tahoma" w:cs="Tahoma"/>
          <w:b/>
          <w:bCs/>
          <w:color w:val="000080"/>
          <w:sz w:val="2"/>
          <w:szCs w:val="2"/>
          <w:rtl/>
        </w:rPr>
      </w:pPr>
    </w:p>
    <w:p w14:paraId="1D2DCF22" w14:textId="77777777" w:rsidR="003872DC" w:rsidRPr="00D93225" w:rsidRDefault="003872DC" w:rsidP="003872DC">
      <w:pPr>
        <w:suppressLineNumbers/>
        <w:spacing w:line="360" w:lineRule="auto"/>
        <w:rPr>
          <w:sz w:val="8"/>
          <w:szCs w:val="8"/>
          <w:rtl/>
        </w:rPr>
      </w:pPr>
    </w:p>
    <w:p w14:paraId="017014B6" w14:textId="77777777" w:rsidR="003872DC" w:rsidRPr="00D93225" w:rsidRDefault="003872DC" w:rsidP="003872DC">
      <w:pPr>
        <w:suppressLineNumbers/>
        <w:rPr>
          <w:rFonts w:ascii="Arial" w:hAnsi="Arial"/>
          <w:rtl/>
        </w:rPr>
      </w:pPr>
    </w:p>
    <w:tbl>
      <w:tblPr>
        <w:bidiVisual/>
        <w:tblW w:w="8802" w:type="dxa"/>
        <w:tblInd w:w="-28" w:type="dxa"/>
        <w:tblLook w:val="01E0" w:firstRow="1" w:lastRow="1" w:firstColumn="1" w:lastColumn="1" w:noHBand="0" w:noVBand="0"/>
      </w:tblPr>
      <w:tblGrid>
        <w:gridCol w:w="2880"/>
        <w:gridCol w:w="5838"/>
        <w:gridCol w:w="84"/>
      </w:tblGrid>
      <w:tr w:rsidR="0034708D" w:rsidRPr="00D93225" w14:paraId="2427D4FD" w14:textId="77777777" w:rsidTr="003872DC">
        <w:trPr>
          <w:gridAfter w:val="1"/>
          <w:wAfter w:w="56" w:type="dxa"/>
        </w:trPr>
        <w:tc>
          <w:tcPr>
            <w:tcW w:w="8718" w:type="dxa"/>
            <w:gridSpan w:val="2"/>
            <w:shd w:val="clear" w:color="auto" w:fill="auto"/>
          </w:tcPr>
          <w:p w14:paraId="43D736ED" w14:textId="77777777" w:rsidR="003872DC" w:rsidRPr="00D93225" w:rsidRDefault="003872DC" w:rsidP="0034708D">
            <w:pPr>
              <w:rPr>
                <w:b/>
                <w:bCs/>
                <w:sz w:val="26"/>
                <w:szCs w:val="26"/>
                <w:rtl/>
              </w:rPr>
            </w:pPr>
          </w:p>
          <w:p w14:paraId="3262ED67" w14:textId="77777777" w:rsidR="003872DC" w:rsidRPr="00D93225" w:rsidRDefault="003872DC" w:rsidP="0034708D">
            <w:pPr>
              <w:pStyle w:val="a3"/>
              <w:rPr>
                <w:b/>
                <w:bCs/>
                <w:sz w:val="26"/>
                <w:szCs w:val="26"/>
                <w:rtl/>
              </w:rPr>
            </w:pPr>
            <w:r w:rsidRPr="00D93225">
              <w:rPr>
                <w:b/>
                <w:bCs/>
                <w:sz w:val="26"/>
                <w:szCs w:val="26"/>
                <w:rtl/>
              </w:rPr>
              <w:t xml:space="preserve"> פ"א מהסבה</w:t>
            </w:r>
            <w:r w:rsidRPr="00D93225">
              <w:rPr>
                <w:rFonts w:hint="cs"/>
                <w:b/>
                <w:bCs/>
                <w:sz w:val="26"/>
                <w:szCs w:val="26"/>
                <w:rtl/>
              </w:rPr>
              <w:t xml:space="preserve"> </w:t>
            </w:r>
            <w:r w:rsidRPr="00D93225">
              <w:rPr>
                <w:rFonts w:hint="eastAsia"/>
                <w:b/>
                <w:bCs/>
                <w:sz w:val="26"/>
                <w:szCs w:val="26"/>
                <w:rtl/>
              </w:rPr>
              <w:t>429716/2011 לב ת"א ירקון</w:t>
            </w:r>
            <w:r w:rsidRPr="00D93225">
              <w:rPr>
                <w:rFonts w:hint="cs"/>
                <w:b/>
                <w:bCs/>
                <w:sz w:val="26"/>
                <w:szCs w:val="26"/>
                <w:rtl/>
              </w:rPr>
              <w:t xml:space="preserve"> </w:t>
            </w:r>
            <w:r w:rsidRPr="00D93225">
              <w:rPr>
                <w:b/>
                <w:bCs/>
                <w:sz w:val="26"/>
                <w:szCs w:val="26"/>
                <w:rtl/>
              </w:rPr>
              <w:t xml:space="preserve"> </w:t>
            </w:r>
          </w:p>
          <w:p w14:paraId="183A5C6A" w14:textId="77777777" w:rsidR="003872DC" w:rsidRPr="00D93225" w:rsidRDefault="003872DC" w:rsidP="0034708D">
            <w:pPr>
              <w:pStyle w:val="a3"/>
              <w:rPr>
                <w:b/>
                <w:bCs/>
                <w:sz w:val="26"/>
                <w:szCs w:val="26"/>
                <w:rtl/>
              </w:rPr>
            </w:pPr>
          </w:p>
          <w:p w14:paraId="11F819BD" w14:textId="77777777" w:rsidR="003872DC" w:rsidRPr="00D93225" w:rsidRDefault="003872DC" w:rsidP="0034708D">
            <w:pPr>
              <w:pStyle w:val="a3"/>
              <w:rPr>
                <w:b/>
                <w:bCs/>
                <w:sz w:val="26"/>
                <w:szCs w:val="26"/>
                <w:rtl/>
              </w:rPr>
            </w:pPr>
            <w:r w:rsidRPr="00D93225">
              <w:rPr>
                <w:b/>
                <w:bCs/>
                <w:sz w:val="26"/>
                <w:szCs w:val="26"/>
                <w:rtl/>
              </w:rPr>
              <w:t xml:space="preserve"> פ"א מהסבה</w:t>
            </w:r>
            <w:r w:rsidRPr="00D93225">
              <w:rPr>
                <w:rFonts w:hint="cs"/>
                <w:b/>
                <w:bCs/>
                <w:sz w:val="26"/>
                <w:szCs w:val="26"/>
                <w:rtl/>
              </w:rPr>
              <w:t xml:space="preserve"> </w:t>
            </w:r>
            <w:r w:rsidRPr="00D93225">
              <w:rPr>
                <w:rFonts w:hint="eastAsia"/>
                <w:b/>
                <w:bCs/>
                <w:sz w:val="26"/>
                <w:szCs w:val="26"/>
                <w:rtl/>
              </w:rPr>
              <w:t>477115/2011 לב ת"א ירקון</w:t>
            </w:r>
            <w:r w:rsidRPr="00D93225">
              <w:rPr>
                <w:rFonts w:hint="cs"/>
                <w:b/>
                <w:bCs/>
                <w:sz w:val="26"/>
                <w:szCs w:val="26"/>
                <w:rtl/>
              </w:rPr>
              <w:t xml:space="preserve"> </w:t>
            </w:r>
            <w:r w:rsidRPr="00D93225">
              <w:rPr>
                <w:b/>
                <w:bCs/>
                <w:sz w:val="26"/>
                <w:szCs w:val="26"/>
                <w:rtl/>
              </w:rPr>
              <w:t xml:space="preserve"> </w:t>
            </w:r>
          </w:p>
          <w:p w14:paraId="76002938" w14:textId="77777777" w:rsidR="003872DC" w:rsidRPr="00D93225" w:rsidRDefault="003872DC" w:rsidP="0034708D">
            <w:pPr>
              <w:pStyle w:val="a3"/>
              <w:rPr>
                <w:b/>
                <w:bCs/>
                <w:sz w:val="26"/>
                <w:szCs w:val="26"/>
                <w:rtl/>
              </w:rPr>
            </w:pPr>
          </w:p>
          <w:p w14:paraId="7F3A4712" w14:textId="77777777" w:rsidR="003872DC" w:rsidRPr="00D93225" w:rsidRDefault="003872DC" w:rsidP="0034708D">
            <w:pPr>
              <w:pStyle w:val="a3"/>
              <w:rPr>
                <w:b/>
                <w:bCs/>
                <w:sz w:val="26"/>
                <w:szCs w:val="26"/>
                <w:rtl/>
              </w:rPr>
            </w:pPr>
            <w:r w:rsidRPr="00D93225">
              <w:rPr>
                <w:b/>
                <w:bCs/>
                <w:sz w:val="26"/>
                <w:szCs w:val="26"/>
                <w:rtl/>
              </w:rPr>
              <w:t xml:space="preserve"> פ"א מהסבה</w:t>
            </w:r>
            <w:r w:rsidRPr="00D93225">
              <w:rPr>
                <w:rFonts w:hint="cs"/>
                <w:b/>
                <w:bCs/>
                <w:sz w:val="26"/>
                <w:szCs w:val="26"/>
                <w:rtl/>
              </w:rPr>
              <w:t xml:space="preserve"> </w:t>
            </w:r>
            <w:r w:rsidRPr="00D93225">
              <w:rPr>
                <w:rFonts w:hint="eastAsia"/>
                <w:b/>
                <w:bCs/>
                <w:sz w:val="26"/>
                <w:szCs w:val="26"/>
                <w:rtl/>
              </w:rPr>
              <w:t>527099/2011 יפתח</w:t>
            </w:r>
            <w:r w:rsidRPr="00D93225">
              <w:rPr>
                <w:rFonts w:hint="cs"/>
                <w:b/>
                <w:bCs/>
                <w:sz w:val="26"/>
                <w:szCs w:val="26"/>
                <w:rtl/>
              </w:rPr>
              <w:t xml:space="preserve"> </w:t>
            </w:r>
            <w:r w:rsidRPr="00D93225">
              <w:rPr>
                <w:b/>
                <w:bCs/>
                <w:sz w:val="26"/>
                <w:szCs w:val="26"/>
                <w:rtl/>
              </w:rPr>
              <w:t xml:space="preserve"> </w:t>
            </w:r>
          </w:p>
          <w:p w14:paraId="79C575F2" w14:textId="77777777" w:rsidR="003872DC" w:rsidRPr="00D93225" w:rsidRDefault="003872DC" w:rsidP="0034708D">
            <w:pPr>
              <w:pStyle w:val="a3"/>
              <w:rPr>
                <w:b/>
                <w:bCs/>
                <w:sz w:val="26"/>
                <w:szCs w:val="26"/>
                <w:rtl/>
              </w:rPr>
            </w:pPr>
          </w:p>
          <w:p w14:paraId="274AC139" w14:textId="77777777" w:rsidR="003872DC" w:rsidRPr="00D93225" w:rsidRDefault="003872DC" w:rsidP="0034708D">
            <w:pPr>
              <w:pStyle w:val="a3"/>
              <w:rPr>
                <w:b/>
                <w:bCs/>
                <w:sz w:val="26"/>
                <w:szCs w:val="26"/>
                <w:rtl/>
              </w:rPr>
            </w:pPr>
            <w:r w:rsidRPr="00D93225">
              <w:rPr>
                <w:b/>
                <w:bCs/>
                <w:sz w:val="26"/>
                <w:szCs w:val="26"/>
                <w:rtl/>
              </w:rPr>
              <w:t xml:space="preserve"> פ"א מהסבה</w:t>
            </w:r>
            <w:r w:rsidRPr="00D93225">
              <w:rPr>
                <w:rFonts w:hint="cs"/>
                <w:b/>
                <w:bCs/>
                <w:sz w:val="26"/>
                <w:szCs w:val="26"/>
                <w:rtl/>
              </w:rPr>
              <w:t xml:space="preserve"> </w:t>
            </w:r>
            <w:r w:rsidRPr="00D93225">
              <w:rPr>
                <w:rFonts w:hint="eastAsia"/>
                <w:b/>
                <w:bCs/>
                <w:sz w:val="26"/>
                <w:szCs w:val="26"/>
                <w:rtl/>
              </w:rPr>
              <w:t>18730/2012 יפתח</w:t>
            </w:r>
            <w:r w:rsidRPr="00D93225">
              <w:rPr>
                <w:rFonts w:hint="cs"/>
                <w:b/>
                <w:bCs/>
                <w:sz w:val="26"/>
                <w:szCs w:val="26"/>
                <w:rtl/>
              </w:rPr>
              <w:t xml:space="preserve"> </w:t>
            </w:r>
            <w:r w:rsidRPr="00D93225">
              <w:rPr>
                <w:b/>
                <w:bCs/>
                <w:sz w:val="26"/>
                <w:szCs w:val="26"/>
                <w:rtl/>
              </w:rPr>
              <w:t xml:space="preserve"> </w:t>
            </w:r>
          </w:p>
          <w:p w14:paraId="79E3685E" w14:textId="77777777" w:rsidR="003872DC" w:rsidRPr="00D93225" w:rsidRDefault="003872DC" w:rsidP="0034708D">
            <w:pPr>
              <w:pStyle w:val="a3"/>
              <w:rPr>
                <w:b/>
                <w:bCs/>
                <w:sz w:val="26"/>
                <w:szCs w:val="26"/>
                <w:rtl/>
              </w:rPr>
            </w:pPr>
          </w:p>
        </w:tc>
      </w:tr>
      <w:tr w:rsidR="0034708D" w:rsidRPr="00D93225" w14:paraId="77149EF1" w14:textId="77777777" w:rsidTr="003872DC">
        <w:trPr>
          <w:gridAfter w:val="1"/>
          <w:wAfter w:w="56" w:type="dxa"/>
        </w:trPr>
        <w:tc>
          <w:tcPr>
            <w:tcW w:w="8718" w:type="dxa"/>
            <w:gridSpan w:val="2"/>
            <w:shd w:val="clear" w:color="auto" w:fill="auto"/>
          </w:tcPr>
          <w:p w14:paraId="2722A4AF" w14:textId="77777777" w:rsidR="003872DC" w:rsidRPr="00D93225" w:rsidRDefault="003872DC" w:rsidP="0034708D">
            <w:pPr>
              <w:rPr>
                <w:b/>
                <w:bCs/>
                <w:sz w:val="12"/>
                <w:szCs w:val="12"/>
                <w:rtl/>
              </w:rPr>
            </w:pPr>
          </w:p>
        </w:tc>
      </w:tr>
      <w:tr w:rsidR="0034708D" w:rsidRPr="00D93225" w14:paraId="61A68387" w14:textId="77777777" w:rsidTr="003872DC">
        <w:trPr>
          <w:gridAfter w:val="1"/>
          <w:wAfter w:w="56" w:type="dxa"/>
        </w:trPr>
        <w:tc>
          <w:tcPr>
            <w:tcW w:w="8718" w:type="dxa"/>
            <w:gridSpan w:val="2"/>
            <w:shd w:val="clear" w:color="auto" w:fill="auto"/>
          </w:tcPr>
          <w:p w14:paraId="6D228DCB" w14:textId="77777777" w:rsidR="003872DC" w:rsidRPr="00D93225" w:rsidRDefault="003872DC" w:rsidP="0034708D">
            <w:pPr>
              <w:rPr>
                <w:b/>
                <w:bCs/>
                <w:sz w:val="26"/>
                <w:szCs w:val="26"/>
                <w:rtl/>
              </w:rPr>
            </w:pPr>
            <w:r w:rsidRPr="00D93225">
              <w:rPr>
                <w:rFonts w:hint="cs"/>
                <w:b/>
                <w:bCs/>
                <w:sz w:val="26"/>
                <w:szCs w:val="26"/>
                <w:rtl/>
              </w:rPr>
              <w:t>לפני כבוד ה</w:t>
            </w:r>
            <w:r w:rsidRPr="00D93225">
              <w:rPr>
                <w:b/>
                <w:bCs/>
                <w:sz w:val="26"/>
                <w:szCs w:val="26"/>
                <w:rtl/>
              </w:rPr>
              <w:t>שופט שמואל מלמד</w:t>
            </w:r>
          </w:p>
        </w:tc>
      </w:tr>
      <w:tr w:rsidR="0034708D" w:rsidRPr="00D93225" w14:paraId="5A676537" w14:textId="77777777" w:rsidTr="003872DC">
        <w:trPr>
          <w:cantSplit/>
          <w:trHeight w:val="724"/>
        </w:trPr>
        <w:tc>
          <w:tcPr>
            <w:tcW w:w="2880" w:type="dxa"/>
            <w:shd w:val="clear" w:color="auto" w:fill="auto"/>
          </w:tcPr>
          <w:p w14:paraId="4C10C9B4" w14:textId="77777777" w:rsidR="003872DC" w:rsidRPr="00D93225" w:rsidRDefault="003872DC" w:rsidP="003872DC">
            <w:pPr>
              <w:ind w:left="26"/>
              <w:rPr>
                <w:b/>
                <w:bCs/>
                <w:sz w:val="26"/>
                <w:szCs w:val="26"/>
                <w:rtl/>
              </w:rPr>
            </w:pPr>
            <w:bookmarkStart w:id="1" w:name="FirstAppellant"/>
          </w:p>
          <w:p w14:paraId="3B16DB4D" w14:textId="77777777" w:rsidR="003872DC" w:rsidRPr="00D93225" w:rsidRDefault="003872DC" w:rsidP="003872DC">
            <w:pPr>
              <w:ind w:left="26"/>
              <w:rPr>
                <w:b/>
                <w:bCs/>
                <w:sz w:val="26"/>
                <w:szCs w:val="26"/>
                <w:rtl/>
              </w:rPr>
            </w:pPr>
            <w:r w:rsidRPr="00D93225">
              <w:rPr>
                <w:rFonts w:hint="cs"/>
                <w:b/>
                <w:bCs/>
                <w:sz w:val="26"/>
                <w:szCs w:val="26"/>
                <w:rtl/>
              </w:rPr>
              <w:t>ה</w:t>
            </w:r>
            <w:r w:rsidRPr="00D93225">
              <w:rPr>
                <w:b/>
                <w:bCs/>
                <w:sz w:val="26"/>
                <w:szCs w:val="26"/>
                <w:rtl/>
              </w:rPr>
              <w:t>מאשימה</w:t>
            </w:r>
          </w:p>
        </w:tc>
        <w:tc>
          <w:tcPr>
            <w:tcW w:w="5922" w:type="dxa"/>
            <w:gridSpan w:val="2"/>
            <w:shd w:val="clear" w:color="auto" w:fill="auto"/>
          </w:tcPr>
          <w:p w14:paraId="76E7FBCD" w14:textId="77777777" w:rsidR="003872DC" w:rsidRPr="00D93225" w:rsidRDefault="003872DC" w:rsidP="0034708D">
            <w:pPr>
              <w:rPr>
                <w:sz w:val="26"/>
                <w:szCs w:val="26"/>
                <w:rtl/>
              </w:rPr>
            </w:pPr>
          </w:p>
          <w:p w14:paraId="3CB3D7B7" w14:textId="77777777" w:rsidR="003872DC" w:rsidRPr="00D93225" w:rsidRDefault="003872DC" w:rsidP="0034708D">
            <w:pPr>
              <w:rPr>
                <w:b/>
                <w:bCs/>
                <w:sz w:val="26"/>
                <w:szCs w:val="26"/>
                <w:rtl/>
              </w:rPr>
            </w:pPr>
            <w:r w:rsidRPr="00D93225">
              <w:rPr>
                <w:rFonts w:hint="cs"/>
                <w:sz w:val="26"/>
                <w:szCs w:val="26"/>
                <w:rtl/>
              </w:rPr>
              <w:t xml:space="preserve"> </w:t>
            </w:r>
            <w:r w:rsidRPr="00D93225">
              <w:rPr>
                <w:b/>
                <w:bCs/>
                <w:sz w:val="26"/>
                <w:szCs w:val="26"/>
                <w:rtl/>
              </w:rPr>
              <w:t>מדינת ישראל</w:t>
            </w:r>
          </w:p>
        </w:tc>
      </w:tr>
      <w:bookmarkEnd w:id="1"/>
      <w:tr w:rsidR="0034708D" w:rsidRPr="00D93225" w14:paraId="62CE7FD4" w14:textId="77777777" w:rsidTr="003872DC">
        <w:tc>
          <w:tcPr>
            <w:tcW w:w="8802" w:type="dxa"/>
            <w:gridSpan w:val="3"/>
            <w:shd w:val="clear" w:color="auto" w:fill="auto"/>
            <w:vAlign w:val="center"/>
          </w:tcPr>
          <w:p w14:paraId="4BA2D1BC" w14:textId="77777777" w:rsidR="003872DC" w:rsidRPr="00D93225" w:rsidRDefault="003872DC" w:rsidP="003872DC">
            <w:pPr>
              <w:jc w:val="center"/>
              <w:rPr>
                <w:rFonts w:ascii="Arial" w:hAnsi="Arial"/>
                <w:b/>
                <w:bCs/>
                <w:sz w:val="26"/>
                <w:szCs w:val="26"/>
                <w:rtl/>
              </w:rPr>
            </w:pPr>
          </w:p>
          <w:p w14:paraId="40550292" w14:textId="77777777" w:rsidR="003872DC" w:rsidRPr="00D93225" w:rsidRDefault="003872DC" w:rsidP="003872DC">
            <w:pPr>
              <w:jc w:val="center"/>
              <w:rPr>
                <w:rFonts w:ascii="Arial" w:hAnsi="Arial"/>
                <w:b/>
                <w:bCs/>
                <w:sz w:val="26"/>
                <w:szCs w:val="26"/>
                <w:rtl/>
              </w:rPr>
            </w:pPr>
            <w:r w:rsidRPr="00D93225">
              <w:rPr>
                <w:rFonts w:ascii="Arial" w:hAnsi="Arial"/>
                <w:b/>
                <w:bCs/>
                <w:sz w:val="26"/>
                <w:szCs w:val="26"/>
                <w:rtl/>
              </w:rPr>
              <w:t>נגד</w:t>
            </w:r>
          </w:p>
          <w:p w14:paraId="18507CC0" w14:textId="77777777" w:rsidR="003872DC" w:rsidRPr="00D93225" w:rsidRDefault="003872DC" w:rsidP="0034708D">
            <w:pPr>
              <w:rPr>
                <w:rFonts w:ascii="Arial" w:hAnsi="Arial"/>
                <w:b/>
                <w:bCs/>
                <w:sz w:val="22"/>
                <w:szCs w:val="22"/>
              </w:rPr>
            </w:pPr>
          </w:p>
        </w:tc>
      </w:tr>
      <w:tr w:rsidR="0034708D" w:rsidRPr="00D93225" w14:paraId="35A29722" w14:textId="77777777" w:rsidTr="003872DC">
        <w:tc>
          <w:tcPr>
            <w:tcW w:w="2880" w:type="dxa"/>
            <w:shd w:val="clear" w:color="auto" w:fill="auto"/>
          </w:tcPr>
          <w:p w14:paraId="270ADD0E" w14:textId="77777777" w:rsidR="003872DC" w:rsidRPr="00D93225" w:rsidRDefault="003872DC" w:rsidP="003872DC">
            <w:pPr>
              <w:ind w:left="26"/>
              <w:rPr>
                <w:b/>
                <w:bCs/>
                <w:sz w:val="26"/>
                <w:szCs w:val="26"/>
                <w:rtl/>
              </w:rPr>
            </w:pPr>
            <w:r w:rsidRPr="00D93225">
              <w:rPr>
                <w:rFonts w:hint="cs"/>
                <w:b/>
                <w:bCs/>
                <w:sz w:val="26"/>
                <w:szCs w:val="26"/>
                <w:rtl/>
              </w:rPr>
              <w:t>ה</w:t>
            </w:r>
            <w:r w:rsidRPr="00D93225">
              <w:rPr>
                <w:b/>
                <w:bCs/>
                <w:sz w:val="26"/>
                <w:szCs w:val="26"/>
                <w:rtl/>
              </w:rPr>
              <w:t>נאשם</w:t>
            </w:r>
          </w:p>
        </w:tc>
        <w:tc>
          <w:tcPr>
            <w:tcW w:w="5922" w:type="dxa"/>
            <w:gridSpan w:val="2"/>
            <w:shd w:val="clear" w:color="auto" w:fill="auto"/>
          </w:tcPr>
          <w:p w14:paraId="66CF3148" w14:textId="77777777" w:rsidR="003872DC" w:rsidRPr="00D93225" w:rsidRDefault="003872DC" w:rsidP="0034708D">
            <w:pPr>
              <w:rPr>
                <w:b/>
                <w:bCs/>
                <w:sz w:val="26"/>
                <w:szCs w:val="26"/>
                <w:rtl/>
              </w:rPr>
            </w:pPr>
            <w:r w:rsidRPr="00D93225">
              <w:rPr>
                <w:rFonts w:hint="cs"/>
                <w:sz w:val="26"/>
                <w:szCs w:val="26"/>
                <w:rtl/>
              </w:rPr>
              <w:t xml:space="preserve"> </w:t>
            </w:r>
            <w:r w:rsidRPr="00D93225">
              <w:rPr>
                <w:b/>
                <w:bCs/>
                <w:sz w:val="26"/>
                <w:szCs w:val="26"/>
                <w:rtl/>
              </w:rPr>
              <w:t>מיכאל חודצקי</w:t>
            </w:r>
            <w:r w:rsidRPr="00D93225">
              <w:rPr>
                <w:rFonts w:hint="cs"/>
                <w:sz w:val="26"/>
                <w:szCs w:val="26"/>
                <w:rtl/>
              </w:rPr>
              <w:t xml:space="preserve"> </w:t>
            </w:r>
            <w:r w:rsidRPr="00D93225">
              <w:rPr>
                <w:rFonts w:hint="eastAsia"/>
                <w:b/>
                <w:bCs/>
                <w:sz w:val="26"/>
                <w:szCs w:val="26"/>
                <w:rtl/>
              </w:rPr>
              <w:t>ת.ז.</w:t>
            </w:r>
            <w:r w:rsidRPr="00D93225">
              <w:rPr>
                <w:b/>
                <w:bCs/>
                <w:sz w:val="26"/>
                <w:szCs w:val="26"/>
                <w:rtl/>
              </w:rPr>
              <w:t xml:space="preserve"> </w:t>
            </w:r>
            <w:r w:rsidRPr="00D93225">
              <w:rPr>
                <w:rFonts w:hint="cs"/>
                <w:b/>
                <w:bCs/>
                <w:sz w:val="26"/>
                <w:szCs w:val="26"/>
                <w:rtl/>
              </w:rPr>
              <w:t xml:space="preserve"> </w:t>
            </w:r>
            <w:r w:rsidR="00D93225">
              <w:rPr>
                <w:b/>
                <w:bCs/>
                <w:sz w:val="26"/>
                <w:szCs w:val="26"/>
              </w:rPr>
              <w:t>xxxxxxxxxx</w:t>
            </w:r>
          </w:p>
        </w:tc>
      </w:tr>
    </w:tbl>
    <w:p w14:paraId="398CD67B" w14:textId="77777777" w:rsidR="003872DC" w:rsidRPr="00D93225" w:rsidRDefault="003872DC" w:rsidP="003872DC">
      <w:pPr>
        <w:spacing w:line="360" w:lineRule="auto"/>
        <w:jc w:val="both"/>
        <w:rPr>
          <w:sz w:val="6"/>
          <w:szCs w:val="6"/>
          <w:rtl/>
        </w:rPr>
      </w:pPr>
      <w:r w:rsidRPr="00D93225">
        <w:rPr>
          <w:sz w:val="6"/>
          <w:szCs w:val="6"/>
          <w:rtl/>
        </w:rPr>
        <w:t>&lt;#1#&gt;</w:t>
      </w:r>
    </w:p>
    <w:p w14:paraId="6B0D126F" w14:textId="77777777" w:rsidR="003872DC" w:rsidRPr="00D93225" w:rsidRDefault="003872DC" w:rsidP="003872DC">
      <w:pPr>
        <w:pStyle w:val="12"/>
        <w:rPr>
          <w:b w:val="0"/>
          <w:bCs w:val="0"/>
          <w:u w:val="none"/>
          <w:rtl/>
        </w:rPr>
      </w:pPr>
    </w:p>
    <w:p w14:paraId="6F891FC9" w14:textId="77777777" w:rsidR="003872DC" w:rsidRPr="00D93225" w:rsidRDefault="003872DC" w:rsidP="003872DC">
      <w:pPr>
        <w:spacing w:line="360" w:lineRule="auto"/>
        <w:jc w:val="both"/>
        <w:rPr>
          <w:rFonts w:ascii="Arial" w:eastAsia="Times New Roman" w:hAnsi="Arial"/>
          <w:b/>
          <w:bCs/>
          <w:rtl/>
        </w:rPr>
      </w:pPr>
      <w:r w:rsidRPr="00D93225">
        <w:rPr>
          <w:rFonts w:ascii="Arial" w:eastAsia="Times New Roman" w:hAnsi="Arial"/>
          <w:b/>
          <w:bCs/>
          <w:rtl/>
        </w:rPr>
        <w:t>נוכחים</w:t>
      </w:r>
      <w:r w:rsidRPr="00D93225">
        <w:rPr>
          <w:rFonts w:ascii="Arial" w:eastAsia="Times New Roman" w:hAnsi="Arial"/>
          <w:rtl/>
        </w:rPr>
        <w:t>:</w:t>
      </w:r>
    </w:p>
    <w:p w14:paraId="7A955EC6" w14:textId="77777777" w:rsidR="003872DC" w:rsidRPr="00D93225" w:rsidRDefault="003872DC" w:rsidP="003872DC">
      <w:pPr>
        <w:spacing w:line="360" w:lineRule="auto"/>
        <w:rPr>
          <w:rFonts w:ascii="Times New Roman" w:eastAsia="Times New Roman" w:hAnsi="Times New Roman"/>
          <w:b/>
          <w:bCs/>
          <w:rtl/>
        </w:rPr>
      </w:pPr>
      <w:bookmarkStart w:id="2" w:name="FirstLawyer"/>
      <w:r w:rsidRPr="00D93225">
        <w:rPr>
          <w:rFonts w:ascii="Times New Roman" w:eastAsia="Times New Roman" w:hAnsi="Times New Roman"/>
          <w:b/>
          <w:bCs/>
          <w:rtl/>
        </w:rPr>
        <w:t>ב"כ</w:t>
      </w:r>
      <w:bookmarkEnd w:id="2"/>
      <w:r w:rsidRPr="00D93225">
        <w:rPr>
          <w:rFonts w:ascii="Times New Roman" w:eastAsia="Times New Roman" w:hAnsi="Times New Roman"/>
          <w:b/>
          <w:bCs/>
          <w:rtl/>
        </w:rPr>
        <w:t xml:space="preserve"> המאשימה עו"ד  הדר פרשר, עו"ד שרון אדרי </w:t>
      </w:r>
    </w:p>
    <w:p w14:paraId="4F61BC67" w14:textId="77777777" w:rsidR="003872DC" w:rsidRPr="00D93225" w:rsidRDefault="003872DC" w:rsidP="003872DC">
      <w:pPr>
        <w:spacing w:line="360" w:lineRule="auto"/>
        <w:rPr>
          <w:rFonts w:ascii="Times New Roman" w:eastAsia="Times New Roman" w:hAnsi="Times New Roman"/>
          <w:b/>
          <w:bCs/>
          <w:rtl/>
        </w:rPr>
      </w:pPr>
      <w:r w:rsidRPr="00D93225">
        <w:rPr>
          <w:rFonts w:ascii="Times New Roman" w:eastAsia="Times New Roman" w:hAnsi="Times New Roman"/>
          <w:b/>
          <w:bCs/>
          <w:rtl/>
        </w:rPr>
        <w:t xml:space="preserve">ב"כ הנאשם עו"ד </w:t>
      </w:r>
      <w:r w:rsidRPr="00D93225">
        <w:rPr>
          <w:rFonts w:ascii="Times New Roman" w:eastAsia="Times New Roman" w:hAnsi="Times New Roman" w:hint="cs"/>
          <w:b/>
          <w:bCs/>
          <w:rtl/>
        </w:rPr>
        <w:t xml:space="preserve">שי אורן </w:t>
      </w:r>
    </w:p>
    <w:p w14:paraId="7385999A" w14:textId="77777777" w:rsidR="003872DC" w:rsidRPr="00D93225" w:rsidRDefault="003872DC" w:rsidP="003872DC">
      <w:pPr>
        <w:spacing w:line="360" w:lineRule="auto"/>
        <w:rPr>
          <w:rFonts w:ascii="Times New Roman" w:eastAsia="Times New Roman" w:hAnsi="Times New Roman"/>
          <w:b/>
          <w:bCs/>
          <w:rtl/>
        </w:rPr>
      </w:pPr>
      <w:r w:rsidRPr="00D93225">
        <w:rPr>
          <w:rFonts w:ascii="Times New Roman" w:eastAsia="Times New Roman" w:hAnsi="Times New Roman"/>
          <w:b/>
          <w:bCs/>
          <w:rtl/>
        </w:rPr>
        <w:t xml:space="preserve">הנאשם – בעצמו </w:t>
      </w:r>
    </w:p>
    <w:p w14:paraId="67628F25" w14:textId="77777777" w:rsidR="003872DC" w:rsidRPr="00D93225" w:rsidRDefault="003872DC" w:rsidP="003872DC">
      <w:pPr>
        <w:spacing w:line="360" w:lineRule="auto"/>
        <w:rPr>
          <w:rFonts w:ascii="Times New Roman" w:eastAsia="Times New Roman" w:hAnsi="Times New Roman"/>
          <w:b/>
          <w:bCs/>
          <w:rtl/>
        </w:rPr>
      </w:pPr>
    </w:p>
    <w:p w14:paraId="4B1A755A" w14:textId="77777777" w:rsidR="00647060" w:rsidRDefault="003872DC" w:rsidP="00647060">
      <w:pPr>
        <w:spacing w:line="360" w:lineRule="auto"/>
        <w:jc w:val="center"/>
        <w:rPr>
          <w:rFonts w:ascii="Arial" w:hAnsi="Arial"/>
          <w:color w:val="FF0000"/>
          <w:sz w:val="28"/>
          <w:rtl/>
        </w:rPr>
      </w:pPr>
      <w:r w:rsidRPr="00D93225">
        <w:rPr>
          <w:rFonts w:ascii="Arial" w:hAnsi="Arial"/>
          <w:b/>
          <w:color w:val="FF0000"/>
          <w:sz w:val="28"/>
          <w:rtl/>
        </w:rPr>
        <w:t>במסמך זה הושמטו פרוטוקול</w:t>
      </w:r>
      <w:bookmarkStart w:id="3" w:name="LawTable"/>
      <w:bookmarkEnd w:id="3"/>
    </w:p>
    <w:p w14:paraId="5114E1A6" w14:textId="77777777" w:rsidR="00647060" w:rsidRPr="00647060" w:rsidRDefault="00647060" w:rsidP="00647060">
      <w:pPr>
        <w:spacing w:after="120" w:line="240" w:lineRule="exact"/>
        <w:ind w:left="283" w:hanging="283"/>
        <w:jc w:val="both"/>
        <w:rPr>
          <w:rFonts w:ascii="FrankRuehl" w:hAnsi="FrankRuehl" w:cs="FrankRuehl"/>
          <w:color w:val="FF0000"/>
          <w:rtl/>
        </w:rPr>
      </w:pPr>
    </w:p>
    <w:p w14:paraId="292182FC" w14:textId="77777777" w:rsidR="00647060" w:rsidRPr="00647060" w:rsidRDefault="00647060" w:rsidP="00647060">
      <w:pPr>
        <w:spacing w:after="120" w:line="240" w:lineRule="exact"/>
        <w:ind w:left="283" w:hanging="283"/>
        <w:jc w:val="both"/>
        <w:rPr>
          <w:rFonts w:ascii="FrankRuehl" w:hAnsi="FrankRuehl" w:cs="FrankRuehl"/>
          <w:color w:val="FF0000"/>
          <w:rtl/>
        </w:rPr>
      </w:pPr>
      <w:r w:rsidRPr="00647060">
        <w:rPr>
          <w:rFonts w:ascii="FrankRuehl" w:hAnsi="FrankRuehl" w:cs="FrankRuehl"/>
          <w:color w:val="FF0000"/>
          <w:rtl/>
        </w:rPr>
        <w:t xml:space="preserve">חקיקה שאוזכרה: </w:t>
      </w:r>
    </w:p>
    <w:p w14:paraId="05AAC3AF" w14:textId="77777777" w:rsidR="00647060" w:rsidRPr="00647060" w:rsidRDefault="00647060" w:rsidP="00647060">
      <w:pPr>
        <w:spacing w:after="120" w:line="240" w:lineRule="exact"/>
        <w:ind w:left="283" w:hanging="283"/>
        <w:jc w:val="both"/>
        <w:rPr>
          <w:rFonts w:ascii="FrankRuehl" w:hAnsi="FrankRuehl" w:cs="FrankRuehl"/>
          <w:rtl/>
        </w:rPr>
      </w:pPr>
      <w:hyperlink r:id="rId7" w:history="1">
        <w:r w:rsidRPr="00647060">
          <w:rPr>
            <w:rFonts w:ascii="FrankRuehl" w:hAnsi="FrankRuehl" w:cs="FrankRuehl"/>
            <w:color w:val="0000FF"/>
            <w:u w:val="single"/>
            <w:rtl/>
          </w:rPr>
          <w:t>חוק העונשין, תשל"ז-1977</w:t>
        </w:r>
      </w:hyperlink>
      <w:r w:rsidRPr="00647060">
        <w:rPr>
          <w:rFonts w:ascii="FrankRuehl" w:hAnsi="FrankRuehl" w:cs="FrankRuehl"/>
          <w:rtl/>
        </w:rPr>
        <w:t xml:space="preserve">: סע'  </w:t>
      </w:r>
      <w:hyperlink r:id="rId8" w:history="1">
        <w:r w:rsidRPr="00647060">
          <w:rPr>
            <w:rFonts w:ascii="FrankRuehl" w:hAnsi="FrankRuehl" w:cs="FrankRuehl"/>
            <w:color w:val="0000FF"/>
            <w:u w:val="single"/>
            <w:rtl/>
          </w:rPr>
          <w:t>51 ב(ב)</w:t>
        </w:r>
      </w:hyperlink>
      <w:r w:rsidRPr="00647060">
        <w:rPr>
          <w:rFonts w:ascii="FrankRuehl" w:hAnsi="FrankRuehl" w:cs="FrankRuehl"/>
          <w:rtl/>
        </w:rPr>
        <w:t xml:space="preserve">, </w:t>
      </w:r>
      <w:hyperlink r:id="rId9" w:history="1">
        <w:r w:rsidRPr="00647060">
          <w:rPr>
            <w:rFonts w:ascii="FrankRuehl" w:hAnsi="FrankRuehl" w:cs="FrankRuehl"/>
            <w:color w:val="0000FF"/>
            <w:u w:val="single"/>
            <w:rtl/>
          </w:rPr>
          <w:t>287 (א)</w:t>
        </w:r>
      </w:hyperlink>
      <w:r w:rsidRPr="00647060">
        <w:rPr>
          <w:rFonts w:ascii="FrankRuehl" w:hAnsi="FrankRuehl" w:cs="FrankRuehl"/>
          <w:rtl/>
        </w:rPr>
        <w:t xml:space="preserve">, </w:t>
      </w:r>
      <w:hyperlink r:id="rId10" w:history="1">
        <w:r w:rsidRPr="00647060">
          <w:rPr>
            <w:rFonts w:ascii="FrankRuehl" w:hAnsi="FrankRuehl" w:cs="FrankRuehl"/>
            <w:color w:val="0000FF"/>
            <w:u w:val="single"/>
            <w:rtl/>
          </w:rPr>
          <w:t>384</w:t>
        </w:r>
      </w:hyperlink>
      <w:r w:rsidRPr="00647060">
        <w:rPr>
          <w:rFonts w:ascii="FrankRuehl" w:hAnsi="FrankRuehl" w:cs="FrankRuehl"/>
          <w:rtl/>
        </w:rPr>
        <w:t xml:space="preserve">, </w:t>
      </w:r>
      <w:hyperlink r:id="rId11" w:history="1">
        <w:r w:rsidRPr="00647060">
          <w:rPr>
            <w:rFonts w:ascii="FrankRuehl" w:hAnsi="FrankRuehl" w:cs="FrankRuehl"/>
            <w:color w:val="0000FF"/>
            <w:u w:val="single"/>
            <w:rtl/>
          </w:rPr>
          <w:t>413</w:t>
        </w:r>
      </w:hyperlink>
    </w:p>
    <w:p w14:paraId="0321C4A7" w14:textId="77777777" w:rsidR="00647060" w:rsidRPr="00647060" w:rsidRDefault="00647060" w:rsidP="00647060">
      <w:pPr>
        <w:spacing w:after="120" w:line="240" w:lineRule="exact"/>
        <w:ind w:left="283" w:hanging="283"/>
        <w:jc w:val="both"/>
        <w:rPr>
          <w:rFonts w:ascii="FrankRuehl" w:hAnsi="FrankRuehl" w:cs="FrankRuehl"/>
          <w:rtl/>
        </w:rPr>
      </w:pPr>
      <w:hyperlink r:id="rId12" w:history="1">
        <w:r w:rsidRPr="00647060">
          <w:rPr>
            <w:rFonts w:ascii="FrankRuehl" w:hAnsi="FrankRuehl" w:cs="FrankRuehl"/>
            <w:color w:val="0000FF"/>
            <w:u w:val="single"/>
            <w:rtl/>
          </w:rPr>
          <w:t>פקודת הסמים המסוכנים [נוסח חדש], תשל"ג-1973</w:t>
        </w:r>
      </w:hyperlink>
      <w:r w:rsidRPr="00647060">
        <w:rPr>
          <w:rFonts w:ascii="FrankRuehl" w:hAnsi="FrankRuehl" w:cs="FrankRuehl"/>
          <w:rtl/>
        </w:rPr>
        <w:t xml:space="preserve">: סע'  </w:t>
      </w:r>
      <w:hyperlink r:id="rId13" w:history="1">
        <w:r w:rsidRPr="00647060">
          <w:rPr>
            <w:rFonts w:ascii="FrankRuehl" w:hAnsi="FrankRuehl" w:cs="FrankRuehl"/>
            <w:color w:val="0000FF"/>
            <w:u w:val="single"/>
            <w:rtl/>
          </w:rPr>
          <w:t>7.א.</w:t>
        </w:r>
      </w:hyperlink>
      <w:r w:rsidRPr="00647060">
        <w:rPr>
          <w:rFonts w:ascii="FrankRuehl" w:hAnsi="FrankRuehl" w:cs="FrankRuehl"/>
          <w:rtl/>
        </w:rPr>
        <w:t xml:space="preserve">, </w:t>
      </w:r>
      <w:hyperlink r:id="rId14" w:history="1">
        <w:r w:rsidRPr="00647060">
          <w:rPr>
            <w:rFonts w:ascii="FrankRuehl" w:hAnsi="FrankRuehl" w:cs="FrankRuehl"/>
            <w:color w:val="0000FF"/>
            <w:u w:val="single"/>
            <w:rtl/>
          </w:rPr>
          <w:t>7.ג</w:t>
        </w:r>
      </w:hyperlink>
    </w:p>
    <w:p w14:paraId="4181F75C" w14:textId="77777777" w:rsidR="00647060" w:rsidRPr="00647060" w:rsidRDefault="00647060" w:rsidP="00647060">
      <w:pPr>
        <w:spacing w:after="120" w:line="240" w:lineRule="exact"/>
        <w:ind w:left="283" w:hanging="283"/>
        <w:jc w:val="both"/>
        <w:rPr>
          <w:rFonts w:ascii="FrankRuehl" w:hAnsi="FrankRuehl" w:cs="FrankRuehl"/>
          <w:rtl/>
        </w:rPr>
      </w:pPr>
    </w:p>
    <w:p w14:paraId="31FB6336" w14:textId="77777777" w:rsidR="00647060" w:rsidRPr="00647060" w:rsidRDefault="00647060" w:rsidP="00647060">
      <w:pPr>
        <w:spacing w:line="360" w:lineRule="auto"/>
        <w:jc w:val="center"/>
        <w:rPr>
          <w:rFonts w:ascii="Arial" w:hAnsi="Arial"/>
          <w:sz w:val="28"/>
          <w:rtl/>
        </w:rPr>
      </w:pPr>
      <w:bookmarkStart w:id="4" w:name="LawTable_End"/>
      <w:bookmarkEnd w:id="4"/>
    </w:p>
    <w:p w14:paraId="1419D07B" w14:textId="77777777" w:rsidR="00647060" w:rsidRPr="00647060" w:rsidRDefault="00647060" w:rsidP="00647060">
      <w:pPr>
        <w:spacing w:line="360" w:lineRule="auto"/>
        <w:jc w:val="center"/>
        <w:rPr>
          <w:rFonts w:ascii="Arial" w:hAnsi="Arial"/>
          <w:b/>
          <w:color w:val="FF0000"/>
          <w:sz w:val="28"/>
          <w:rtl/>
        </w:rPr>
      </w:pPr>
    </w:p>
    <w:p w14:paraId="3D5FCB8F" w14:textId="77777777" w:rsidR="00BF18E3" w:rsidRPr="00BF18E3" w:rsidRDefault="003872DC" w:rsidP="00647060">
      <w:pPr>
        <w:spacing w:line="360" w:lineRule="auto"/>
        <w:jc w:val="center"/>
        <w:rPr>
          <w:rFonts w:ascii="FrankRuehl" w:hAnsi="FrankRuehl" w:cs="FrankRuehl"/>
          <w:rtl/>
        </w:rPr>
      </w:pPr>
      <w:r w:rsidRPr="00647060">
        <w:rPr>
          <w:rFonts w:ascii="Arial" w:hAnsi="Arial"/>
          <w:b/>
          <w:color w:val="FF0000"/>
          <w:sz w:val="28"/>
          <w:rtl/>
        </w:rPr>
        <w:t>י</w:t>
      </w:r>
    </w:p>
    <w:p w14:paraId="1F1114BA" w14:textId="77777777" w:rsidR="00BF18E3" w:rsidRPr="00BF18E3" w:rsidRDefault="00BF18E3" w:rsidP="00BF18E3">
      <w:pPr>
        <w:spacing w:line="360" w:lineRule="auto"/>
        <w:jc w:val="center"/>
        <w:rPr>
          <w:rFonts w:ascii="Arial" w:hAnsi="Arial"/>
          <w:sz w:val="28"/>
          <w:rtl/>
        </w:rPr>
      </w:pPr>
    </w:p>
    <w:p w14:paraId="6D54ECFF" w14:textId="77777777" w:rsidR="00BF18E3" w:rsidRPr="00BF18E3" w:rsidRDefault="00BF18E3" w:rsidP="00BF18E3">
      <w:pPr>
        <w:spacing w:line="360" w:lineRule="auto"/>
        <w:jc w:val="center"/>
        <w:rPr>
          <w:rFonts w:ascii="Arial" w:hAnsi="Arial"/>
          <w:b/>
          <w:color w:val="FF0000"/>
          <w:sz w:val="28"/>
          <w:rtl/>
        </w:rPr>
      </w:pPr>
    </w:p>
    <w:p w14:paraId="6E14F323" w14:textId="77777777" w:rsidR="002625CB" w:rsidRPr="002625CB" w:rsidRDefault="003872DC" w:rsidP="00BF18E3">
      <w:pPr>
        <w:spacing w:line="360" w:lineRule="auto"/>
        <w:jc w:val="center"/>
        <w:rPr>
          <w:rFonts w:ascii="FrankRuehl" w:hAnsi="FrankRuehl" w:cs="FrankRuehl"/>
          <w:rtl/>
        </w:rPr>
      </w:pPr>
      <w:r w:rsidRPr="00BF18E3">
        <w:rPr>
          <w:rFonts w:ascii="Arial" w:hAnsi="Arial"/>
          <w:b/>
          <w:color w:val="FF0000"/>
          <w:sz w:val="28"/>
          <w:rtl/>
        </w:rPr>
        <w:t>ם</w:t>
      </w:r>
      <w:r w:rsidR="00BF18E3" w:rsidRPr="002625CB">
        <w:rPr>
          <w:rFonts w:ascii="FrankRuehl" w:hAnsi="FrankRuehl" w:cs="FrankRuehl"/>
          <w:rtl/>
        </w:rPr>
        <w:t xml:space="preserve"> </w:t>
      </w:r>
    </w:p>
    <w:p w14:paraId="34C07356" w14:textId="77777777" w:rsidR="00D93225" w:rsidRPr="00D93225" w:rsidRDefault="00D93225" w:rsidP="002625CB">
      <w:pPr>
        <w:spacing w:line="360" w:lineRule="auto"/>
        <w:rPr>
          <w:rFonts w:ascii="Arial" w:hAnsi="Arial" w:hint="cs"/>
          <w:b/>
          <w:bCs/>
          <w:sz w:val="28"/>
          <w:szCs w:val="28"/>
          <w:rtl/>
        </w:rPr>
      </w:pPr>
    </w:p>
    <w:p w14:paraId="56157A31" w14:textId="77777777" w:rsidR="00D93225" w:rsidRPr="00D93225" w:rsidRDefault="00D93225" w:rsidP="003872DC">
      <w:pPr>
        <w:spacing w:line="360" w:lineRule="auto"/>
        <w:jc w:val="center"/>
        <w:rPr>
          <w:rFonts w:ascii="Arial" w:hAnsi="Arial"/>
          <w:b/>
          <w:bCs/>
          <w:sz w:val="28"/>
          <w:szCs w:val="28"/>
          <w:rtl/>
        </w:rPr>
      </w:pPr>
    </w:p>
    <w:p w14:paraId="10FD7C60" w14:textId="77777777" w:rsidR="00D93225" w:rsidRPr="00D93225" w:rsidRDefault="00D93225" w:rsidP="00D93225">
      <w:pPr>
        <w:spacing w:line="360" w:lineRule="auto"/>
        <w:jc w:val="center"/>
        <w:rPr>
          <w:rFonts w:ascii="Arial" w:hAnsi="Arial"/>
          <w:b/>
          <w:bCs/>
          <w:sz w:val="28"/>
          <w:szCs w:val="28"/>
          <w:u w:val="single"/>
          <w:rtl/>
        </w:rPr>
      </w:pPr>
      <w:bookmarkStart w:id="5" w:name="PsakDin"/>
      <w:bookmarkEnd w:id="0"/>
      <w:r w:rsidRPr="00D93225">
        <w:rPr>
          <w:rFonts w:ascii="Arial" w:hAnsi="Arial"/>
          <w:b/>
          <w:bCs/>
          <w:sz w:val="28"/>
          <w:szCs w:val="28"/>
          <w:u w:val="single"/>
          <w:rtl/>
        </w:rPr>
        <w:lastRenderedPageBreak/>
        <w:t>גזר דין</w:t>
      </w:r>
    </w:p>
    <w:p w14:paraId="679928CB" w14:textId="77777777" w:rsidR="003872DC" w:rsidRDefault="003872DC" w:rsidP="00647060">
      <w:pPr>
        <w:spacing w:line="360" w:lineRule="auto"/>
        <w:jc w:val="both"/>
      </w:pPr>
      <w:bookmarkStart w:id="6" w:name="ABSTRACT_START"/>
      <w:bookmarkEnd w:id="5"/>
      <w:bookmarkEnd w:id="6"/>
      <w:r>
        <w:rPr>
          <w:rFonts w:hint="cs"/>
          <w:rtl/>
        </w:rPr>
        <w:t xml:space="preserve">ביום 8.7.15 הנאשם הודה והורשע בעובדות כתב האישום המתוקן בתיק העיקרי וכן ערך צירוף של תיקים, כדלהלן: </w:t>
      </w:r>
      <w:hyperlink r:id="rId15" w:history="1">
        <w:r w:rsidR="00D93225" w:rsidRPr="00D93225">
          <w:rPr>
            <w:color w:val="0000FF"/>
            <w:u w:val="single"/>
            <w:rtl/>
          </w:rPr>
          <w:t>ת"פ 7230-04-13</w:t>
        </w:r>
      </w:hyperlink>
      <w:r>
        <w:rPr>
          <w:rFonts w:hint="cs"/>
          <w:rtl/>
        </w:rPr>
        <w:t xml:space="preserve">, </w:t>
      </w:r>
      <w:hyperlink r:id="rId16" w:history="1">
        <w:r w:rsidR="00647060" w:rsidRPr="00647060">
          <w:rPr>
            <w:color w:val="0000FF"/>
            <w:u w:val="single"/>
            <w:rtl/>
          </w:rPr>
          <w:t>ת"פ 2180-03-12</w:t>
        </w:r>
      </w:hyperlink>
      <w:r>
        <w:rPr>
          <w:rFonts w:hint="cs"/>
          <w:rtl/>
        </w:rPr>
        <w:t xml:space="preserve">, </w:t>
      </w:r>
      <w:hyperlink r:id="rId17" w:history="1">
        <w:r w:rsidR="00D93225" w:rsidRPr="00D93225">
          <w:rPr>
            <w:color w:val="0000FF"/>
            <w:u w:val="single"/>
            <w:rtl/>
          </w:rPr>
          <w:t>ת"פ 57199-01-15</w:t>
        </w:r>
      </w:hyperlink>
      <w:r>
        <w:rPr>
          <w:rFonts w:hint="cs"/>
          <w:rtl/>
        </w:rPr>
        <w:t xml:space="preserve">. ביום 22.11.16 הנאשם הודה והורשע בתיק צירוף נוסף </w:t>
      </w:r>
      <w:hyperlink r:id="rId18" w:history="1">
        <w:r w:rsidR="00D93225" w:rsidRPr="00D93225">
          <w:rPr>
            <w:color w:val="0000FF"/>
            <w:u w:val="single"/>
            <w:rtl/>
          </w:rPr>
          <w:t>ת"פ 42094-05-16</w:t>
        </w:r>
      </w:hyperlink>
      <w:r>
        <w:rPr>
          <w:rFonts w:hint="cs"/>
          <w:rtl/>
        </w:rPr>
        <w:t xml:space="preserve">. </w:t>
      </w:r>
    </w:p>
    <w:p w14:paraId="79BEDD3E" w14:textId="77777777" w:rsidR="003872DC" w:rsidRDefault="003872DC" w:rsidP="003872DC">
      <w:pPr>
        <w:spacing w:line="360" w:lineRule="auto"/>
        <w:jc w:val="both"/>
        <w:rPr>
          <w:rtl/>
        </w:rPr>
      </w:pPr>
      <w:bookmarkStart w:id="7" w:name="ABSTRACT_END"/>
      <w:bookmarkEnd w:id="7"/>
    </w:p>
    <w:p w14:paraId="2A3A8A23" w14:textId="77777777" w:rsidR="003872DC" w:rsidRDefault="00D93225" w:rsidP="003872DC">
      <w:pPr>
        <w:pStyle w:val="david"/>
        <w:rPr>
          <w:rtl/>
        </w:rPr>
      </w:pPr>
      <w:hyperlink r:id="rId19" w:history="1">
        <w:r w:rsidRPr="00D93225">
          <w:rPr>
            <w:rFonts w:hint="eastAsia"/>
            <w:b/>
            <w:bCs/>
            <w:color w:val="0000FF"/>
            <w:u w:val="single"/>
            <w:rtl/>
          </w:rPr>
          <w:t>ת</w:t>
        </w:r>
        <w:r w:rsidRPr="00D93225">
          <w:rPr>
            <w:b/>
            <w:bCs/>
            <w:color w:val="0000FF"/>
            <w:u w:val="single"/>
            <w:rtl/>
          </w:rPr>
          <w:t>"</w:t>
        </w:r>
        <w:r w:rsidRPr="00D93225">
          <w:rPr>
            <w:rFonts w:hint="eastAsia"/>
            <w:b/>
            <w:bCs/>
            <w:color w:val="0000FF"/>
            <w:u w:val="single"/>
            <w:rtl/>
          </w:rPr>
          <w:t>פ</w:t>
        </w:r>
        <w:r w:rsidRPr="00D93225">
          <w:rPr>
            <w:b/>
            <w:bCs/>
            <w:color w:val="0000FF"/>
            <w:u w:val="single"/>
            <w:rtl/>
          </w:rPr>
          <w:t xml:space="preserve"> 11439-03-12</w:t>
        </w:r>
      </w:hyperlink>
      <w:r w:rsidR="003872DC">
        <w:rPr>
          <w:rFonts w:hint="cs"/>
          <w:rtl/>
        </w:rPr>
        <w:t xml:space="preserve"> על יסוד הודאתו הורשע הנאשם במיוחס לו בכתב האישום המתוקן בחמישה אירועים של גניבה, עבירה לפי </w:t>
      </w:r>
      <w:hyperlink r:id="rId20" w:history="1">
        <w:r w:rsidR="002625CB" w:rsidRPr="002625CB">
          <w:rPr>
            <w:rFonts w:hint="eastAsia"/>
            <w:color w:val="0000FF"/>
            <w:u w:val="single"/>
            <w:rtl/>
          </w:rPr>
          <w:t>סעיף</w:t>
        </w:r>
        <w:r w:rsidR="002625CB" w:rsidRPr="002625CB">
          <w:rPr>
            <w:color w:val="0000FF"/>
            <w:u w:val="single"/>
            <w:rtl/>
          </w:rPr>
          <w:t xml:space="preserve"> 384</w:t>
        </w:r>
      </w:hyperlink>
      <w:r w:rsidR="003872DC">
        <w:rPr>
          <w:rFonts w:hint="cs"/>
          <w:rtl/>
        </w:rPr>
        <w:t xml:space="preserve"> ל</w:t>
      </w:r>
      <w:hyperlink r:id="rId21" w:history="1">
        <w:r w:rsidRPr="00D93225">
          <w:rPr>
            <w:rFonts w:hint="eastAsia"/>
            <w:color w:val="0000FF"/>
            <w:u w:val="single"/>
            <w:rtl/>
          </w:rPr>
          <w:t>חוק</w:t>
        </w:r>
        <w:r w:rsidRPr="00D93225">
          <w:rPr>
            <w:color w:val="0000FF"/>
            <w:u w:val="single"/>
            <w:rtl/>
          </w:rPr>
          <w:t xml:space="preserve"> </w:t>
        </w:r>
        <w:r w:rsidRPr="00D93225">
          <w:rPr>
            <w:rFonts w:hint="eastAsia"/>
            <w:color w:val="0000FF"/>
            <w:u w:val="single"/>
            <w:rtl/>
          </w:rPr>
          <w:t>העונשין</w:t>
        </w:r>
      </w:hyperlink>
      <w:r w:rsidR="003872DC">
        <w:rPr>
          <w:rFonts w:hint="cs"/>
          <w:rtl/>
        </w:rPr>
        <w:t>, התשל"ז</w:t>
      </w:r>
      <w:r w:rsidR="003872DC">
        <w:rPr>
          <w:rFonts w:hint="cs"/>
          <w:position w:val="4"/>
          <w:rtl/>
        </w:rPr>
        <w:t>-</w:t>
      </w:r>
      <w:r w:rsidR="003872DC">
        <w:rPr>
          <w:rFonts w:hint="cs"/>
          <w:rtl/>
        </w:rPr>
        <w:t>1977.</w:t>
      </w:r>
    </w:p>
    <w:p w14:paraId="22D228DF" w14:textId="77777777" w:rsidR="003872DC" w:rsidRDefault="003872DC" w:rsidP="003872DC">
      <w:pPr>
        <w:jc w:val="both"/>
        <w:rPr>
          <w:rtl/>
        </w:rPr>
      </w:pPr>
    </w:p>
    <w:p w14:paraId="7376C9C7" w14:textId="77777777" w:rsidR="003872DC" w:rsidRDefault="003872DC" w:rsidP="003872DC">
      <w:pPr>
        <w:spacing w:line="360" w:lineRule="auto"/>
        <w:jc w:val="both"/>
        <w:rPr>
          <w:rtl/>
        </w:rPr>
      </w:pPr>
      <w:r>
        <w:rPr>
          <w:rFonts w:hint="cs"/>
          <w:rtl/>
        </w:rPr>
        <w:t xml:space="preserve">בהתאם לעובדות כתב האישום, </w:t>
      </w:r>
      <w:r>
        <w:rPr>
          <w:rFonts w:hint="cs"/>
          <w:b/>
          <w:bCs/>
          <w:rtl/>
        </w:rPr>
        <w:t>אישום ראשון</w:t>
      </w:r>
      <w:r>
        <w:rPr>
          <w:rFonts w:hint="cs"/>
          <w:rtl/>
        </w:rPr>
        <w:t xml:space="preserve">, ביום 19.11.11 נכנס הנאשם לחנות "ריקושט" בקניון פתח תקווה וגנב ארבעה מעילים בשווי 1,600 ₪, בכך שהכניסם לשקית שנשא עימו שדופנה מצופה נייר כסף וזאת על מנת לנטרל את הזמזמים ויצא את קו הקופות מבלי לשלם עבורם.  </w:t>
      </w:r>
      <w:r>
        <w:rPr>
          <w:rFonts w:hint="cs"/>
          <w:b/>
          <w:bCs/>
          <w:rtl/>
        </w:rPr>
        <w:t>אישום שני</w:t>
      </w:r>
      <w:r>
        <w:rPr>
          <w:rFonts w:hint="cs"/>
          <w:rtl/>
        </w:rPr>
        <w:t xml:space="preserve">, ביום 19.11.11 נכנס הנאשם לחנות "קסטרו" וגנב ארבעה מעילים בשווי 2,400 ₪, בכך שהכניסם לשקית שנשא עימו שדופנה מצופה נייר כסף וזאת על מנת לנטרל את הזמזמים ויצא את קו הקופות מבלי לשלם עבורם. </w:t>
      </w:r>
      <w:r>
        <w:rPr>
          <w:rFonts w:hint="cs"/>
          <w:b/>
          <w:bCs/>
          <w:rtl/>
        </w:rPr>
        <w:t>אישום שלישי</w:t>
      </w:r>
      <w:r>
        <w:rPr>
          <w:rFonts w:hint="cs"/>
          <w:rtl/>
        </w:rPr>
        <w:t xml:space="preserve">, ביום 17.10.11 נכנס הנאשם לחנות "קסטרו" וגנב מעיל בשווי 1,099 ₪, בכך שהכניסו לשקית שנשא עימו שדופנה מצופה נייר כסף שנועדה לנטרל את הזמזמים ויצא את קו הקופות מבלי לשלם עבורם. </w:t>
      </w:r>
      <w:r>
        <w:rPr>
          <w:rFonts w:hint="cs"/>
          <w:b/>
          <w:bCs/>
          <w:rtl/>
        </w:rPr>
        <w:t>אישום רביעי</w:t>
      </w:r>
      <w:r>
        <w:rPr>
          <w:rFonts w:hint="cs"/>
          <w:rtl/>
        </w:rPr>
        <w:t xml:space="preserve">, ביום 18.02.12 נכנס הנאשם אל חנות "נאוטיקה" וגנב פרטי ביגוד שונים בסך 2,200 ₪ בכך שהכניסם אל תוך שקית בעלת מילוי כפול שהכין מראש אשר נועדה לנטרל את פעולת זמזמי ההתרעה ויצא מהמקום כשהבגדים ברשותו. </w:t>
      </w:r>
      <w:r>
        <w:rPr>
          <w:rFonts w:hint="cs"/>
          <w:b/>
          <w:bCs/>
          <w:rtl/>
        </w:rPr>
        <w:t>אישום חמישי</w:t>
      </w:r>
      <w:r>
        <w:rPr>
          <w:rFonts w:hint="cs"/>
          <w:rtl/>
        </w:rPr>
        <w:t>, ביום 23.1.12 נכנס הנאשם אל חנות "בילבונג" וניסה לגנוב מכנסי ג'ינס ופרטי לבוש שונים בסך כולל של 2,399.2 ₪ בכך שנכנס עם הפריטים לתא ההלבשה ושם הכניס את הפריטים לתיק בעל דופן המצופה נייר אלומיניום, והמתין לשעת כושר שיוכל לצאת מהחנות, אך נתפס על ידי מאבטחי הקניון עוד טרם יציאתו עם הפריטים מהחנות. ביום 22.1.12 גנב הנאשם פריטי לבוש מחנות לציוד ספורט במרכז המסחרי בחולון, לרבות שלוש חולצות נייק לבנות. הנאשם נהג למכור את הפריטים הגנובים לבעלי דוכנים בתחנה המרכזית בתל אביב.</w:t>
      </w:r>
    </w:p>
    <w:p w14:paraId="2F27BE2C" w14:textId="77777777" w:rsidR="003872DC" w:rsidRDefault="003872DC" w:rsidP="003872DC">
      <w:pPr>
        <w:spacing w:line="360" w:lineRule="auto"/>
        <w:jc w:val="both"/>
        <w:rPr>
          <w:rFonts w:ascii="Times New Roman" w:hAnsi="Times New Roman"/>
          <w:b/>
          <w:bCs/>
          <w:u w:val="single"/>
          <w:rtl/>
        </w:rPr>
      </w:pPr>
    </w:p>
    <w:p w14:paraId="22B76099" w14:textId="77777777" w:rsidR="003872DC" w:rsidRDefault="00D93225" w:rsidP="003872DC">
      <w:pPr>
        <w:spacing w:line="360" w:lineRule="auto"/>
        <w:jc w:val="both"/>
        <w:rPr>
          <w:rtl/>
        </w:rPr>
      </w:pPr>
      <w:hyperlink r:id="rId22" w:history="1">
        <w:r w:rsidRPr="00D93225">
          <w:rPr>
            <w:b/>
            <w:bCs/>
            <w:color w:val="0000FF"/>
            <w:u w:val="single"/>
            <w:rtl/>
          </w:rPr>
          <w:t>ת"פ 7230-04-13</w:t>
        </w:r>
      </w:hyperlink>
      <w:r w:rsidR="003872DC">
        <w:rPr>
          <w:rFonts w:hint="cs"/>
          <w:rtl/>
        </w:rPr>
        <w:t xml:space="preserve">, הנאשם הורשע בעבירה של החזקת נכס החשוד כגנוב, עבירה לפי </w:t>
      </w:r>
      <w:hyperlink r:id="rId23" w:history="1">
        <w:r w:rsidR="002625CB" w:rsidRPr="002625CB">
          <w:rPr>
            <w:color w:val="0000FF"/>
            <w:u w:val="single"/>
            <w:rtl/>
          </w:rPr>
          <w:t>סעיף 413</w:t>
        </w:r>
      </w:hyperlink>
      <w:r w:rsidR="003872DC">
        <w:rPr>
          <w:rFonts w:hint="cs"/>
          <w:rtl/>
        </w:rPr>
        <w:t xml:space="preserve"> ל</w:t>
      </w:r>
      <w:hyperlink r:id="rId24" w:history="1">
        <w:r w:rsidRPr="00D93225">
          <w:rPr>
            <w:color w:val="0000FF"/>
            <w:u w:val="single"/>
            <w:rtl/>
          </w:rPr>
          <w:t>חוק העונשין</w:t>
        </w:r>
      </w:hyperlink>
      <w:r w:rsidR="003872DC">
        <w:rPr>
          <w:rFonts w:hint="cs"/>
          <w:rtl/>
        </w:rPr>
        <w:t xml:space="preserve">, התשל"ז – 1977; בעבירה של החזקת סם מסוכן לצריכה עצמית, עבירה לפי </w:t>
      </w:r>
      <w:hyperlink r:id="rId25" w:history="1">
        <w:r w:rsidR="002625CB" w:rsidRPr="002625CB">
          <w:rPr>
            <w:color w:val="0000FF"/>
            <w:u w:val="single"/>
            <w:rtl/>
          </w:rPr>
          <w:t>סעיף 7 (א) + (ג)</w:t>
        </w:r>
      </w:hyperlink>
      <w:r w:rsidR="003872DC">
        <w:rPr>
          <w:rFonts w:hint="cs"/>
          <w:rtl/>
        </w:rPr>
        <w:t xml:space="preserve"> סיפא ל</w:t>
      </w:r>
      <w:hyperlink r:id="rId26" w:history="1">
        <w:r w:rsidRPr="00D93225">
          <w:rPr>
            <w:color w:val="0000FF"/>
            <w:u w:val="single"/>
            <w:rtl/>
          </w:rPr>
          <w:t>פקודת הסמים המסוכנים</w:t>
        </w:r>
      </w:hyperlink>
      <w:r w:rsidR="003872DC">
        <w:rPr>
          <w:rFonts w:hint="cs"/>
          <w:rtl/>
        </w:rPr>
        <w:t xml:space="preserve"> [נוסח חדש] התשל"ג – 1973.</w:t>
      </w:r>
    </w:p>
    <w:p w14:paraId="7001936A" w14:textId="77777777" w:rsidR="003872DC" w:rsidRDefault="003872DC" w:rsidP="003872DC">
      <w:pPr>
        <w:pStyle w:val="david"/>
        <w:rPr>
          <w:rtl/>
        </w:rPr>
      </w:pPr>
    </w:p>
    <w:p w14:paraId="07812E71" w14:textId="77777777" w:rsidR="003872DC" w:rsidRDefault="003872DC" w:rsidP="003872DC">
      <w:pPr>
        <w:pStyle w:val="david"/>
        <w:rPr>
          <w:rtl/>
        </w:rPr>
      </w:pPr>
      <w:r>
        <w:rPr>
          <w:rFonts w:hint="cs"/>
          <w:rtl/>
        </w:rPr>
        <w:t>בהתאם לעובדות, ביום 22.12.11 החזיק הנאשם ביחד עם אחר ברכבו פרטי לבוש החשודים כגנובים כמפורט להלן: נעלי "אדידס", מכנסי "נייק", מעיל רוח "נייק", חולצה שחורה "קסטרו", סוודר "פייר קרדין", סוודר "מקס מורטי", חולצה שחורה "פרפל", חולצה אפורה "למברגק", חולצה אפורה "נייק", חולצה שחורה "ורסצה", ז'קט "קנט קול", ז'קט עור "זנגה", ז'קט "ביליארד", סוודר "רנואר", וסט "טי קולקשיין" ותיק מחשב. באותן הנסיבות, החזיק הנאשם סם מסוג הירואין במשקל של 0.3308 גרם נטו לצריכה עצמית.</w:t>
      </w:r>
    </w:p>
    <w:p w14:paraId="01DF4BF1" w14:textId="77777777" w:rsidR="003872DC" w:rsidRDefault="003872DC" w:rsidP="003872DC">
      <w:pPr>
        <w:pStyle w:val="david"/>
        <w:rPr>
          <w:rtl/>
        </w:rPr>
      </w:pPr>
    </w:p>
    <w:p w14:paraId="6E711A70" w14:textId="77777777" w:rsidR="003872DC" w:rsidRDefault="00D93225" w:rsidP="003872DC">
      <w:pPr>
        <w:pStyle w:val="david"/>
        <w:rPr>
          <w:rFonts w:ascii="David" w:hAnsi="David"/>
          <w:rtl/>
        </w:rPr>
      </w:pPr>
      <w:hyperlink r:id="rId27" w:history="1">
        <w:r w:rsidRPr="00D93225">
          <w:rPr>
            <w:rFonts w:hint="eastAsia"/>
            <w:b/>
            <w:bCs/>
            <w:color w:val="0000FF"/>
            <w:u w:val="single"/>
            <w:rtl/>
          </w:rPr>
          <w:t>ת</w:t>
        </w:r>
        <w:r w:rsidRPr="00D93225">
          <w:rPr>
            <w:b/>
            <w:bCs/>
            <w:color w:val="0000FF"/>
            <w:u w:val="single"/>
            <w:rtl/>
          </w:rPr>
          <w:t>"</w:t>
        </w:r>
        <w:r w:rsidRPr="00D93225">
          <w:rPr>
            <w:rFonts w:hint="eastAsia"/>
            <w:b/>
            <w:bCs/>
            <w:color w:val="0000FF"/>
            <w:u w:val="single"/>
            <w:rtl/>
          </w:rPr>
          <w:t>פ</w:t>
        </w:r>
        <w:r w:rsidRPr="00D93225">
          <w:rPr>
            <w:b/>
            <w:bCs/>
            <w:color w:val="0000FF"/>
            <w:u w:val="single"/>
            <w:rtl/>
          </w:rPr>
          <w:t xml:space="preserve"> 2180-03-12</w:t>
        </w:r>
      </w:hyperlink>
      <w:r w:rsidR="003872DC">
        <w:rPr>
          <w:rFonts w:hint="cs"/>
          <w:rtl/>
        </w:rPr>
        <w:t xml:space="preserve"> הנאשם הורשע בעבירה של גניבה, עבירה לפי </w:t>
      </w:r>
      <w:hyperlink r:id="rId28" w:history="1">
        <w:r w:rsidR="002625CB" w:rsidRPr="002625CB">
          <w:rPr>
            <w:rFonts w:hint="eastAsia"/>
            <w:color w:val="0000FF"/>
            <w:u w:val="single"/>
            <w:rtl/>
          </w:rPr>
          <w:t>סעיף</w:t>
        </w:r>
        <w:r w:rsidR="002625CB" w:rsidRPr="002625CB">
          <w:rPr>
            <w:color w:val="0000FF"/>
            <w:u w:val="single"/>
            <w:rtl/>
          </w:rPr>
          <w:t xml:space="preserve"> 384</w:t>
        </w:r>
      </w:hyperlink>
      <w:r w:rsidR="003872DC">
        <w:rPr>
          <w:rFonts w:hint="cs"/>
          <w:rtl/>
        </w:rPr>
        <w:t xml:space="preserve"> ל</w:t>
      </w:r>
      <w:hyperlink r:id="rId29" w:history="1">
        <w:r w:rsidRPr="00D93225">
          <w:rPr>
            <w:rFonts w:hint="eastAsia"/>
            <w:color w:val="0000FF"/>
            <w:u w:val="single"/>
            <w:rtl/>
          </w:rPr>
          <w:t>חוק</w:t>
        </w:r>
        <w:r w:rsidRPr="00D93225">
          <w:rPr>
            <w:color w:val="0000FF"/>
            <w:u w:val="single"/>
            <w:rtl/>
          </w:rPr>
          <w:t xml:space="preserve"> </w:t>
        </w:r>
        <w:r w:rsidRPr="00D93225">
          <w:rPr>
            <w:rFonts w:hint="eastAsia"/>
            <w:color w:val="0000FF"/>
            <w:u w:val="single"/>
            <w:rtl/>
          </w:rPr>
          <w:t>העונשין</w:t>
        </w:r>
      </w:hyperlink>
      <w:r w:rsidR="003872DC">
        <w:rPr>
          <w:rFonts w:hint="cs"/>
          <w:rtl/>
        </w:rPr>
        <w:t>, התשל"ז – 1977.</w:t>
      </w:r>
    </w:p>
    <w:p w14:paraId="04103C3F" w14:textId="77777777" w:rsidR="003872DC" w:rsidRDefault="003872DC" w:rsidP="003872DC">
      <w:pPr>
        <w:spacing w:line="360" w:lineRule="auto"/>
        <w:jc w:val="both"/>
        <w:rPr>
          <w:rtl/>
        </w:rPr>
      </w:pPr>
      <w:r>
        <w:rPr>
          <w:rFonts w:hint="cs"/>
          <w:rtl/>
        </w:rPr>
        <w:t xml:space="preserve">בהתאם לעובדות, ביום 8.12.11 נכנס הנאשם לסעיף "זארה" בקניון רחובות, וגנב שני מעילים בשווי כולל של 1,048 ₪ בכך שנשא ונטל אותם במרמה, הניח אותם בתיקו ויצא את החנות מבלי לשלם עבורם. </w:t>
      </w:r>
    </w:p>
    <w:p w14:paraId="7DE3E32C" w14:textId="77777777" w:rsidR="003872DC" w:rsidRDefault="003872DC" w:rsidP="003872DC">
      <w:pPr>
        <w:spacing w:line="360" w:lineRule="auto"/>
        <w:jc w:val="both"/>
        <w:rPr>
          <w:rtl/>
        </w:rPr>
      </w:pPr>
    </w:p>
    <w:p w14:paraId="2A8F0838" w14:textId="77777777" w:rsidR="003872DC" w:rsidRDefault="00D93225" w:rsidP="003872DC">
      <w:pPr>
        <w:spacing w:line="360" w:lineRule="auto"/>
        <w:jc w:val="both"/>
        <w:rPr>
          <w:rFonts w:ascii="Times New Roman" w:hAnsi="Times New Roman"/>
          <w:rtl/>
        </w:rPr>
      </w:pPr>
      <w:hyperlink r:id="rId30" w:history="1">
        <w:r w:rsidRPr="00D93225">
          <w:rPr>
            <w:rFonts w:ascii="Arial" w:hAnsi="Arial"/>
            <w:b/>
            <w:bCs/>
            <w:color w:val="0000FF"/>
            <w:u w:val="single"/>
            <w:rtl/>
          </w:rPr>
          <w:t>ת"פ 57199-01-15</w:t>
        </w:r>
      </w:hyperlink>
      <w:r w:rsidR="003872DC">
        <w:rPr>
          <w:rFonts w:ascii="Arial" w:hAnsi="Arial" w:hint="cs"/>
          <w:rtl/>
        </w:rPr>
        <w:t xml:space="preserve"> הנאשם הורשע בעבירה </w:t>
      </w:r>
      <w:r w:rsidR="003872DC">
        <w:rPr>
          <w:rFonts w:hint="cs"/>
          <w:rtl/>
        </w:rPr>
        <w:t xml:space="preserve">גניבה, לפי </w:t>
      </w:r>
      <w:hyperlink r:id="rId31" w:history="1">
        <w:r w:rsidR="002625CB" w:rsidRPr="002625CB">
          <w:rPr>
            <w:color w:val="0000FF"/>
            <w:u w:val="single"/>
            <w:rtl/>
          </w:rPr>
          <w:t>סעיף 384</w:t>
        </w:r>
      </w:hyperlink>
      <w:r w:rsidR="003872DC">
        <w:rPr>
          <w:rFonts w:hint="cs"/>
          <w:rtl/>
        </w:rPr>
        <w:t xml:space="preserve"> ל</w:t>
      </w:r>
      <w:hyperlink r:id="rId32" w:history="1">
        <w:r w:rsidRPr="00D93225">
          <w:rPr>
            <w:color w:val="0000FF"/>
            <w:u w:val="single"/>
            <w:rtl/>
          </w:rPr>
          <w:t>חוק העונשין</w:t>
        </w:r>
      </w:hyperlink>
      <w:r w:rsidR="003872DC">
        <w:rPr>
          <w:rFonts w:hint="cs"/>
          <w:rtl/>
        </w:rPr>
        <w:t xml:space="preserve"> התשל"ז – 1977 (שלושה אישומים). </w:t>
      </w:r>
    </w:p>
    <w:p w14:paraId="4C3B2249" w14:textId="77777777" w:rsidR="003872DC" w:rsidRDefault="003872DC" w:rsidP="003872DC">
      <w:pPr>
        <w:spacing w:line="360" w:lineRule="auto"/>
        <w:jc w:val="both"/>
        <w:rPr>
          <w:rFonts w:ascii="Arial" w:hAnsi="Arial"/>
        </w:rPr>
      </w:pPr>
      <w:r>
        <w:rPr>
          <w:rFonts w:ascii="Arial" w:hAnsi="Arial" w:hint="cs"/>
          <w:rtl/>
        </w:rPr>
        <w:t xml:space="preserve">בהתאם לעובדות כתב האישום, </w:t>
      </w:r>
      <w:r>
        <w:rPr>
          <w:rFonts w:ascii="Arial" w:hAnsi="Arial" w:hint="cs"/>
          <w:b/>
          <w:bCs/>
          <w:rtl/>
        </w:rPr>
        <w:t>אישום 1,</w:t>
      </w:r>
      <w:r>
        <w:rPr>
          <w:rFonts w:ascii="Arial" w:hAnsi="Arial" w:hint="cs"/>
          <w:rtl/>
        </w:rPr>
        <w:t xml:space="preserve"> בתאריך 08.01.15 הנאשם גנב מחנות שני בשמים מסוג "גוסי קוטור" ו"אופריה לאישה" בשווי כולל של 1,335.95 ₪, בכך שנטל אותם והכניסם לתיק שהיה עמו ובו נייר כסף המנטרל התראות בדבר גניבה. בהמשך לאותן נסיבות, הנאשם מכר את הבשמים לאחר בסכום של 200 ₪. </w:t>
      </w:r>
      <w:r>
        <w:rPr>
          <w:rFonts w:ascii="Arial" w:hAnsi="Arial" w:hint="cs"/>
          <w:b/>
          <w:bCs/>
          <w:rtl/>
        </w:rPr>
        <w:t>אישום 2</w:t>
      </w:r>
      <w:r>
        <w:rPr>
          <w:rFonts w:ascii="Arial" w:hAnsi="Arial" w:hint="cs"/>
          <w:rtl/>
        </w:rPr>
        <w:t xml:space="preserve">, בתאריך 09.01.15 הנאשם גנב מחנות שני בשמים מסוג "דולצ'ה גבאנה אינטנס" ו"אופורחה אינטנס" בשווי כולל של 1,318 ₪, בכך שנטל אותם והכניסם לתיק שהיה עמו ובו נייר כסף המנטרל התראות בדבר גניבה. הנאשם נתפס בכף מחוץ לחנות על ידי קצין הביטחון של החנות. </w:t>
      </w:r>
      <w:r>
        <w:rPr>
          <w:rFonts w:ascii="Arial" w:hAnsi="Arial" w:hint="cs"/>
          <w:b/>
          <w:bCs/>
          <w:rtl/>
        </w:rPr>
        <w:t>אישום 3</w:t>
      </w:r>
      <w:r>
        <w:rPr>
          <w:rFonts w:ascii="Arial" w:hAnsi="Arial" w:hint="cs"/>
          <w:rtl/>
        </w:rPr>
        <w:t>, בתאריך 24.01.15 הנאשם גנב מחנות חולצה בשווי 274.5 ₪, בכך שנטל אותה והכניסה לתיק שהיה עמו ובו נייר כסף המנטרל התראות בדבר גניבה. הנאשם נתפס בכף מחוץ לחנות על ידי שוטר שהיה במקום.</w:t>
      </w:r>
    </w:p>
    <w:p w14:paraId="139F3179" w14:textId="77777777" w:rsidR="003872DC" w:rsidRDefault="003872DC" w:rsidP="003872DC">
      <w:pPr>
        <w:spacing w:line="360" w:lineRule="auto"/>
        <w:jc w:val="both"/>
        <w:rPr>
          <w:rFonts w:ascii="Arial" w:hAnsi="Arial"/>
          <w:rtl/>
        </w:rPr>
      </w:pPr>
      <w:r>
        <w:rPr>
          <w:rFonts w:ascii="Arial" w:hAnsi="Arial" w:hint="cs"/>
          <w:rtl/>
        </w:rPr>
        <w:t xml:space="preserve">הנאשם התקבל לתוכנית בית משפט לסמים, שמטרתה לרתום את הנאשם להליך שיקומי טיפולי במסגרת שירות המבחן, אך הוצא ממסגרת זו ביום 22.11.16. </w:t>
      </w:r>
    </w:p>
    <w:p w14:paraId="5D39B876" w14:textId="77777777" w:rsidR="003872DC" w:rsidRDefault="003872DC" w:rsidP="003872DC">
      <w:pPr>
        <w:spacing w:line="360" w:lineRule="auto"/>
        <w:jc w:val="both"/>
        <w:rPr>
          <w:rFonts w:ascii="Arial" w:hAnsi="Arial"/>
          <w:rtl/>
        </w:rPr>
      </w:pPr>
    </w:p>
    <w:p w14:paraId="0A6667FA" w14:textId="77777777" w:rsidR="003872DC" w:rsidRDefault="003872DC" w:rsidP="003872DC">
      <w:pPr>
        <w:spacing w:line="360" w:lineRule="auto"/>
        <w:jc w:val="both"/>
        <w:rPr>
          <w:noProof/>
          <w:rtl/>
        </w:rPr>
      </w:pPr>
      <w:r>
        <w:rPr>
          <w:rFonts w:hint="cs"/>
          <w:b/>
          <w:bCs/>
          <w:rtl/>
        </w:rPr>
        <w:t xml:space="preserve">תיק צירוף </w:t>
      </w:r>
      <w:hyperlink r:id="rId33" w:history="1">
        <w:r w:rsidR="00D93225" w:rsidRPr="00D93225">
          <w:rPr>
            <w:b/>
            <w:bCs/>
            <w:color w:val="0000FF"/>
            <w:u w:val="single"/>
            <w:rtl/>
          </w:rPr>
          <w:t>ת"פ 42094-05-16</w:t>
        </w:r>
      </w:hyperlink>
      <w:r>
        <w:rPr>
          <w:rFonts w:hint="cs"/>
          <w:b/>
          <w:bCs/>
          <w:rtl/>
        </w:rPr>
        <w:t xml:space="preserve"> </w:t>
      </w:r>
      <w:r>
        <w:rPr>
          <w:rFonts w:hint="cs"/>
          <w:rtl/>
        </w:rPr>
        <w:t xml:space="preserve">הנאשם הורשע על סמך הודאתו בעבירה של הפרת הוראה חוקית, לפי </w:t>
      </w:r>
      <w:hyperlink r:id="rId34" w:history="1">
        <w:r w:rsidR="002625CB" w:rsidRPr="002625CB">
          <w:rPr>
            <w:color w:val="0000FF"/>
            <w:u w:val="single"/>
            <w:rtl/>
          </w:rPr>
          <w:t>סעיף 287 (א)</w:t>
        </w:r>
      </w:hyperlink>
      <w:r>
        <w:rPr>
          <w:rFonts w:hint="cs"/>
          <w:rtl/>
        </w:rPr>
        <w:t xml:space="preserve"> ל</w:t>
      </w:r>
      <w:hyperlink r:id="rId35" w:history="1">
        <w:r w:rsidR="00D93225" w:rsidRPr="00D93225">
          <w:rPr>
            <w:color w:val="0000FF"/>
            <w:u w:val="single"/>
            <w:rtl/>
          </w:rPr>
          <w:t>חוק העונשין</w:t>
        </w:r>
      </w:hyperlink>
      <w:r>
        <w:rPr>
          <w:rFonts w:hint="cs"/>
          <w:rtl/>
        </w:rPr>
        <w:t xml:space="preserve"> התשל"ז – 1977.</w:t>
      </w:r>
    </w:p>
    <w:p w14:paraId="15AFA4E2" w14:textId="77777777" w:rsidR="003872DC" w:rsidRDefault="003872DC" w:rsidP="003872DC">
      <w:pPr>
        <w:spacing w:line="360" w:lineRule="auto"/>
        <w:rPr>
          <w:rtl/>
        </w:rPr>
      </w:pPr>
    </w:p>
    <w:p w14:paraId="0E553B63" w14:textId="77777777" w:rsidR="003872DC" w:rsidRDefault="003872DC" w:rsidP="003872DC">
      <w:pPr>
        <w:spacing w:line="360" w:lineRule="auto"/>
        <w:jc w:val="both"/>
        <w:rPr>
          <w:rtl/>
        </w:rPr>
      </w:pPr>
      <w:r>
        <w:rPr>
          <w:rFonts w:hint="cs"/>
          <w:rtl/>
        </w:rPr>
        <w:t xml:space="preserve">בהתאם לעובדות כתב האישום ביום 27.5.15 במסגרת </w:t>
      </w:r>
      <w:hyperlink r:id="rId36" w:history="1">
        <w:r w:rsidR="00D93225" w:rsidRPr="00D93225">
          <w:rPr>
            <w:color w:val="0000FF"/>
            <w:u w:val="single"/>
            <w:rtl/>
          </w:rPr>
          <w:t>מ"ת 57230-01-15</w:t>
        </w:r>
      </w:hyperlink>
      <w:r>
        <w:rPr>
          <w:rFonts w:hint="cs"/>
          <w:rtl/>
        </w:rPr>
        <w:t xml:space="preserve"> ניתנה החלטת בימ"ש לפיה על הנאשם לשהות במעצר בית מלא כשהוא יכול לצאת לעבוד בין השעות 07:00 -17:00 בליווי ובפיקוח של המעסיק וכן יכול לצאת בין השעות 20:00- 21:00 למפגשי </w:t>
      </w:r>
      <w:r>
        <w:rPr>
          <w:rFonts w:hint="cs"/>
        </w:rPr>
        <w:t>NA</w:t>
      </w:r>
      <w:r>
        <w:rPr>
          <w:rFonts w:hint="cs"/>
          <w:rtl/>
        </w:rPr>
        <w:t xml:space="preserve"> באשקלון בליווי ופיקוח. (להלן: "ההוראה החוקית"). ביום 15.8.15, בת"א , הפר הנאשם את ההוראה החורית שבך שיצא ממעצר הבית ושהה במקום ללא ליווי ופיקוח. </w:t>
      </w:r>
    </w:p>
    <w:p w14:paraId="76D3EACD" w14:textId="77777777" w:rsidR="003872DC" w:rsidRDefault="003872DC" w:rsidP="003872DC">
      <w:pPr>
        <w:spacing w:line="360" w:lineRule="auto"/>
        <w:jc w:val="both"/>
        <w:rPr>
          <w:rFonts w:ascii="Arial" w:hAnsi="Arial"/>
          <w:b/>
          <w:bCs/>
          <w:u w:val="single"/>
          <w:rtl/>
        </w:rPr>
      </w:pPr>
    </w:p>
    <w:p w14:paraId="3AE3B043" w14:textId="77777777" w:rsidR="003872DC" w:rsidRDefault="003872DC" w:rsidP="003872DC">
      <w:pPr>
        <w:spacing w:line="360" w:lineRule="auto"/>
        <w:jc w:val="both"/>
        <w:rPr>
          <w:rFonts w:ascii="Arial" w:hAnsi="Arial"/>
          <w:b/>
          <w:bCs/>
          <w:u w:val="single"/>
          <w:rtl/>
        </w:rPr>
      </w:pPr>
      <w:r>
        <w:rPr>
          <w:rFonts w:ascii="Arial" w:hAnsi="Arial" w:hint="cs"/>
          <w:b/>
          <w:bCs/>
          <w:u w:val="single"/>
          <w:rtl/>
        </w:rPr>
        <w:t>תסקיר ראשון:</w:t>
      </w:r>
    </w:p>
    <w:p w14:paraId="4BEDC27F" w14:textId="77777777" w:rsidR="003872DC" w:rsidRDefault="003872DC" w:rsidP="003872DC">
      <w:pPr>
        <w:spacing w:line="360" w:lineRule="auto"/>
        <w:jc w:val="both"/>
        <w:rPr>
          <w:rFonts w:ascii="Arial" w:hAnsi="Arial"/>
          <w:rtl/>
        </w:rPr>
      </w:pPr>
      <w:r>
        <w:rPr>
          <w:rFonts w:ascii="Arial" w:hAnsi="Arial" w:hint="cs"/>
          <w:rtl/>
        </w:rPr>
        <w:t>בעניינו של הנאשם התקבל תסקיר שירות מבחן לפיו, הנאשם בן 46, נולד וגדל באוקראינה, עלה ארצה בהיותו בן 30, גרוש ואב לילדה. לדבריו, בחלוף שבועיים מתחילת עבודתו עבר תאנת עבודה, ברם טרם הציג מסמכים המעידים על כך. הנאשם סיים 12 שנות לימוד וכן לימודי מקצוע בתחום הנגרות והטבחות בארץ מוצאו, במקביל לתפקודו, תיאר כי במהלך שנות התבגרותו ניהל קשרים חברתיים שוליים, החל בצריכת סמים והיה מעורב באירועים אלימים לעיתים קרובות. הנאשם תיאר כי עלייתו ארצה לוותה בקשיי התאקלמות, מבחינת השתלבות בעבודה ורכישת השפה. נוכח קושי הנאשם בשמירה על רצף תעסוקתי, צבר חובות כלכליים אשר השפיעו על האווירה בבית ועל דינאמיקת מערכת היחסים בינו לבין אשתו. בשל הרקע המתואר, העמיקה התמכרותו לסמים והחל במעורבות שולית. על רקע אורח חיים זה נדון לעונש מאסר, במהלכו חווה גירושים, כמו כן למרות ניסיונות טיפול, התקשה להסתייע באופן משמעותי בגורמים מקצועיים ולערוך שיוני ממשי במצבו ובחייו.</w:t>
      </w:r>
    </w:p>
    <w:p w14:paraId="7B4B58E6" w14:textId="77777777" w:rsidR="003872DC" w:rsidRDefault="003872DC" w:rsidP="003872DC">
      <w:pPr>
        <w:spacing w:line="360" w:lineRule="auto"/>
        <w:jc w:val="both"/>
        <w:rPr>
          <w:rFonts w:ascii="Arial" w:hAnsi="Arial"/>
          <w:rtl/>
        </w:rPr>
      </w:pPr>
      <w:r>
        <w:rPr>
          <w:rFonts w:ascii="Arial" w:hAnsi="Arial" w:hint="cs"/>
          <w:rtl/>
        </w:rPr>
        <w:t xml:space="preserve">בהתייחסות שירות המבחן לעבירות הנדונות, הנאשם לקח אחריות על מעשיו והסביר כי ברקע ניהול אורח התמכרותי ארוך שנים, ממן את השימוש בסם בדרך זו בתקופה בה נעדר מקורות הכנסה. שירות המבחן התרשם מאשם בעל דפוסי חשיבה התמכרותיים ועברייניים, גילה קושי בהצבת גבולות שעמדו גם בבסיס ביצוע העבירות הנוכחיות. בדיעבד, הנאשם הצליח לגלות אמפתיה לנזקים ולפגיעות שנגרמו בעקבות התנהגותו בפרט בכל הקשור לעבירות הגניבה. בעיתוי הנוכחי, הנאשם הביע רצון לבחינה מעמיקה של בחירותיו בחיים והשלכותיהן ברבדים השונים, ובפועל אף התחיל לעשות כן במסגרת ההליך הטיפולי בו משולב כיום, ביחידה לטיפול נפגעי סמים בתל אביב, מחודש מרץ 2015 מוסר בדיקות שתן ומשולב בקבוצה טיפולית ובשיחות עם עו"ס ביחידה העירונית להתמכרויות. מאינפורמציה ששירות המבחן קיבל מגורמי היחידה עלה, שהנאשם משקיע מאמצים רבים בשמירה על ניקיון מסמים ובשיתוף פעולה עם התהליך הטיפולי, מגיע כנדרש ומביע מוטיבציה לשוב לדרך הישר ולשקם את חייו. עוד נמסר, כי צפויה להתקיים בעניינו וועדת אבחון לגבי התוכנית הטיפולית המתאימה עבורו, כאשר שילובו בטיפול אינטנסיבי יותר, במסגרת מרכז יום.       </w:t>
      </w:r>
    </w:p>
    <w:p w14:paraId="149E7CCC" w14:textId="77777777" w:rsidR="003872DC" w:rsidRDefault="003872DC" w:rsidP="003872DC">
      <w:pPr>
        <w:spacing w:line="360" w:lineRule="auto"/>
        <w:jc w:val="both"/>
        <w:rPr>
          <w:rFonts w:ascii="Arial" w:hAnsi="Arial"/>
          <w:rtl/>
        </w:rPr>
      </w:pPr>
      <w:r>
        <w:rPr>
          <w:rFonts w:ascii="Arial" w:hAnsi="Arial" w:hint="cs"/>
          <w:rtl/>
        </w:rPr>
        <w:t xml:space="preserve">להערכת שירות המבחן, הנאשם התקשה לפתח אלטרנטיבות התמודדות תקינות עם קשיים רגשיים ועם מצבי חיים משבריים ובזמנים בהם חווה מצוקה חוזר לשימוש וצריכה אינטנסיבית של סמים ולהתנהלות עבריינית לתורך מימון התמכרותו, אולם ההערכה כי במידה ויעבור הנאשם תהליך משמעותי של שיקום וגמילה מסמים, במהלכו תינתן התייחסות מעמיקה לדפוסיו העבריינים, הסיכון במצבו להישנות ביצוע עבירות נוספות על החוק עשוי לפחות. </w:t>
      </w:r>
    </w:p>
    <w:p w14:paraId="1F2660B9" w14:textId="77777777" w:rsidR="003872DC" w:rsidRDefault="003872DC" w:rsidP="003872DC">
      <w:pPr>
        <w:spacing w:line="360" w:lineRule="auto"/>
        <w:jc w:val="both"/>
        <w:rPr>
          <w:rFonts w:ascii="Arial" w:hAnsi="Arial"/>
          <w:rtl/>
        </w:rPr>
      </w:pPr>
      <w:r>
        <w:rPr>
          <w:rFonts w:ascii="Arial" w:hAnsi="Arial" w:hint="cs"/>
          <w:rtl/>
        </w:rPr>
        <w:t xml:space="preserve">שירות המבחן הפנה את הנאשם לבדיקת התאמתו לתכנית "בית משפט לסמים", אשר נמצא מתאים להשתלב בתכנית זו, כאמור בהתאם לתכנית הטיפולית שתגובש לו במסגרת הוועדה שתערך ביחידה לטיפול בנפגעי סמים בתל אביב. </w:t>
      </w:r>
    </w:p>
    <w:p w14:paraId="1E595F0B" w14:textId="77777777" w:rsidR="003872DC" w:rsidRDefault="003872DC" w:rsidP="003872DC">
      <w:pPr>
        <w:spacing w:line="360" w:lineRule="auto"/>
        <w:jc w:val="both"/>
        <w:rPr>
          <w:rFonts w:ascii="Arial" w:hAnsi="Arial"/>
          <w:rtl/>
        </w:rPr>
      </w:pPr>
      <w:r>
        <w:rPr>
          <w:rFonts w:ascii="Arial" w:hAnsi="Arial" w:hint="cs"/>
          <w:rtl/>
        </w:rPr>
        <w:t xml:space="preserve">שירות המבחן המליץ על העברת </w:t>
      </w:r>
      <w:r>
        <w:rPr>
          <w:rFonts w:hint="cs"/>
          <w:color w:val="000000"/>
          <w:rtl/>
          <w:lang w:eastAsia="he-IL"/>
        </w:rPr>
        <w:t>עניינו לבית משפט לענייני סמים, וכן הנאשם יהיה נתון אחר מעקב של שירות המבחן, בשיתוף הפעולה שלו והתמדתו בטיפול.</w:t>
      </w:r>
    </w:p>
    <w:p w14:paraId="659FE78F" w14:textId="77777777" w:rsidR="003872DC" w:rsidRDefault="003872DC" w:rsidP="003872DC">
      <w:pPr>
        <w:spacing w:line="360" w:lineRule="auto"/>
        <w:jc w:val="both"/>
        <w:rPr>
          <w:rFonts w:ascii="Arial" w:hAnsi="Arial"/>
          <w:rtl/>
        </w:rPr>
      </w:pPr>
    </w:p>
    <w:p w14:paraId="42834C7D" w14:textId="77777777" w:rsidR="003872DC" w:rsidRDefault="003872DC" w:rsidP="003872DC">
      <w:pPr>
        <w:spacing w:line="360" w:lineRule="auto"/>
        <w:jc w:val="both"/>
        <w:rPr>
          <w:rFonts w:ascii="Arial" w:hAnsi="Arial"/>
          <w:b/>
          <w:bCs/>
          <w:u w:val="single"/>
          <w:rtl/>
        </w:rPr>
      </w:pPr>
      <w:r>
        <w:rPr>
          <w:rFonts w:ascii="Arial" w:hAnsi="Arial" w:hint="cs"/>
          <w:b/>
          <w:bCs/>
          <w:u w:val="single"/>
          <w:rtl/>
        </w:rPr>
        <w:t>תסקיר שני:</w:t>
      </w:r>
    </w:p>
    <w:p w14:paraId="421A34B2" w14:textId="77777777" w:rsidR="003872DC" w:rsidRDefault="003872DC" w:rsidP="003872DC">
      <w:pPr>
        <w:spacing w:line="360" w:lineRule="auto"/>
        <w:jc w:val="both"/>
        <w:rPr>
          <w:rFonts w:ascii="Arial" w:hAnsi="Arial"/>
          <w:rtl/>
        </w:rPr>
      </w:pPr>
      <w:r>
        <w:rPr>
          <w:rFonts w:ascii="Arial" w:hAnsi="Arial" w:hint="cs"/>
          <w:rtl/>
        </w:rPr>
        <w:t xml:space="preserve">במהלך תקופת הדחייה ניסיונות ליצור קשר עם הנאשם מצד שירות המבחן העלו חרס ומהעובדת הסוציאלית המטפלת בו ביחידה להתמכרויות בתל אביב נמסר כי הנאשם חזר לשימוש בסמים, על רקע קשיים בריאותיים עמם התמודד לאחרונה. עוד עלה כי הנאשם פנה לגורמי טיפול בבקשה לשלבו במחלקה אשפוזית לגמילה פיזית מסמים, אולם שולל אפשרות להשתלב לאחר מכן במסגרת קהילה טיפולית וכיום נבדקת אפשרות לשלב את הנאשם במסגרת לטיפול גמילה פיזית מסמים. שירות המבחן העריך כי לנוכח הנסיגה המשמעותית שחלה בתפקודו בחודשיים האחרונים, עלתה רמת הסיכון להישנות ביצוע עבירות על החוק. </w:t>
      </w:r>
    </w:p>
    <w:p w14:paraId="02646FFA" w14:textId="77777777" w:rsidR="003872DC" w:rsidRDefault="003872DC" w:rsidP="003872DC">
      <w:pPr>
        <w:spacing w:line="360" w:lineRule="auto"/>
        <w:jc w:val="both"/>
        <w:rPr>
          <w:rFonts w:ascii="Arial" w:hAnsi="Arial"/>
          <w:rtl/>
        </w:rPr>
      </w:pPr>
    </w:p>
    <w:p w14:paraId="62287F18" w14:textId="77777777" w:rsidR="003872DC" w:rsidRDefault="003872DC" w:rsidP="003872DC">
      <w:pPr>
        <w:spacing w:line="360" w:lineRule="auto"/>
        <w:jc w:val="both"/>
        <w:rPr>
          <w:rFonts w:ascii="Arial" w:hAnsi="Arial"/>
          <w:b/>
          <w:bCs/>
          <w:u w:val="single"/>
          <w:rtl/>
        </w:rPr>
      </w:pPr>
      <w:r>
        <w:rPr>
          <w:rFonts w:ascii="Arial" w:hAnsi="Arial" w:hint="cs"/>
          <w:b/>
          <w:bCs/>
          <w:u w:val="single"/>
          <w:rtl/>
        </w:rPr>
        <w:t>תסקיר שלישי:</w:t>
      </w:r>
    </w:p>
    <w:p w14:paraId="46A09B2E" w14:textId="77777777" w:rsidR="003872DC" w:rsidRDefault="003872DC" w:rsidP="003872DC">
      <w:pPr>
        <w:spacing w:line="360" w:lineRule="auto"/>
        <w:jc w:val="both"/>
        <w:rPr>
          <w:rFonts w:ascii="Arial" w:hAnsi="Arial"/>
          <w:rtl/>
        </w:rPr>
      </w:pPr>
      <w:r>
        <w:rPr>
          <w:rFonts w:ascii="Arial" w:hAnsi="Arial" w:hint="cs"/>
          <w:rtl/>
        </w:rPr>
        <w:t xml:space="preserve">ביום 3.9.15 הנאשם נקלט באשפוזית "הדרך" לצורך גמילה פיזית מחומרים ממכרים. התרשמות גורמי הטיפול וכן התרשמות שירות המבחן הינה כי בשלב זה זקוק למסגרת הדוקה, בעלת גבולות ברורים. יש חשיבות להמשיך ללוות את הנאשם במסגרת התוכנית הנוכחית. לפיכך, ביקש שירות המבחן לשוב ולדווח עוד ששה שבועות. </w:t>
      </w:r>
    </w:p>
    <w:p w14:paraId="1A6E0DED" w14:textId="77777777" w:rsidR="003872DC" w:rsidRDefault="003872DC" w:rsidP="003872DC">
      <w:pPr>
        <w:spacing w:line="360" w:lineRule="auto"/>
        <w:jc w:val="both"/>
        <w:rPr>
          <w:rFonts w:ascii="Arial" w:hAnsi="Arial"/>
          <w:rtl/>
        </w:rPr>
      </w:pPr>
    </w:p>
    <w:p w14:paraId="0B190B40" w14:textId="77777777" w:rsidR="003872DC" w:rsidRDefault="003872DC" w:rsidP="003872DC">
      <w:pPr>
        <w:spacing w:line="360" w:lineRule="auto"/>
        <w:jc w:val="both"/>
        <w:rPr>
          <w:rFonts w:ascii="Arial" w:hAnsi="Arial"/>
          <w:b/>
          <w:bCs/>
          <w:u w:val="single"/>
          <w:rtl/>
        </w:rPr>
      </w:pPr>
      <w:r>
        <w:rPr>
          <w:rFonts w:ascii="Arial" w:hAnsi="Arial" w:hint="cs"/>
          <w:b/>
          <w:bCs/>
          <w:u w:val="single"/>
          <w:rtl/>
        </w:rPr>
        <w:t>תסקיר רביעי:</w:t>
      </w:r>
    </w:p>
    <w:p w14:paraId="5AD15B08" w14:textId="77777777" w:rsidR="003872DC" w:rsidRPr="003872DC" w:rsidRDefault="003872DC" w:rsidP="003872DC">
      <w:pPr>
        <w:spacing w:after="160" w:line="360" w:lineRule="auto"/>
        <w:jc w:val="both"/>
        <w:rPr>
          <w:rFonts w:ascii="Calibri" w:hAnsi="Calibri"/>
          <w:rtl/>
        </w:rPr>
      </w:pPr>
      <w:r w:rsidRPr="003872DC">
        <w:rPr>
          <w:rFonts w:ascii="Calibri" w:hAnsi="Calibri" w:hint="cs"/>
          <w:rtl/>
        </w:rPr>
        <w:t xml:space="preserve">לאור חזרתו של הנאשם לשימוש בסמים, גורמי הטיפול ביחידה סברו כי הינו זקוק לטיפול אינטנסיבי יותר. לאחר שהשלים את הבדיקות הרפואיות הדרושות, ביום 03.09.15 נקלט הנאשם באשפוזית "הדרך" לצורך גמילה פיזית מחומרים ממכרים. לאחר כשבוע, עקב החמרה במצבו הבריאותי, עקב נמק שהתפתח בכף ידו, רופא האשפוזית הורה להפנותו ליבת החולים בדחיפות. מסיבות שאינן ברורות לשירות המבחן, הטיפולי הרפואי בעניינו התעכב ובזמן זה הנאשם חזר להשתמש בסמים. בהמשך לאמור, אושפז הנאשם בבית חולים ,בלינסון". לאחר שחרורו מבית החולים ביום 21.09.15, חזר הנאשם לאשפוזית "הדרך", אולם לאחר כשבוע בשל התדרדרות חוזרת במצבו הבריאותי, נשלח בשנית לבית החולים ועבר ניתוח באחת מאצבעותיו. מיום 06.10.15 חזר הנאשם להתגורר בבית אמו באשקלון ולדבריו, מצליח לשמור על ניקיון מסמים. עוד מסר כי בשל הקושי לממן את נסיעותיו לאזור המרכז, לא חזר בשלב זה לטיפול ביחידה ועל כן אין בידי שירות המבחן אינדיקציה לגבי ניקונו בעת הנוכחית. כיום מביע הנאשם רצון להשתלב בטיפול בקבילת "הדרך", אולם שירות המבחן ציין כי מבירור ראשוני שנערך, ייתכן כי מצבו הרפואי הנוכחי לא יתאים למסגרת זו בשלב זה, כיוון שאינה נותנת מענה מקיף לסובלים מבעיות בריאותיות כמו של הנאשם. הנאשם הביע נכונות לבחון שילובו בקהילה טיפולית אחרת אשר תוכל לקבלו תוך מענה למצבו הבריאותי. שירות המבחן שב והעריך כי ישנה חשיבות להמשך ליווי הנאשם במסגרת התוכנית הנוכחית, זאת על מנת לסייע לו בהשתלבות בטיפול ההולם את מצבו, לדרבנו לכך ובאופן זה לקדם הפחתה מרמת הסיכון להישנות עבירות נוספות בעתיד. שירות המבחן הודיע כי במידה ובית המשפט יאמץ את המלצתו, ימשיך ללוות את הנאשם ולבחון אפשרות לשלבו במסגרת טיפולית בקהילה התואמת את צרכיו ומצבו הרפואי. </w:t>
      </w:r>
    </w:p>
    <w:p w14:paraId="2C9E385F" w14:textId="77777777" w:rsidR="003872DC" w:rsidRDefault="003872DC" w:rsidP="003872DC">
      <w:pPr>
        <w:spacing w:line="360" w:lineRule="auto"/>
        <w:jc w:val="both"/>
        <w:rPr>
          <w:rFonts w:ascii="Arial" w:hAnsi="Arial"/>
          <w:b/>
          <w:bCs/>
          <w:u w:val="single"/>
          <w:rtl/>
        </w:rPr>
      </w:pPr>
      <w:r>
        <w:rPr>
          <w:rFonts w:ascii="Arial" w:hAnsi="Arial" w:hint="cs"/>
          <w:b/>
          <w:bCs/>
          <w:u w:val="single"/>
          <w:rtl/>
        </w:rPr>
        <w:t>תסקיר חמישי:</w:t>
      </w:r>
    </w:p>
    <w:p w14:paraId="4CE54EA8" w14:textId="77777777" w:rsidR="003872DC" w:rsidRDefault="003872DC" w:rsidP="003872DC">
      <w:pPr>
        <w:spacing w:line="360" w:lineRule="auto"/>
        <w:jc w:val="both"/>
        <w:rPr>
          <w:rFonts w:ascii="Arial" w:hAnsi="Arial"/>
          <w:rtl/>
        </w:rPr>
      </w:pPr>
      <w:r>
        <w:rPr>
          <w:rFonts w:ascii="Arial" w:hAnsi="Arial" w:hint="cs"/>
          <w:rtl/>
        </w:rPr>
        <w:t xml:space="preserve">מתסקיר משלים שהתקבל בעניינו של הנאשם עולה כי, מאז הדיון האחרון חלה התדרדרות ניכרת בשיתוף הפעולה עם שירות המבחן, המתאפיינת באי הגעתו לפגישה שנקבעה עמו ואי התייצבותו למתן בדיקות שתן. כמו כן שירות המבחן ערך ניסיונות לשילוב הנאשם בקהילה טיפולית לגמילה מסמים המיועדת לאנשים בעלי תחלואה כפולה, אולם גם כאן נתקל השירות באי שיתוף פעולה מצדו. מיום 25.10.15 הנאשם ניתק כל קשר עם השירות, וכל הניסיונות לאתרו לא צלחו. נראה כי כיום, בין היתר בשל מצבו הרפואי המורכב, מתקשה הנאשם להיעזר בגורמי הטיפול בהתמודדות עם קשייו ולמצוא את הכוחות לערכית שינוי במצבו. לאור האמור, שירות המבחן לא מצא תועלת להמשך ניהול עניינו במסגרת בית משפט סמים והמליץ על הפסקת השתתפותו בתוכנית. </w:t>
      </w:r>
    </w:p>
    <w:p w14:paraId="14075B13" w14:textId="77777777" w:rsidR="003872DC" w:rsidRDefault="003872DC" w:rsidP="003872DC">
      <w:pPr>
        <w:spacing w:line="360" w:lineRule="auto"/>
        <w:jc w:val="both"/>
        <w:rPr>
          <w:rFonts w:ascii="Arial" w:hAnsi="Arial"/>
          <w:rtl/>
        </w:rPr>
      </w:pPr>
    </w:p>
    <w:p w14:paraId="793DABC9" w14:textId="77777777" w:rsidR="003872DC" w:rsidRDefault="003872DC" w:rsidP="003872DC">
      <w:pPr>
        <w:spacing w:line="360" w:lineRule="auto"/>
        <w:jc w:val="both"/>
        <w:rPr>
          <w:rFonts w:ascii="Arial" w:hAnsi="Arial"/>
          <w:b/>
          <w:bCs/>
          <w:u w:val="single"/>
          <w:rtl/>
        </w:rPr>
      </w:pPr>
      <w:r>
        <w:rPr>
          <w:rFonts w:ascii="Arial" w:hAnsi="Arial" w:hint="cs"/>
          <w:b/>
          <w:bCs/>
          <w:u w:val="single"/>
          <w:rtl/>
        </w:rPr>
        <w:t>תסקיר שישי:</w:t>
      </w:r>
    </w:p>
    <w:p w14:paraId="4DF42D96" w14:textId="77777777" w:rsidR="003872DC" w:rsidRDefault="003872DC" w:rsidP="003872DC">
      <w:pPr>
        <w:spacing w:line="360" w:lineRule="auto"/>
        <w:jc w:val="both"/>
        <w:rPr>
          <w:rFonts w:ascii="Arial" w:hAnsi="Arial"/>
          <w:rtl/>
        </w:rPr>
      </w:pPr>
      <w:r>
        <w:rPr>
          <w:rFonts w:ascii="Arial" w:hAnsi="Arial" w:hint="cs"/>
          <w:rtl/>
        </w:rPr>
        <w:t>בעניינו של הנאשם התקבל תסקיר משלים לפיו, במהלך תקופת הדחייה הנוכחית ניסה שירות המבחן לתאם פגישה עם הנאשם ללא הצלחה. שירות המבחן ניסה ליצור עם הנאשם קשר טלפוני גם דרך בא כוחו אולם כל הניסיונות לא צלחו. לאור האמור, בהעדר שיתוף פעולה מצד הנאשם, כאשר מצבו אינו ברור והוא אינו מצליח לגייס כוחות להשתלב בתהליך השיקום, וכלל הנראה מצוי במצב סיכון לביצוע עבירות נוספות, המליץ שירות המבחן על ענישה קונקרטית ומוחשית לצורך מצמצום הסיכון במצבו.</w:t>
      </w:r>
    </w:p>
    <w:p w14:paraId="2B85BF2A" w14:textId="77777777" w:rsidR="003872DC" w:rsidRDefault="003872DC" w:rsidP="003872DC">
      <w:pPr>
        <w:spacing w:line="360" w:lineRule="auto"/>
        <w:jc w:val="both"/>
        <w:rPr>
          <w:rFonts w:ascii="Arial" w:hAnsi="Arial"/>
          <w:rtl/>
        </w:rPr>
      </w:pPr>
    </w:p>
    <w:p w14:paraId="450388C5" w14:textId="77777777" w:rsidR="003872DC" w:rsidRDefault="003872DC" w:rsidP="003872DC">
      <w:pPr>
        <w:spacing w:line="360" w:lineRule="auto"/>
        <w:jc w:val="both"/>
        <w:rPr>
          <w:rFonts w:ascii="Arial" w:hAnsi="Arial"/>
          <w:b/>
          <w:bCs/>
          <w:u w:val="single"/>
          <w:rtl/>
        </w:rPr>
      </w:pPr>
      <w:r>
        <w:rPr>
          <w:rFonts w:ascii="Arial" w:hAnsi="Arial" w:hint="cs"/>
          <w:b/>
          <w:bCs/>
          <w:u w:val="single"/>
          <w:rtl/>
        </w:rPr>
        <w:t xml:space="preserve">תסקיר שביעי: </w:t>
      </w:r>
    </w:p>
    <w:p w14:paraId="33A2D797" w14:textId="77777777" w:rsidR="003872DC" w:rsidRDefault="003872DC" w:rsidP="003872DC">
      <w:pPr>
        <w:spacing w:line="360" w:lineRule="auto"/>
        <w:jc w:val="both"/>
        <w:rPr>
          <w:rFonts w:ascii="Arial" w:hAnsi="Arial"/>
          <w:rtl/>
        </w:rPr>
      </w:pPr>
      <w:r>
        <w:rPr>
          <w:rFonts w:ascii="Arial" w:hAnsi="Arial" w:hint="cs"/>
          <w:rtl/>
        </w:rPr>
        <w:t xml:space="preserve">בעניינו של הנאשם התקבל תסקיר מיום 20.11.16 לפיו במסגרת תקופת הדחייה הנוכחית, שירות המבחן נפגש עם הנאשם וקיבל מידע ממסגרת הגמילה "אשפוזית" בה נקלט ביום 21.4.16. שירות המבחן התרשם מהתייצבות במצבו ההתמכרותי של הנאשם. לפני ארבע חודשים וחצי סיים את הטיפול ב"אשפוזית" וכיום גר בבית אמו באשקלון, אינו עובד, ומצוי מזה כשנה במעצר בית מחמש אחר הצהריים, בפיקוח אמו ובתו. לדבריו משתתף בקבוצות לעזרה עצמית </w:t>
      </w:r>
      <w:r>
        <w:rPr>
          <w:rFonts w:ascii="Arial" w:hAnsi="Arial"/>
        </w:rPr>
        <w:t>N.A</w:t>
      </w:r>
      <w:r>
        <w:rPr>
          <w:rFonts w:ascii="Arial" w:hAnsi="Arial" w:hint="cs"/>
          <w:rtl/>
        </w:rPr>
        <w:t xml:space="preserve"> על בסיס יומי. שירות המבחן התרשם כי בעיתוי הנוכחי הנאשם מגלה מודעות למצבו ההתמכרותי ולקשייו וער לגורמי ומצבי סיכון, וכן הביע נכונות להשתלב במסגרת טיפולית התואמת את צרכיו.  לדבריו יצר קשר עם היחידה לנפגעי סמים באשקלון ומסר שם חמש בדיקות שתן לאיתור שרידי סם שנמצאו  לדבריו נקיות משרידי סם, ועתיד להיפגש ביום 17.11.16 עם עו"ס היחידה (לא עלה בידי שירות המבחן לשוחח עם גורמי הטיפול עד למועד הגשת התסקיר). הובהר לנאשם כי להערכת שירות המבחן הוא זקוק בעיתוי הנוכחי למסגרת גמילה סגורה כדוגמת קהילה. סוכם עם הנאשם כי ישתלב בתהליך אבחון ביחידה העירונית ולאחר קבלת המסקנות, תתקבל החלטה באשר למסגרת המתאימה ביותר למצבו. לאור שיתוף הפעולה עם השירות בעיתוי הנוכחי, ונכונותו של הנאשם להשתלב במסגרת טיפולים לגמילה מחומרים פסיכואקטיביים, שירות המבחן ממליץ על דחייה של שלושה חודשים. </w:t>
      </w:r>
    </w:p>
    <w:p w14:paraId="09359686" w14:textId="77777777" w:rsidR="003872DC" w:rsidRDefault="003872DC" w:rsidP="003872DC">
      <w:pPr>
        <w:spacing w:line="360" w:lineRule="auto"/>
        <w:jc w:val="both"/>
        <w:rPr>
          <w:rFonts w:ascii="Arial" w:hAnsi="Arial"/>
          <w:rtl/>
        </w:rPr>
      </w:pPr>
    </w:p>
    <w:p w14:paraId="67DC3DE9" w14:textId="77777777" w:rsidR="003872DC" w:rsidRDefault="003872DC" w:rsidP="003872DC">
      <w:pPr>
        <w:spacing w:line="360" w:lineRule="auto"/>
        <w:jc w:val="both"/>
        <w:rPr>
          <w:rFonts w:ascii="Arial" w:hAnsi="Arial"/>
          <w:b/>
          <w:bCs/>
          <w:u w:val="single"/>
          <w:rtl/>
        </w:rPr>
      </w:pPr>
      <w:r>
        <w:rPr>
          <w:rFonts w:ascii="Arial" w:hAnsi="Arial" w:hint="cs"/>
          <w:b/>
          <w:bCs/>
          <w:u w:val="single"/>
          <w:rtl/>
        </w:rPr>
        <w:t xml:space="preserve">תסקיר שמיני: </w:t>
      </w:r>
    </w:p>
    <w:p w14:paraId="07400C6F" w14:textId="77777777" w:rsidR="003872DC" w:rsidRDefault="003872DC" w:rsidP="003872DC">
      <w:pPr>
        <w:spacing w:line="360" w:lineRule="auto"/>
        <w:jc w:val="both"/>
        <w:rPr>
          <w:rFonts w:ascii="Arial" w:hAnsi="Arial"/>
          <w:rtl/>
        </w:rPr>
      </w:pPr>
      <w:r>
        <w:rPr>
          <w:rFonts w:ascii="Arial" w:hAnsi="Arial" w:hint="cs"/>
          <w:rtl/>
        </w:rPr>
        <w:t xml:space="preserve">בעניינו של הנאשם התקבל תסקיר מיום 2.2.17  לפיו עולה כי במהלך תקופת הדחיה, נקלט הנאשם ביחידה לנפגעי סמים אשקלון ביום 31.10.16 . מדיווח גורמי הטיפול ביחידה עולה כי מאז מוסר בדיקות שתן נקיות בתדירות של פעמיים בשבוע. בתאריך 17.11.16 החל להגיע לשיחות פרטניות בתדירות של פעם בשבוע. עוד עולה, כי הנאשם משתף מעולמו הפנימי ומתחבר למניעים התוך נפשיים למעשיו. כמו כן, מעלה קשיים עמם מתמודד ונראה כי מגויס לטיפול ולתהליך ההחלמה הנוכחי, וכן, בעל פוטנציאל ומוטיבציה לשמור על כך לאורך זמן, כשניכר כי נהנה מהניקיון ומכיר ביתרונותיו. עוד עולה כי טרם התכנסה וועדת האבחון ביחידה שמטרתה לבנות תכנית טיפולית ארוכת טווח בעניינו. לאור האמור, נוכח שיתוף הפעולה של הנאשם עם שירות המבחן ועם גורמי הטיפול ביחידה ולצורך סיום הליך האבחון ביחידה לנפגעי סמים הומלץ על דחיה נוספת בת שלושה חודשים. </w:t>
      </w:r>
    </w:p>
    <w:p w14:paraId="3F29AA4F" w14:textId="77777777" w:rsidR="003872DC" w:rsidRDefault="003872DC" w:rsidP="003872DC">
      <w:pPr>
        <w:spacing w:line="360" w:lineRule="auto"/>
        <w:jc w:val="both"/>
        <w:rPr>
          <w:rFonts w:ascii="Arial" w:hAnsi="Arial"/>
          <w:rtl/>
        </w:rPr>
      </w:pPr>
    </w:p>
    <w:p w14:paraId="3C776414" w14:textId="77777777" w:rsidR="003872DC" w:rsidRDefault="003872DC" w:rsidP="003872DC">
      <w:pPr>
        <w:spacing w:line="360" w:lineRule="auto"/>
        <w:jc w:val="both"/>
        <w:rPr>
          <w:rFonts w:ascii="Arial" w:hAnsi="Arial"/>
          <w:b/>
          <w:bCs/>
          <w:u w:val="single"/>
          <w:rtl/>
        </w:rPr>
      </w:pPr>
      <w:r>
        <w:rPr>
          <w:rFonts w:ascii="Arial" w:hAnsi="Arial" w:hint="cs"/>
          <w:b/>
          <w:bCs/>
          <w:u w:val="single"/>
          <w:rtl/>
        </w:rPr>
        <w:t xml:space="preserve">תסקיר תשיעי : </w:t>
      </w:r>
    </w:p>
    <w:p w14:paraId="4B4722C4" w14:textId="77777777" w:rsidR="003872DC" w:rsidRDefault="003872DC" w:rsidP="003872DC">
      <w:pPr>
        <w:spacing w:line="360" w:lineRule="auto"/>
        <w:jc w:val="both"/>
        <w:rPr>
          <w:rFonts w:ascii="Times New Roman" w:hAnsi="Times New Roman"/>
          <w:rtl/>
          <w:lang w:eastAsia="he-IL"/>
        </w:rPr>
      </w:pPr>
      <w:r>
        <w:rPr>
          <w:rFonts w:ascii="Arial" w:hAnsi="Arial" w:hint="cs"/>
          <w:rtl/>
        </w:rPr>
        <w:t xml:space="preserve">בעניינו של הנאשם התקבל תסקיר מיום 16/5/2017 </w:t>
      </w:r>
      <w:r>
        <w:rPr>
          <w:rFonts w:hint="cs"/>
          <w:rtl/>
          <w:lang w:eastAsia="he-IL"/>
        </w:rPr>
        <w:t xml:space="preserve">לפיו עולה כי במהלך תקופת הדחייה, הנאשם נקלט ביחידה בתאריך 30/10/2016, כשמאז מוסר בדיקות שתן, שנמצאו נקיות משרידי סם, בתדירות של פעמיים בשבוע, ומתאריך 17/11/2016 מגיע לשיחות פרטניות בתדירות של אחת לשבוע. </w:t>
      </w:r>
    </w:p>
    <w:p w14:paraId="030D8855" w14:textId="77777777" w:rsidR="003872DC" w:rsidRDefault="003872DC" w:rsidP="003872DC">
      <w:pPr>
        <w:spacing w:line="360" w:lineRule="auto"/>
        <w:jc w:val="both"/>
        <w:rPr>
          <w:rtl/>
          <w:lang w:eastAsia="he-IL"/>
        </w:rPr>
      </w:pPr>
      <w:r>
        <w:rPr>
          <w:rFonts w:hint="cs"/>
          <w:rtl/>
          <w:lang w:eastAsia="he-IL"/>
        </w:rPr>
        <w:t>עוד עולה כי הנאשם מקפיד על הגעה רציפה וקבועה לשיחות, וכי בוועדת אבחון שהתקיימה בחודש מרס 2017, נקבעו לנאשם יעדים טיפוליים, שהינם, עבודה על דפוסי דחיינות וריצוי, והצבת גבולות בעבודה ובחייו האישיים. כמו כן, הנאשם משתף מעולמו הפנימי ומתחבר למניעים התוך נפשיים למעשיו, וכן מזהה את מצבי הסיכון שהובילו אותו בעבר לשימוש, וכיום לומד דרכי התמודדות חדשות. בנוסף, כחלק מלקיחת האחריות על מעשיו, החל הנאשם לטפל בחובותיו מול ביטוח לאומי וההוצאה לפועל. כמו כן, מקפיד להגיע לקבוצות לעזרה עצמית (</w:t>
      </w:r>
      <w:r>
        <w:rPr>
          <w:lang w:eastAsia="he-IL"/>
        </w:rPr>
        <w:t>N.A</w:t>
      </w:r>
      <w:r>
        <w:rPr>
          <w:rFonts w:hint="cs"/>
          <w:rtl/>
          <w:lang w:eastAsia="he-IL"/>
        </w:rPr>
        <w:t>ׂׂ</w:t>
      </w:r>
      <w:r>
        <w:rPr>
          <w:lang w:eastAsia="he-IL"/>
        </w:rPr>
        <w:t xml:space="preserve"> (</w:t>
      </w:r>
      <w:r>
        <w:rPr>
          <w:rFonts w:hint="cs"/>
          <w:rtl/>
          <w:lang w:eastAsia="he-IL"/>
        </w:rPr>
        <w:t>, וכן משתתף בקבוצת צעדים. התרשמות גורמי הטיפול ביחידה היא, כי  הנאשם מחויב לטיפול ולתהליך ההחלמה הנוכחי ונתרם ממנו. להערכת שירות המבחן השתלבות הנאשם בתהליך גמילה ושיקום כמתואר, וסיומו בהצלחה, יש בו כדי להפחית הסיכון להישנות עבירות דומות. שירות המבחן התרשם כי חל שיפור במידת יכולתו של הנאשם להתמיד בטיפול ולנהל אורח חיים ללא שימוש בסם.</w:t>
      </w:r>
    </w:p>
    <w:p w14:paraId="3933D12A" w14:textId="77777777" w:rsidR="003872DC" w:rsidRDefault="003872DC" w:rsidP="003872DC">
      <w:pPr>
        <w:spacing w:line="360" w:lineRule="auto"/>
        <w:jc w:val="both"/>
        <w:rPr>
          <w:rtl/>
          <w:lang w:eastAsia="he-IL"/>
        </w:rPr>
      </w:pPr>
      <w:r>
        <w:rPr>
          <w:rFonts w:hint="cs"/>
          <w:rtl/>
          <w:lang w:eastAsia="he-IL"/>
        </w:rPr>
        <w:t xml:space="preserve">לאור האמור לעיל, נוכח שיתוף פעולה של הנאשם עם שרות המבחן ועם גורמי הטיפול ביחידה, כשניכר כי בעיתוי הנוכחי, משקיע משאביו בתהליך השינוי באורחות חייו, מפגין מוטיבציה גבוהה להמשיך ולבסס את ניקיונו ולשמר הישגיו הטיפוליים עד כה, כשבמקביל מביע רצון להמשיך לבסס מודעות ביחס לדפוסיו ההתמכרותיים, ולפתח מודעותו למצבי סיכון, ולדרכים אדפטיביות להתמודדות עם המציאות היומיומית, הומלץ על ענישה שיקומית בדרך של צו מבחן למשך שנה, בכפוף להמשך הטיפול ביחידה לנפגעי סמים, באשקלון, לצד מע"ת. </w:t>
      </w:r>
    </w:p>
    <w:p w14:paraId="13EBF927" w14:textId="77777777" w:rsidR="003872DC" w:rsidRDefault="003872DC" w:rsidP="003872DC">
      <w:pPr>
        <w:spacing w:line="360" w:lineRule="auto"/>
        <w:jc w:val="both"/>
        <w:rPr>
          <w:rFonts w:ascii="Arial" w:hAnsi="Arial"/>
          <w:b/>
          <w:bCs/>
          <w:u w:val="single"/>
          <w:rtl/>
        </w:rPr>
      </w:pPr>
    </w:p>
    <w:p w14:paraId="5EC1FCD2" w14:textId="77777777" w:rsidR="003872DC" w:rsidRDefault="003872DC" w:rsidP="003872DC">
      <w:pPr>
        <w:spacing w:line="360" w:lineRule="auto"/>
        <w:jc w:val="both"/>
        <w:rPr>
          <w:rFonts w:ascii="Arial" w:hAnsi="Arial"/>
          <w:b/>
          <w:bCs/>
          <w:u w:val="single"/>
          <w:rtl/>
        </w:rPr>
      </w:pPr>
      <w:r>
        <w:rPr>
          <w:rFonts w:ascii="Arial" w:hAnsi="Arial" w:hint="cs"/>
          <w:b/>
          <w:bCs/>
          <w:u w:val="single"/>
          <w:rtl/>
        </w:rPr>
        <w:t>טיעוני הצדדים לעונש</w:t>
      </w:r>
    </w:p>
    <w:p w14:paraId="530CF235" w14:textId="77777777" w:rsidR="003872DC" w:rsidRPr="003872DC" w:rsidRDefault="003872DC" w:rsidP="003872DC">
      <w:pPr>
        <w:spacing w:line="360" w:lineRule="auto"/>
        <w:jc w:val="both"/>
        <w:rPr>
          <w:rFonts w:ascii="Calibri" w:hAnsi="Calibri"/>
          <w:noProof/>
          <w:rtl/>
        </w:rPr>
      </w:pPr>
      <w:r w:rsidRPr="003872DC">
        <w:rPr>
          <w:rFonts w:ascii="Calibri" w:hAnsi="Calibri" w:hint="cs"/>
          <w:rtl/>
        </w:rPr>
        <w:t xml:space="preserve">ב"כ המאשימה הגישה רישום פלילי וכן מאסר על תנאי בר הפעלה. הפנתה לעבירות בהן הורשע הנאשם וחומרתן. ערך המוגן מדובר בהגנה על רכוש הציבור וכן שמירה על שלטון החוק וכן שמירה על הציבור מפני הסמים. המתחם בעבירות הגניבה הם ממאסר על תנאי ועד מספר חודשים לריצוי בפועל. עבירת הסמים המתחם ממאסר על תנאי ועד 8 חודשי מאסר בפועל והפרה – ממאסר על תנאי ועד מספר חודשי מאסר בפועל. הפנתה לעברו של הנאשם שהוא מכביד לעמדת התביעה. חלק מהעבירות נשוא ההרשעות דנן ביצע הנאשם שעונש מאסר על תנאי בן חודשיים תלוי ועומד כנגדו לא היה בכך כדי להרתיעו וכמו גם מאסרים קודמים אותם ריצה. הפנתה לאמור בתסקירי שירות המבחן. לדעת התביעה מרבית התסקירים היו שלילים רק בשני התסקירים האחרונים החל שינוי, לדעת התביעה מצוי כיום הנאשם בתחילת הליך הטיפולי ובהתחלת ההתמדה. שירות המבחן המליץ על צו מבחן למשך שנה ומאסר על תנאי, התביעה התנגדה להמלצה זו, שנוגדת את האינטרס הציבורי וכן חומרת מעשיו של הנאשם שגרם עוול למתלוננים רבים. בנוסף, הפנייה לעברו של הנאשם ואת מאסר על תנאי וכן את הפרת הוראה חוקית בכדי להבין שזה הנאשם שיש למצות איתו את הדין. התביעה עתרה מאסר ברף הנמוך של המתחם, מאסר על תנאי, הפעלה במצטבר של המאסר על תנאי, קנס, פסילה בפועל ועל תנאי. </w:t>
      </w:r>
    </w:p>
    <w:p w14:paraId="32B4C700" w14:textId="77777777" w:rsidR="003872DC" w:rsidRPr="003872DC" w:rsidRDefault="003872DC" w:rsidP="003872DC">
      <w:pPr>
        <w:spacing w:line="360" w:lineRule="auto"/>
        <w:jc w:val="both"/>
        <w:rPr>
          <w:rFonts w:ascii="Calibri" w:hAnsi="Calibri"/>
          <w:rtl/>
        </w:rPr>
      </w:pPr>
    </w:p>
    <w:p w14:paraId="5C432C7B" w14:textId="77777777" w:rsidR="003872DC" w:rsidRPr="003872DC" w:rsidRDefault="003872DC" w:rsidP="003872DC">
      <w:pPr>
        <w:spacing w:line="360" w:lineRule="auto"/>
        <w:jc w:val="both"/>
        <w:rPr>
          <w:rFonts w:ascii="Calibri" w:hAnsi="Calibri"/>
          <w:rtl/>
        </w:rPr>
      </w:pPr>
      <w:r w:rsidRPr="003872DC">
        <w:rPr>
          <w:rFonts w:ascii="Calibri" w:hAnsi="Calibri" w:hint="cs"/>
          <w:rtl/>
        </w:rPr>
        <w:t>ב"כ הנאשם טענה כי הנאשם מרבית חייו היה מכור לסמים. הוא ביצע את כל העבירות כדי לקנות סמים. הפנתה לחלוף הזמן המשמעותי מאז ביצוע העבירות. הנאשם במהלך ניהול ההליכים נפצע ובשל כך הוצא מבית המשפט לסמים. כבר משנת 2014 היו התסקירים חיוביים. מדובר במי שעשה דרך ונלחם על הניקיון שלו וכמעט הפסיד באותה מלחמה כאשר היה בעיצומו של הליך וההידרדרות לסמים אירעה בגלל תאונת עבודה וכריתת אצבע אשר הוא התעקש שלא לקבל חומרים משככים ולכן באה ההידרדרות וכאשר הוא התפכח הוא הלך לאשפוזית. בסופו של יום הגיע שירות המבחן בהמלצה על סיום ההליכים בצו מבחן באופן טיפולי. לא מדובר בבחור צעיר, אלא אדם מבוגר אשר מרבית שנות החיים היה בבתי סוהר ומכור לסמים ובמהלך תקופה ארוכה הוא נקי מסמים והוא חיי בזוגיות ועובד. ביקשה מבית המשפט לאמץ את המלצות התסקיר ולהפנות אותו לפן הטיפולי. ענישה צופה פני עתיד תסייע ותמנע הידרדרות עתידית. הנאשם היה עצור במשך חודש ב</w:t>
      </w:r>
      <w:hyperlink r:id="rId37" w:history="1">
        <w:r w:rsidR="00D93225" w:rsidRPr="00D93225">
          <w:rPr>
            <w:rFonts w:ascii="Calibri" w:hAnsi="Calibri" w:hint="eastAsia"/>
            <w:color w:val="0000FF"/>
            <w:u w:val="single"/>
            <w:rtl/>
          </w:rPr>
          <w:t>ת</w:t>
        </w:r>
        <w:r w:rsidR="00D93225" w:rsidRPr="00D93225">
          <w:rPr>
            <w:rFonts w:ascii="Calibri" w:hAnsi="Calibri"/>
            <w:color w:val="0000FF"/>
            <w:u w:val="single"/>
            <w:rtl/>
          </w:rPr>
          <w:t>"</w:t>
        </w:r>
        <w:r w:rsidR="00D93225" w:rsidRPr="00D93225">
          <w:rPr>
            <w:rFonts w:ascii="Calibri" w:hAnsi="Calibri" w:hint="eastAsia"/>
            <w:color w:val="0000FF"/>
            <w:u w:val="single"/>
            <w:rtl/>
          </w:rPr>
          <w:t>פ</w:t>
        </w:r>
        <w:r w:rsidR="00D93225" w:rsidRPr="00D93225">
          <w:rPr>
            <w:rFonts w:ascii="Calibri" w:hAnsi="Calibri"/>
            <w:color w:val="0000FF"/>
            <w:u w:val="single"/>
            <w:rtl/>
          </w:rPr>
          <w:t xml:space="preserve"> 57199-01-15</w:t>
        </w:r>
      </w:hyperlink>
      <w:r w:rsidRPr="003872DC">
        <w:rPr>
          <w:rFonts w:ascii="Calibri" w:hAnsi="Calibri" w:hint="cs"/>
          <w:rtl/>
        </w:rPr>
        <w:t xml:space="preserve">. </w:t>
      </w:r>
    </w:p>
    <w:p w14:paraId="180E5097" w14:textId="77777777" w:rsidR="003872DC" w:rsidRPr="003872DC" w:rsidRDefault="003872DC" w:rsidP="003872DC">
      <w:pPr>
        <w:spacing w:line="360" w:lineRule="auto"/>
        <w:jc w:val="both"/>
        <w:rPr>
          <w:rFonts w:ascii="Calibri" w:hAnsi="Calibri"/>
          <w:rtl/>
        </w:rPr>
      </w:pPr>
    </w:p>
    <w:p w14:paraId="78366587" w14:textId="77777777" w:rsidR="003872DC" w:rsidRDefault="003872DC" w:rsidP="003872DC">
      <w:pPr>
        <w:spacing w:line="360" w:lineRule="auto"/>
        <w:jc w:val="both"/>
        <w:rPr>
          <w:rFonts w:ascii="Arial" w:hAnsi="Arial"/>
          <w:b/>
          <w:bCs/>
          <w:u w:val="single"/>
          <w:rtl/>
        </w:rPr>
      </w:pPr>
      <w:r>
        <w:rPr>
          <w:rFonts w:ascii="Arial" w:hAnsi="Arial" w:hint="cs"/>
          <w:b/>
          <w:bCs/>
          <w:u w:val="single"/>
          <w:rtl/>
        </w:rPr>
        <w:t>דיון</w:t>
      </w:r>
    </w:p>
    <w:p w14:paraId="59E1E07B" w14:textId="77777777" w:rsidR="003872DC" w:rsidRDefault="003872DC" w:rsidP="003872DC">
      <w:pPr>
        <w:spacing w:line="360" w:lineRule="auto"/>
        <w:jc w:val="both"/>
        <w:rPr>
          <w:rFonts w:ascii="Times New Roman" w:hAnsi="Times New Roman"/>
          <w:noProof/>
          <w:rtl/>
        </w:rPr>
      </w:pPr>
      <w:r>
        <w:rPr>
          <w:rFonts w:hint="cs"/>
          <w:rtl/>
        </w:rPr>
        <w:t>בהתאם לתיקון 113 ל</w:t>
      </w:r>
      <w:hyperlink r:id="rId38" w:history="1">
        <w:r w:rsidR="00D93225" w:rsidRPr="00D93225">
          <w:rPr>
            <w:color w:val="0000FF"/>
            <w:u w:val="single"/>
            <w:rtl/>
          </w:rPr>
          <w:t>חוק העונשין</w:t>
        </w:r>
      </w:hyperlink>
      <w:r>
        <w:rPr>
          <w:rFonts w:hint="cs"/>
          <w:rtl/>
        </w:rPr>
        <w:t xml:space="preserve">, יש לקבוע, בטרם גזירת הדין את מתחם העונש ההולם, תוך התחשבות בעיקרון המנחה בענישה, שהוא קיומו של יחס הולם בין חומרת מעשה העבירה בנסיבותיו ומידת אשמו של הנאשם. בין סוג ומידת העונש המוטל עליו, מידת הפגיעה בערך החברתי המוגן, במדיניות הענישה הנהוגה ובנסיבות ביצוע העבירה. אני מקבל את מתחימי הענישה שהציגה התביעה כראויים במקרה זה. </w:t>
      </w:r>
    </w:p>
    <w:p w14:paraId="496DB303" w14:textId="77777777" w:rsidR="003872DC" w:rsidRDefault="003872DC" w:rsidP="003872DC">
      <w:pPr>
        <w:spacing w:line="360" w:lineRule="auto"/>
        <w:jc w:val="both"/>
        <w:rPr>
          <w:rtl/>
        </w:rPr>
      </w:pPr>
    </w:p>
    <w:p w14:paraId="10795C40" w14:textId="77777777" w:rsidR="003872DC" w:rsidRDefault="003872DC" w:rsidP="003872DC">
      <w:pPr>
        <w:spacing w:line="360" w:lineRule="auto"/>
        <w:jc w:val="both"/>
        <w:rPr>
          <w:rtl/>
        </w:rPr>
      </w:pPr>
      <w:r>
        <w:rPr>
          <w:rFonts w:hint="cs"/>
          <w:rtl/>
        </w:rPr>
        <w:t xml:space="preserve">מצבו של הנאשם מעורר דאגה. הנאשם נרתם להליך שיקומי, ברם מעד וחזר להשתמש בסם, כאמור בתסקיר שירות המבחן. הנאשם עשה ניסיון נוסף להליך טיפולי אולם גם הליך זה כשל והנאשם ניתק את הקשר עם שירות המבחן. בתסקיר שהתקבל בעניינו של הנאשם מחודש נובמבר 2016, דיווח שירות המבחן על שינוי בגישתו של הנאשם והוא החל הליך טיפולי מחודש. מאז דיווחי שירות המבחן על התקדמות במצבו ובהליך הטיפולי אותו הוא עובר. בנסיבות אלו, בית המשפט סבור כי המלצת שירות המבחן היא ראויה, כאשר לא מדובר בריבוי עבירות. יצוין כי המתחמים שהציגה התביעה ואומצו על ידי בית המשפט כולם מתחילים ממאסר על תנאי. יש לציין כי נראה שהעברות אותן מבצע הנאשם אינן מן העבירות החמורות בספר החוקים. אך, הן עבירות הפוגעות בצורה קשה בביטחון האישי של האוכלוסיה ומעודדת את תעשיית השימוש בסם. בנוסף יש לזכור כי מדובר בריבוי עבירות ועל כך צריכה לבוא תגובה עונשית הולמת. נוכח ריבוי העבירות הנאשם הורשע בשישה כתבי אישום באחד עשר אישומים, בית המשפט סבור בנסיבות אלו אין מנוס מהטלת עונש מאסר שירוצה בעבודות שירות. </w:t>
      </w:r>
    </w:p>
    <w:p w14:paraId="1AD4B4C8" w14:textId="77777777" w:rsidR="003872DC" w:rsidRDefault="003872DC" w:rsidP="003872DC">
      <w:pPr>
        <w:spacing w:line="360" w:lineRule="auto"/>
        <w:jc w:val="both"/>
        <w:rPr>
          <w:rtl/>
        </w:rPr>
      </w:pPr>
    </w:p>
    <w:p w14:paraId="6D28129A" w14:textId="77777777" w:rsidR="003872DC" w:rsidRDefault="003872DC" w:rsidP="003872DC">
      <w:pPr>
        <w:spacing w:line="360" w:lineRule="auto"/>
        <w:jc w:val="both"/>
        <w:rPr>
          <w:b/>
          <w:rtl/>
        </w:rPr>
      </w:pPr>
      <w:r>
        <w:rPr>
          <w:rFonts w:hint="cs"/>
          <w:rtl/>
        </w:rPr>
        <w:t>בהינתן המתחם האמור, יש לגזור את עונשו של הנאשם תוך שקילת המתחם ותוך התחשבות בנסיבות המשליכות על קביעת העונש המתאים, כאשר בענייננו יש ליתן משקל להלימה בגזירת העונש לביצוע העבירה ע"י הנאשם; נסיבות ביצוע העבירה וחומרתה; מידת הפגיעה בערך המוגן; גילו של הנאשם; הנסיבות עליהן עמדה ההגנה בטיעוניה; הודאתו המצביעה על נטילת אחריות; צירוף התיקים אותו ערך הנאשם; האמור בתסקירי שירות המבחן והמלצות שירות המבחן בקשר עם הנאשם.</w:t>
      </w:r>
    </w:p>
    <w:p w14:paraId="355E95C2" w14:textId="77777777" w:rsidR="003872DC" w:rsidRDefault="003872DC" w:rsidP="003872DC">
      <w:pPr>
        <w:spacing w:line="360" w:lineRule="auto"/>
        <w:jc w:val="both"/>
        <w:rPr>
          <w:b/>
          <w:rtl/>
        </w:rPr>
      </w:pPr>
    </w:p>
    <w:p w14:paraId="08A3F80A" w14:textId="77777777" w:rsidR="003872DC" w:rsidRDefault="003872DC" w:rsidP="003872DC">
      <w:pPr>
        <w:spacing w:line="360" w:lineRule="auto"/>
        <w:jc w:val="both"/>
        <w:rPr>
          <w:b/>
          <w:rtl/>
        </w:rPr>
      </w:pPr>
      <w:r>
        <w:rPr>
          <w:rFonts w:hint="cs"/>
          <w:b/>
          <w:rtl/>
        </w:rPr>
        <w:t>לאחר ששמעתי את הצדדים בהתחשב בטיעוניהם, בנסיבות המקרה והעניין ועל פי כל השיקולים הצריכים לגזר הדין אני קובע כי אלה העונשים שאני משית על הנאשם:</w:t>
      </w:r>
    </w:p>
    <w:p w14:paraId="156F52D4" w14:textId="77777777" w:rsidR="003872DC" w:rsidRDefault="003872DC" w:rsidP="003872DC">
      <w:pPr>
        <w:spacing w:line="360" w:lineRule="auto"/>
        <w:jc w:val="both"/>
        <w:rPr>
          <w:b/>
          <w:bCs/>
        </w:rPr>
      </w:pPr>
    </w:p>
    <w:p w14:paraId="6AC95585" w14:textId="77777777" w:rsidR="003872DC" w:rsidRDefault="003872DC" w:rsidP="003872DC">
      <w:pPr>
        <w:pStyle w:val="ListParagraph"/>
        <w:numPr>
          <w:ilvl w:val="0"/>
          <w:numId w:val="1"/>
        </w:numPr>
        <w:spacing w:line="360" w:lineRule="auto"/>
        <w:jc w:val="both"/>
        <w:rPr>
          <w:sz w:val="24"/>
          <w:rtl/>
        </w:rPr>
      </w:pPr>
      <w:r>
        <w:rPr>
          <w:rFonts w:hint="cs"/>
          <w:sz w:val="24"/>
          <w:rtl/>
        </w:rPr>
        <w:t>אני דן את הנאשם לעונש מאסר למשך 3 חודשים.</w:t>
      </w:r>
    </w:p>
    <w:p w14:paraId="48E2CC99" w14:textId="77777777" w:rsidR="003872DC" w:rsidRDefault="003872DC" w:rsidP="003872DC">
      <w:pPr>
        <w:spacing w:line="360" w:lineRule="auto"/>
        <w:jc w:val="both"/>
      </w:pPr>
    </w:p>
    <w:p w14:paraId="3FCFD808" w14:textId="77777777" w:rsidR="003872DC" w:rsidRDefault="003872DC" w:rsidP="003872DC">
      <w:pPr>
        <w:pStyle w:val="ListParagraph"/>
        <w:numPr>
          <w:ilvl w:val="0"/>
          <w:numId w:val="1"/>
        </w:numPr>
        <w:spacing w:line="360" w:lineRule="auto"/>
        <w:jc w:val="both"/>
        <w:rPr>
          <w:sz w:val="24"/>
        </w:rPr>
      </w:pPr>
      <w:r>
        <w:rPr>
          <w:rFonts w:hint="cs"/>
          <w:sz w:val="24"/>
          <w:rtl/>
        </w:rPr>
        <w:t xml:space="preserve">הנני מורה על הפעלת עונש של מאסר למשך חודשיים, כפי שנפסק על תנאי בבימ"ש השלום בקרית גת, בתאריך 03.11.13, תיק מס' </w:t>
      </w:r>
      <w:hyperlink r:id="rId39" w:history="1">
        <w:r w:rsidR="00BF18E3" w:rsidRPr="00BF18E3">
          <w:rPr>
            <w:color w:val="0000FF"/>
            <w:sz w:val="24"/>
            <w:u w:val="single"/>
            <w:rtl/>
          </w:rPr>
          <w:t>57405-05-13</w:t>
        </w:r>
      </w:hyperlink>
      <w:r>
        <w:rPr>
          <w:rFonts w:hint="cs"/>
          <w:sz w:val="24"/>
          <w:rtl/>
        </w:rPr>
        <w:t xml:space="preserve">, לריצוי באופן מצטבר. </w:t>
      </w:r>
    </w:p>
    <w:p w14:paraId="239F8B91" w14:textId="77777777" w:rsidR="003872DC" w:rsidRDefault="003872DC" w:rsidP="003872DC">
      <w:pPr>
        <w:spacing w:line="360" w:lineRule="auto"/>
        <w:jc w:val="both"/>
      </w:pPr>
    </w:p>
    <w:p w14:paraId="3AB9F94A" w14:textId="77777777" w:rsidR="003872DC" w:rsidRDefault="003872DC" w:rsidP="003872DC">
      <w:pPr>
        <w:pStyle w:val="ListParagraph"/>
        <w:numPr>
          <w:ilvl w:val="0"/>
          <w:numId w:val="1"/>
        </w:numPr>
        <w:spacing w:line="360" w:lineRule="auto"/>
        <w:jc w:val="both"/>
        <w:rPr>
          <w:sz w:val="24"/>
          <w:rtl/>
        </w:rPr>
      </w:pPr>
      <w:r>
        <w:rPr>
          <w:rFonts w:hint="cs"/>
          <w:sz w:val="24"/>
          <w:rtl/>
        </w:rPr>
        <w:t xml:space="preserve">סה"כ ירצה הנאשם מאסר למשך </w:t>
      </w:r>
      <w:r>
        <w:rPr>
          <w:rFonts w:hint="cs"/>
          <w:b/>
          <w:bCs/>
          <w:sz w:val="24"/>
          <w:rtl/>
        </w:rPr>
        <w:t xml:space="preserve">5  </w:t>
      </w:r>
      <w:r>
        <w:rPr>
          <w:rFonts w:hint="cs"/>
          <w:sz w:val="24"/>
          <w:rtl/>
        </w:rPr>
        <w:t xml:space="preserve">חודשים, לריצוי בדרך של עבודות שירות, אני מטיל על הנאשם ביצוען של העבודות המפורטות בחוות דעתו של הממונה על  עבודות השירות, עלפי הוראות </w:t>
      </w:r>
      <w:hyperlink r:id="rId40" w:history="1">
        <w:r w:rsidR="002625CB" w:rsidRPr="002625CB">
          <w:rPr>
            <w:color w:val="0000FF"/>
            <w:sz w:val="24"/>
            <w:u w:val="single"/>
            <w:rtl/>
          </w:rPr>
          <w:t>סעיף 51 ב(ב)</w:t>
        </w:r>
      </w:hyperlink>
      <w:r>
        <w:rPr>
          <w:rFonts w:hint="cs"/>
          <w:sz w:val="24"/>
          <w:rtl/>
        </w:rPr>
        <w:t xml:space="preserve"> ל</w:t>
      </w:r>
      <w:hyperlink r:id="rId41" w:history="1">
        <w:r w:rsidR="00D93225" w:rsidRPr="00D93225">
          <w:rPr>
            <w:color w:val="0000FF"/>
            <w:sz w:val="24"/>
            <w:u w:val="single"/>
            <w:rtl/>
          </w:rPr>
          <w:t>חוק העונשין</w:t>
        </w:r>
      </w:hyperlink>
      <w:r>
        <w:rPr>
          <w:rFonts w:hint="cs"/>
          <w:sz w:val="24"/>
          <w:rtl/>
        </w:rPr>
        <w:t>, התשל"ז</w:t>
      </w:r>
      <w:r>
        <w:rPr>
          <w:rFonts w:hint="cs"/>
          <w:position w:val="4"/>
          <w:sz w:val="24"/>
          <w:rtl/>
        </w:rPr>
        <w:t>-</w:t>
      </w:r>
      <w:r>
        <w:rPr>
          <w:rFonts w:hint="cs"/>
          <w:sz w:val="24"/>
          <w:rtl/>
        </w:rPr>
        <w:t>1977.</w:t>
      </w:r>
    </w:p>
    <w:p w14:paraId="0B9D6DE4" w14:textId="77777777" w:rsidR="003872DC" w:rsidRDefault="003872DC" w:rsidP="003872DC">
      <w:pPr>
        <w:pStyle w:val="a9"/>
        <w:ind w:left="720"/>
        <w:rPr>
          <w:b w:val="0"/>
          <w:bCs w:val="0"/>
          <w:szCs w:val="24"/>
        </w:rPr>
      </w:pPr>
    </w:p>
    <w:p w14:paraId="318D8DC9" w14:textId="77777777" w:rsidR="003872DC" w:rsidRDefault="003872DC" w:rsidP="003872DC">
      <w:pPr>
        <w:pStyle w:val="a9"/>
        <w:ind w:left="720"/>
        <w:rPr>
          <w:b w:val="0"/>
          <w:bCs w:val="0"/>
          <w:szCs w:val="24"/>
          <w:rtl/>
        </w:rPr>
      </w:pPr>
      <w:r>
        <w:rPr>
          <w:rFonts w:hint="cs"/>
          <w:b w:val="0"/>
          <w:bCs w:val="0"/>
          <w:szCs w:val="24"/>
          <w:rtl/>
        </w:rPr>
        <w:t xml:space="preserve">הנאשם יבצע את עבודות השירות בגן לאומי אשקלון וזאת במשך חמישה ימים בשבוע, 8.5 שעות עבודה ביום בערבי חג וחוה"מ יועסק כנהוג במקום העבודה, וגם אם לא עבד באותו יום, בין אם מסיבותיו ובין אם משום שהמקום סגור, יחויב ביום עבודה מלא. </w:t>
      </w:r>
    </w:p>
    <w:p w14:paraId="1E851636" w14:textId="77777777" w:rsidR="003872DC" w:rsidRDefault="003872DC" w:rsidP="003872DC">
      <w:pPr>
        <w:pStyle w:val="a9"/>
        <w:ind w:left="720"/>
        <w:rPr>
          <w:b w:val="0"/>
          <w:bCs w:val="0"/>
          <w:szCs w:val="24"/>
          <w:rtl/>
        </w:rPr>
      </w:pPr>
      <w:r>
        <w:rPr>
          <w:rFonts w:hint="cs"/>
          <w:b w:val="0"/>
          <w:bCs w:val="0"/>
          <w:szCs w:val="24"/>
          <w:rtl/>
        </w:rPr>
        <w:t>תחילתן של ביצוע העבודות ביום 19/10/17,שעה 08:00 והן תהיינה בפיקוח  מפקח אחראי רס"ב בוקובזה אלון טלפון 0506077453.</w:t>
      </w:r>
    </w:p>
    <w:p w14:paraId="72B1E650" w14:textId="77777777" w:rsidR="003872DC" w:rsidRDefault="003872DC" w:rsidP="003872DC">
      <w:pPr>
        <w:pStyle w:val="a9"/>
        <w:ind w:left="720"/>
        <w:rPr>
          <w:szCs w:val="24"/>
          <w:rtl/>
        </w:rPr>
      </w:pPr>
    </w:p>
    <w:p w14:paraId="2DDD7CF4" w14:textId="77777777" w:rsidR="003872DC" w:rsidRDefault="003872DC" w:rsidP="003872DC">
      <w:pPr>
        <w:pStyle w:val="a9"/>
        <w:ind w:left="720"/>
        <w:rPr>
          <w:szCs w:val="24"/>
          <w:rtl/>
        </w:rPr>
      </w:pPr>
      <w:r>
        <w:rPr>
          <w:rFonts w:hint="cs"/>
          <w:szCs w:val="24"/>
          <w:rtl/>
        </w:rPr>
        <w:t xml:space="preserve">על הנאשם להתייצב לפני מפקח על עבודות השירות לצורך קליטה והצבה בתאריך תחילת העבודה, בשעה 08:00, במפקדת מחוז דרום, יחידת עבודות שירות, ת"ד 741, באר שבע. </w:t>
      </w:r>
    </w:p>
    <w:p w14:paraId="250F7A14" w14:textId="77777777" w:rsidR="003872DC" w:rsidRDefault="003872DC" w:rsidP="003872DC">
      <w:pPr>
        <w:pStyle w:val="a9"/>
        <w:ind w:left="720"/>
        <w:rPr>
          <w:szCs w:val="24"/>
          <w:rtl/>
        </w:rPr>
      </w:pPr>
    </w:p>
    <w:p w14:paraId="5DCB1825" w14:textId="77777777" w:rsidR="003872DC" w:rsidRDefault="003872DC" w:rsidP="003872DC">
      <w:pPr>
        <w:pStyle w:val="ListParagraph"/>
        <w:spacing w:line="360" w:lineRule="auto"/>
        <w:jc w:val="both"/>
        <w:rPr>
          <w:sz w:val="24"/>
          <w:rtl/>
        </w:rPr>
      </w:pPr>
      <w:r>
        <w:rPr>
          <w:rFonts w:hint="cs"/>
          <w:sz w:val="24"/>
          <w:rtl/>
        </w:rPr>
        <w:t xml:space="preserve">אני מודיע לנאשם כי עליו להודיע לממונה על כל שינוי, אם יחול, בכתובת מגוריו, וכן עליו לעמוד בתנאי הפיקוח, שכן אי מילוי עבודות השירות על פי הנחיות המפקח, עלול להביא להפסקתן ולכליאה במתקן כליאה. </w:t>
      </w:r>
    </w:p>
    <w:p w14:paraId="536A3D33" w14:textId="77777777" w:rsidR="003872DC" w:rsidRDefault="003872DC" w:rsidP="003872DC">
      <w:pPr>
        <w:pStyle w:val="ListParagraph"/>
        <w:spacing w:line="360" w:lineRule="auto"/>
        <w:rPr>
          <w:b/>
          <w:bCs/>
          <w:sz w:val="24"/>
          <w:u w:val="single"/>
          <w:rtl/>
        </w:rPr>
      </w:pPr>
    </w:p>
    <w:p w14:paraId="2DBAADBD" w14:textId="77777777" w:rsidR="003872DC" w:rsidRPr="003872DC" w:rsidRDefault="003872DC" w:rsidP="003872DC">
      <w:pPr>
        <w:autoSpaceDE w:val="0"/>
        <w:autoSpaceDN w:val="0"/>
        <w:adjustRightInd w:val="0"/>
        <w:spacing w:line="360" w:lineRule="auto"/>
        <w:ind w:left="720"/>
        <w:jc w:val="both"/>
        <w:rPr>
          <w:rFonts w:ascii="Calibri" w:hAnsi="Calibri"/>
          <w:rtl/>
        </w:rPr>
      </w:pPr>
      <w:r>
        <w:rPr>
          <w:rFonts w:ascii="Times New Roman-Bold-1255" w:hint="cs"/>
          <w:rtl/>
        </w:rPr>
        <w:t>בית</w:t>
      </w:r>
      <w:r>
        <w:rPr>
          <w:rFonts w:ascii="Times New Roman-Bold-1255" w:hint="cs"/>
        </w:rPr>
        <w:t xml:space="preserve"> </w:t>
      </w:r>
      <w:r>
        <w:rPr>
          <w:rFonts w:ascii="Times New Roman-Bold-1255" w:hint="cs"/>
          <w:rtl/>
        </w:rPr>
        <w:t>המשפט</w:t>
      </w:r>
      <w:r>
        <w:rPr>
          <w:rFonts w:ascii="Times New Roman-Bold-1255" w:hint="cs"/>
        </w:rPr>
        <w:t xml:space="preserve"> </w:t>
      </w:r>
      <w:r>
        <w:rPr>
          <w:rFonts w:ascii="Times New Roman-Bold-1255" w:hint="cs"/>
          <w:rtl/>
        </w:rPr>
        <w:t xml:space="preserve">מזהיר את הנאשם, </w:t>
      </w:r>
      <w:r>
        <w:rPr>
          <w:rFonts w:ascii="Times New Roman-Bold-1255" w:hint="cs"/>
        </w:rPr>
        <w:t xml:space="preserve"> </w:t>
      </w:r>
      <w:r>
        <w:rPr>
          <w:rFonts w:ascii="Times New Roman-Bold-1255" w:hint="cs"/>
          <w:rtl/>
        </w:rPr>
        <w:t>כי</w:t>
      </w:r>
      <w:r>
        <w:rPr>
          <w:rFonts w:ascii="Times New Roman-Bold-1255" w:hint="cs"/>
        </w:rPr>
        <w:t xml:space="preserve"> </w:t>
      </w:r>
      <w:r>
        <w:rPr>
          <w:rFonts w:ascii="Times New Roman-Bold-1255" w:hint="cs"/>
          <w:rtl/>
        </w:rPr>
        <w:t>מדובר</w:t>
      </w:r>
      <w:r>
        <w:rPr>
          <w:rFonts w:ascii="Times New Roman-Bold-1255" w:hint="cs"/>
        </w:rPr>
        <w:t xml:space="preserve"> </w:t>
      </w:r>
      <w:r>
        <w:rPr>
          <w:rFonts w:ascii="Times New Roman-Bold-1255" w:hint="cs"/>
          <w:rtl/>
        </w:rPr>
        <w:t>בתנאי</w:t>
      </w:r>
      <w:r>
        <w:rPr>
          <w:rFonts w:ascii="Times New Roman-Bold-1255" w:hint="cs"/>
        </w:rPr>
        <w:t xml:space="preserve"> </w:t>
      </w:r>
      <w:r>
        <w:rPr>
          <w:rFonts w:ascii="Times New Roman-Bold-1255" w:hint="cs"/>
          <w:rtl/>
        </w:rPr>
        <w:t>העסקה</w:t>
      </w:r>
      <w:r>
        <w:rPr>
          <w:rFonts w:ascii="Times New Roman-Bold-1255" w:hint="cs"/>
        </w:rPr>
        <w:t xml:space="preserve"> </w:t>
      </w:r>
      <w:r>
        <w:rPr>
          <w:rFonts w:ascii="Times New Roman-Bold-1255" w:hint="cs"/>
          <w:rtl/>
        </w:rPr>
        <w:t>קפדניים</w:t>
      </w:r>
      <w:r>
        <w:rPr>
          <w:rFonts w:ascii="Times New Roman-Bold-1255" w:hint="cs"/>
        </w:rPr>
        <w:t xml:space="preserve"> </w:t>
      </w:r>
      <w:r>
        <w:rPr>
          <w:rFonts w:ascii="Times New Roman-Bold-1255" w:hint="cs"/>
          <w:rtl/>
        </w:rPr>
        <w:t>וכל</w:t>
      </w:r>
      <w:r>
        <w:rPr>
          <w:rFonts w:ascii="Times New Roman-Bold-1255" w:hint="cs"/>
        </w:rPr>
        <w:t xml:space="preserve"> </w:t>
      </w:r>
      <w:r>
        <w:rPr>
          <w:rFonts w:ascii="Times New Roman-Bold-1255" w:hint="cs"/>
          <w:rtl/>
        </w:rPr>
        <w:t>חריגה</w:t>
      </w:r>
      <w:r>
        <w:rPr>
          <w:rFonts w:ascii="Times New Roman-Bold-1255" w:hint="cs"/>
        </w:rPr>
        <w:t xml:space="preserve"> </w:t>
      </w:r>
      <w:r>
        <w:rPr>
          <w:rFonts w:ascii="Times New Roman-Bold-1255" w:hint="cs"/>
          <w:rtl/>
        </w:rPr>
        <w:t>מכללים</w:t>
      </w:r>
      <w:r>
        <w:rPr>
          <w:rFonts w:ascii="Times New Roman-Bold-1255" w:hint="cs"/>
        </w:rPr>
        <w:t xml:space="preserve"> </w:t>
      </w:r>
      <w:r>
        <w:rPr>
          <w:rFonts w:ascii="Times New Roman-Bold-1255" w:hint="cs"/>
          <w:rtl/>
        </w:rPr>
        <w:t>אלו</w:t>
      </w:r>
      <w:r>
        <w:rPr>
          <w:rFonts w:ascii="Times New Roman-Bold-1255" w:hint="cs"/>
        </w:rPr>
        <w:t xml:space="preserve"> </w:t>
      </w:r>
      <w:r>
        <w:rPr>
          <w:rFonts w:ascii="Times New Roman-Bold-1255" w:hint="cs"/>
          <w:rtl/>
        </w:rPr>
        <w:t>יש בה</w:t>
      </w:r>
      <w:r>
        <w:rPr>
          <w:rFonts w:ascii="Times New Roman-Bold-1255" w:hint="cs"/>
        </w:rPr>
        <w:t xml:space="preserve"> </w:t>
      </w:r>
      <w:r>
        <w:rPr>
          <w:rFonts w:ascii="Times New Roman-Bold-1255" w:hint="cs"/>
          <w:rtl/>
        </w:rPr>
        <w:t>כדי</w:t>
      </w:r>
      <w:r>
        <w:rPr>
          <w:rFonts w:ascii="Times New Roman-Bold-1255" w:hint="cs"/>
        </w:rPr>
        <w:t xml:space="preserve"> </w:t>
      </w:r>
      <w:r>
        <w:rPr>
          <w:rFonts w:ascii="Times New Roman-Bold-1255" w:hint="cs"/>
          <w:rtl/>
        </w:rPr>
        <w:t>להפסיק</w:t>
      </w:r>
      <w:r>
        <w:rPr>
          <w:rFonts w:ascii="Times New Roman-Bold-1255" w:hint="cs"/>
        </w:rPr>
        <w:t xml:space="preserve"> </w:t>
      </w:r>
      <w:r>
        <w:rPr>
          <w:rFonts w:ascii="Times New Roman-Bold-1255" w:hint="cs"/>
          <w:rtl/>
        </w:rPr>
        <w:t>את</w:t>
      </w:r>
      <w:r>
        <w:rPr>
          <w:rFonts w:ascii="Times New Roman-Bold-1255" w:hint="cs"/>
        </w:rPr>
        <w:t xml:space="preserve"> </w:t>
      </w:r>
      <w:r>
        <w:rPr>
          <w:rFonts w:ascii="Times New Roman-Bold-1255" w:hint="cs"/>
          <w:rtl/>
        </w:rPr>
        <w:t>עבודות</w:t>
      </w:r>
      <w:r>
        <w:rPr>
          <w:rFonts w:ascii="Times New Roman-Bold-1255" w:hint="cs"/>
        </w:rPr>
        <w:t xml:space="preserve"> </w:t>
      </w:r>
      <w:r>
        <w:rPr>
          <w:rFonts w:ascii="Times New Roman-Bold-1255" w:hint="cs"/>
          <w:rtl/>
        </w:rPr>
        <w:t>השירות</w:t>
      </w:r>
      <w:r>
        <w:rPr>
          <w:rFonts w:ascii="Times New Roman-Bold-1255" w:hint="cs"/>
        </w:rPr>
        <w:t xml:space="preserve"> </w:t>
      </w:r>
      <w:r>
        <w:rPr>
          <w:rFonts w:ascii="Times New Roman-Bold-1255" w:hint="cs"/>
          <w:rtl/>
        </w:rPr>
        <w:t>ורצוי</w:t>
      </w:r>
      <w:r>
        <w:rPr>
          <w:rFonts w:ascii="Times New Roman-Bold-1255" w:hint="cs"/>
        </w:rPr>
        <w:t xml:space="preserve"> </w:t>
      </w:r>
      <w:r>
        <w:rPr>
          <w:rFonts w:ascii="Times New Roman-Bold-1255" w:hint="cs"/>
          <w:rtl/>
        </w:rPr>
        <w:t>יתרת</w:t>
      </w:r>
      <w:r>
        <w:rPr>
          <w:rFonts w:ascii="Times New Roman-Bold-1255" w:hint="cs"/>
        </w:rPr>
        <w:t xml:space="preserve"> </w:t>
      </w:r>
      <w:r>
        <w:rPr>
          <w:rFonts w:ascii="Times New Roman-Bold-1255" w:hint="cs"/>
          <w:rtl/>
        </w:rPr>
        <w:t>העונש</w:t>
      </w:r>
      <w:r>
        <w:rPr>
          <w:rFonts w:ascii="Times New Roman-Bold-1255" w:hint="cs"/>
        </w:rPr>
        <w:t xml:space="preserve"> </w:t>
      </w:r>
      <w:r>
        <w:rPr>
          <w:rFonts w:ascii="Times New Roman-Bold-1255" w:hint="cs"/>
          <w:rtl/>
        </w:rPr>
        <w:t>במאסר</w:t>
      </w:r>
      <w:r>
        <w:rPr>
          <w:rFonts w:ascii="Times New Roman-Bold-1255" w:hint="cs"/>
        </w:rPr>
        <w:t xml:space="preserve"> </w:t>
      </w:r>
      <w:r>
        <w:rPr>
          <w:rFonts w:ascii="Times New Roman-Bold-1255" w:hint="cs"/>
          <w:rtl/>
        </w:rPr>
        <w:t>בפועל.</w:t>
      </w:r>
    </w:p>
    <w:p w14:paraId="6DA7E7D3" w14:textId="77777777" w:rsidR="003872DC" w:rsidRDefault="003872DC" w:rsidP="003872DC">
      <w:pPr>
        <w:pStyle w:val="ListParagraph"/>
        <w:spacing w:line="360" w:lineRule="auto"/>
        <w:rPr>
          <w:b/>
          <w:bCs/>
          <w:sz w:val="24"/>
          <w:u w:val="single"/>
        </w:rPr>
      </w:pPr>
    </w:p>
    <w:p w14:paraId="5D758462" w14:textId="77777777" w:rsidR="003872DC" w:rsidRDefault="003872DC" w:rsidP="003872DC">
      <w:pPr>
        <w:pStyle w:val="ListParagraph"/>
        <w:spacing w:line="360" w:lineRule="auto"/>
        <w:rPr>
          <w:b/>
          <w:bCs/>
          <w:sz w:val="24"/>
          <w:u w:val="single"/>
          <w:rtl/>
        </w:rPr>
      </w:pPr>
      <w:r>
        <w:rPr>
          <w:rFonts w:hint="cs"/>
          <w:b/>
          <w:bCs/>
          <w:sz w:val="24"/>
          <w:u w:val="single"/>
          <w:rtl/>
        </w:rPr>
        <w:t xml:space="preserve">המזכירות תעביר הודעה על גזר הדין לממונה על עבודת השירות. </w:t>
      </w:r>
    </w:p>
    <w:p w14:paraId="006491D3" w14:textId="77777777" w:rsidR="003872DC" w:rsidRDefault="003872DC" w:rsidP="003872DC">
      <w:pPr>
        <w:spacing w:line="360" w:lineRule="auto"/>
        <w:jc w:val="both"/>
        <w:rPr>
          <w:rtl/>
        </w:rPr>
      </w:pPr>
    </w:p>
    <w:p w14:paraId="2D3B068C" w14:textId="77777777" w:rsidR="003872DC" w:rsidRDefault="003872DC" w:rsidP="003872DC">
      <w:pPr>
        <w:pStyle w:val="ListParagraph"/>
        <w:numPr>
          <w:ilvl w:val="0"/>
          <w:numId w:val="1"/>
        </w:numPr>
        <w:spacing w:line="360" w:lineRule="auto"/>
        <w:jc w:val="both"/>
        <w:rPr>
          <w:sz w:val="24"/>
        </w:rPr>
      </w:pPr>
      <w:r>
        <w:rPr>
          <w:rFonts w:hint="cs"/>
          <w:sz w:val="24"/>
          <w:rtl/>
        </w:rPr>
        <w:t>אני דן את הנאשם למאסר למשך 4</w:t>
      </w:r>
      <w:r>
        <w:rPr>
          <w:rFonts w:hint="cs"/>
          <w:b/>
          <w:bCs/>
          <w:sz w:val="24"/>
          <w:rtl/>
        </w:rPr>
        <w:t xml:space="preserve"> </w:t>
      </w:r>
      <w:r>
        <w:rPr>
          <w:rFonts w:hint="cs"/>
          <w:sz w:val="24"/>
          <w:rtl/>
        </w:rPr>
        <w:t xml:space="preserve">חודשים וזאת על תנאי למשך שלוש שנים. התנאי הוא שלא יעבור את העבירה של גניבה. </w:t>
      </w:r>
    </w:p>
    <w:p w14:paraId="4C76F9DC" w14:textId="77777777" w:rsidR="003872DC" w:rsidRDefault="003872DC" w:rsidP="003872DC">
      <w:pPr>
        <w:spacing w:line="360" w:lineRule="auto"/>
        <w:jc w:val="both"/>
      </w:pPr>
    </w:p>
    <w:p w14:paraId="0B5C3C59" w14:textId="77777777" w:rsidR="003872DC" w:rsidRDefault="003872DC" w:rsidP="003872DC">
      <w:pPr>
        <w:pStyle w:val="ListParagraph"/>
        <w:numPr>
          <w:ilvl w:val="0"/>
          <w:numId w:val="1"/>
        </w:numPr>
        <w:spacing w:line="360" w:lineRule="auto"/>
        <w:jc w:val="both"/>
        <w:rPr>
          <w:sz w:val="24"/>
        </w:rPr>
      </w:pPr>
      <w:r>
        <w:rPr>
          <w:rFonts w:hint="cs"/>
          <w:sz w:val="24"/>
          <w:rtl/>
        </w:rPr>
        <w:t>אני דן את הנאשם למאסר למשך 2</w:t>
      </w:r>
      <w:r>
        <w:rPr>
          <w:rFonts w:hint="cs"/>
          <w:b/>
          <w:bCs/>
          <w:sz w:val="24"/>
          <w:rtl/>
        </w:rPr>
        <w:t xml:space="preserve"> </w:t>
      </w:r>
      <w:r>
        <w:rPr>
          <w:rFonts w:hint="cs"/>
          <w:sz w:val="24"/>
          <w:rtl/>
        </w:rPr>
        <w:t xml:space="preserve">חודשים וזאת על תנאי למשך שנתיים. התנאי הוא שלא יעבור את העבירה של החזקת רכוש החשוד כגנוב או עבירה של החזקת סם לצריכה עצמית. </w:t>
      </w:r>
    </w:p>
    <w:p w14:paraId="6C83EA7C" w14:textId="77777777" w:rsidR="003872DC" w:rsidRDefault="003872DC" w:rsidP="003872DC">
      <w:pPr>
        <w:spacing w:line="360" w:lineRule="auto"/>
        <w:jc w:val="both"/>
      </w:pPr>
    </w:p>
    <w:p w14:paraId="1BC7942E" w14:textId="77777777" w:rsidR="003872DC" w:rsidRDefault="003872DC" w:rsidP="003872DC">
      <w:pPr>
        <w:pStyle w:val="ListParagraph"/>
        <w:numPr>
          <w:ilvl w:val="0"/>
          <w:numId w:val="1"/>
        </w:numPr>
        <w:spacing w:line="360" w:lineRule="auto"/>
        <w:jc w:val="both"/>
        <w:rPr>
          <w:sz w:val="24"/>
        </w:rPr>
      </w:pPr>
      <w:r>
        <w:rPr>
          <w:rFonts w:hint="cs"/>
          <w:sz w:val="24"/>
          <w:rtl/>
        </w:rPr>
        <w:t xml:space="preserve">הנאשם יחתום על התחייבות כספית על סך 1,000 </w:t>
      </w:r>
      <w:r>
        <w:rPr>
          <w:rFonts w:hint="cs"/>
          <w:b/>
          <w:bCs/>
          <w:sz w:val="24"/>
          <w:rtl/>
        </w:rPr>
        <w:t>₪</w:t>
      </w:r>
      <w:r>
        <w:rPr>
          <w:rFonts w:hint="cs"/>
          <w:sz w:val="24"/>
          <w:rtl/>
        </w:rPr>
        <w:t xml:space="preserve"> שלא יעבור עבירה דומה לעבירה בה הורשע והתנאי הוא למשך 3 שנים מהיום. היה ולא יחתום הנאשם על התחייבות זו בתוך 7 ימים, ייאסר למשך שבוע. </w:t>
      </w:r>
    </w:p>
    <w:p w14:paraId="528C6960" w14:textId="77777777" w:rsidR="003872DC" w:rsidRDefault="003872DC" w:rsidP="003872DC">
      <w:pPr>
        <w:spacing w:line="360" w:lineRule="auto"/>
        <w:jc w:val="both"/>
      </w:pPr>
    </w:p>
    <w:p w14:paraId="6FB35858" w14:textId="77777777" w:rsidR="003872DC" w:rsidRDefault="003872DC" w:rsidP="003872DC">
      <w:pPr>
        <w:pStyle w:val="ListParagraph"/>
        <w:numPr>
          <w:ilvl w:val="0"/>
          <w:numId w:val="1"/>
        </w:numPr>
        <w:autoSpaceDE w:val="0"/>
        <w:autoSpaceDN w:val="0"/>
        <w:adjustRightInd w:val="0"/>
        <w:spacing w:line="360" w:lineRule="auto"/>
        <w:jc w:val="both"/>
        <w:rPr>
          <w:sz w:val="24"/>
        </w:rPr>
      </w:pPr>
      <w:r>
        <w:rPr>
          <w:rFonts w:hint="cs"/>
          <w:sz w:val="24"/>
          <w:rtl/>
        </w:rPr>
        <w:t xml:space="preserve">הנני פוסל את הנאשם מלקבל או מלהחזיק רישיון נהיגה לתקופה של 3 חודשים וזאת על תנאי למשך  3 שנים. </w:t>
      </w:r>
    </w:p>
    <w:p w14:paraId="4E512B51" w14:textId="77777777" w:rsidR="003872DC" w:rsidRDefault="003872DC" w:rsidP="003872DC">
      <w:pPr>
        <w:autoSpaceDE w:val="0"/>
        <w:autoSpaceDN w:val="0"/>
        <w:adjustRightInd w:val="0"/>
        <w:spacing w:line="360" w:lineRule="auto"/>
        <w:jc w:val="both"/>
      </w:pPr>
    </w:p>
    <w:p w14:paraId="1AF7AC4D" w14:textId="77777777" w:rsidR="003872DC" w:rsidRDefault="003872DC" w:rsidP="003872DC">
      <w:pPr>
        <w:pStyle w:val="ListParagraph"/>
        <w:numPr>
          <w:ilvl w:val="0"/>
          <w:numId w:val="1"/>
        </w:numPr>
        <w:autoSpaceDE w:val="0"/>
        <w:autoSpaceDN w:val="0"/>
        <w:adjustRightInd w:val="0"/>
        <w:spacing w:line="360" w:lineRule="auto"/>
        <w:jc w:val="both"/>
        <w:rPr>
          <w:sz w:val="24"/>
        </w:rPr>
      </w:pPr>
      <w:r>
        <w:rPr>
          <w:rFonts w:hint="cs"/>
          <w:sz w:val="24"/>
          <w:rtl/>
        </w:rPr>
        <w:t>אני מעמיד את הנאשם בצו מבחן למשך 12 חודשים. בית</w:t>
      </w:r>
      <w:r>
        <w:rPr>
          <w:rFonts w:hint="cs"/>
          <w:sz w:val="24"/>
        </w:rPr>
        <w:t xml:space="preserve"> </w:t>
      </w:r>
      <w:r>
        <w:rPr>
          <w:rFonts w:hint="cs"/>
          <w:sz w:val="24"/>
          <w:rtl/>
        </w:rPr>
        <w:t>המשפט מסביר לנאשם ומזהיר את הנאשם שאם</w:t>
      </w:r>
      <w:r>
        <w:rPr>
          <w:rFonts w:hint="cs"/>
          <w:sz w:val="24"/>
        </w:rPr>
        <w:t xml:space="preserve"> </w:t>
      </w:r>
      <w:r>
        <w:rPr>
          <w:rFonts w:hint="cs"/>
          <w:sz w:val="24"/>
          <w:rtl/>
        </w:rPr>
        <w:t>לא</w:t>
      </w:r>
      <w:r>
        <w:rPr>
          <w:rFonts w:hint="cs"/>
          <w:sz w:val="24"/>
        </w:rPr>
        <w:t xml:space="preserve"> </w:t>
      </w:r>
      <w:r>
        <w:rPr>
          <w:rFonts w:hint="cs"/>
          <w:sz w:val="24"/>
          <w:rtl/>
        </w:rPr>
        <w:t>ימלא</w:t>
      </w:r>
      <w:r>
        <w:rPr>
          <w:rFonts w:hint="cs"/>
          <w:sz w:val="24"/>
        </w:rPr>
        <w:t xml:space="preserve"> </w:t>
      </w:r>
      <w:r>
        <w:rPr>
          <w:rFonts w:hint="cs"/>
          <w:sz w:val="24"/>
          <w:rtl/>
        </w:rPr>
        <w:t>אחרי</w:t>
      </w:r>
      <w:r>
        <w:rPr>
          <w:rFonts w:hint="cs"/>
          <w:sz w:val="24"/>
        </w:rPr>
        <w:t xml:space="preserve"> </w:t>
      </w:r>
      <w:r>
        <w:rPr>
          <w:rFonts w:hint="cs"/>
          <w:sz w:val="24"/>
          <w:rtl/>
        </w:rPr>
        <w:t>הצו</w:t>
      </w:r>
      <w:r>
        <w:rPr>
          <w:rFonts w:hint="cs"/>
          <w:sz w:val="24"/>
        </w:rPr>
        <w:t xml:space="preserve"> </w:t>
      </w:r>
      <w:r>
        <w:rPr>
          <w:rFonts w:hint="cs"/>
          <w:sz w:val="24"/>
          <w:rtl/>
        </w:rPr>
        <w:t>מכל</w:t>
      </w:r>
      <w:r>
        <w:rPr>
          <w:rFonts w:hint="cs"/>
          <w:sz w:val="24"/>
        </w:rPr>
        <w:t xml:space="preserve"> </w:t>
      </w:r>
      <w:r>
        <w:rPr>
          <w:rFonts w:hint="cs"/>
          <w:sz w:val="24"/>
          <w:rtl/>
        </w:rPr>
        <w:t>בחינה</w:t>
      </w:r>
      <w:r>
        <w:rPr>
          <w:rFonts w:hint="cs"/>
          <w:sz w:val="24"/>
        </w:rPr>
        <w:t xml:space="preserve"> </w:t>
      </w:r>
      <w:r>
        <w:rPr>
          <w:rFonts w:hint="cs"/>
          <w:sz w:val="24"/>
          <w:rtl/>
        </w:rPr>
        <w:t>שהיא</w:t>
      </w:r>
      <w:r>
        <w:rPr>
          <w:rFonts w:hint="cs"/>
          <w:sz w:val="24"/>
        </w:rPr>
        <w:t xml:space="preserve"> </w:t>
      </w:r>
      <w:r>
        <w:rPr>
          <w:rFonts w:hint="cs"/>
          <w:sz w:val="24"/>
          <w:rtl/>
        </w:rPr>
        <w:t>או</w:t>
      </w:r>
      <w:r>
        <w:rPr>
          <w:rFonts w:hint="cs"/>
          <w:sz w:val="24"/>
        </w:rPr>
        <w:t xml:space="preserve"> </w:t>
      </w:r>
      <w:r>
        <w:rPr>
          <w:rFonts w:hint="cs"/>
          <w:sz w:val="24"/>
          <w:rtl/>
        </w:rPr>
        <w:t>יעבור</w:t>
      </w:r>
      <w:r>
        <w:rPr>
          <w:rFonts w:hint="cs"/>
          <w:sz w:val="24"/>
        </w:rPr>
        <w:t xml:space="preserve"> </w:t>
      </w:r>
      <w:r>
        <w:rPr>
          <w:rFonts w:hint="cs"/>
          <w:sz w:val="24"/>
          <w:rtl/>
        </w:rPr>
        <w:t>עבירה</w:t>
      </w:r>
      <w:r>
        <w:rPr>
          <w:rFonts w:hint="cs"/>
          <w:sz w:val="24"/>
        </w:rPr>
        <w:t xml:space="preserve"> </w:t>
      </w:r>
      <w:r>
        <w:rPr>
          <w:rFonts w:hint="cs"/>
          <w:sz w:val="24"/>
          <w:rtl/>
        </w:rPr>
        <w:t>נוספת</w:t>
      </w:r>
      <w:r>
        <w:rPr>
          <w:rFonts w:hint="cs"/>
          <w:sz w:val="24"/>
        </w:rPr>
        <w:t xml:space="preserve"> </w:t>
      </w:r>
      <w:r>
        <w:rPr>
          <w:rFonts w:hint="cs"/>
          <w:sz w:val="24"/>
          <w:rtl/>
        </w:rPr>
        <w:t>יהיה</w:t>
      </w:r>
      <w:r>
        <w:rPr>
          <w:rFonts w:hint="cs"/>
          <w:sz w:val="24"/>
        </w:rPr>
        <w:t xml:space="preserve"> </w:t>
      </w:r>
      <w:r>
        <w:rPr>
          <w:rFonts w:hint="cs"/>
          <w:sz w:val="24"/>
          <w:rtl/>
        </w:rPr>
        <w:t>צפוי</w:t>
      </w:r>
      <w:r>
        <w:rPr>
          <w:rFonts w:hint="cs"/>
          <w:sz w:val="24"/>
        </w:rPr>
        <w:t xml:space="preserve"> </w:t>
      </w:r>
      <w:r>
        <w:rPr>
          <w:rFonts w:hint="cs"/>
          <w:sz w:val="24"/>
          <w:rtl/>
        </w:rPr>
        <w:t>לעונש על</w:t>
      </w:r>
      <w:r>
        <w:rPr>
          <w:rFonts w:hint="cs"/>
          <w:sz w:val="24"/>
        </w:rPr>
        <w:t xml:space="preserve"> </w:t>
      </w:r>
      <w:r>
        <w:rPr>
          <w:rFonts w:hint="cs"/>
          <w:sz w:val="24"/>
          <w:rtl/>
        </w:rPr>
        <w:t>העבירה</w:t>
      </w:r>
      <w:r>
        <w:rPr>
          <w:rFonts w:hint="cs"/>
          <w:sz w:val="24"/>
        </w:rPr>
        <w:t xml:space="preserve"> </w:t>
      </w:r>
      <w:r>
        <w:rPr>
          <w:rFonts w:hint="cs"/>
          <w:sz w:val="24"/>
          <w:rtl/>
        </w:rPr>
        <w:t>שבגללה</w:t>
      </w:r>
      <w:r>
        <w:rPr>
          <w:rFonts w:hint="cs"/>
          <w:sz w:val="24"/>
        </w:rPr>
        <w:t xml:space="preserve"> </w:t>
      </w:r>
      <w:r>
        <w:rPr>
          <w:rFonts w:hint="cs"/>
          <w:sz w:val="24"/>
          <w:rtl/>
        </w:rPr>
        <w:t>ניתן</w:t>
      </w:r>
      <w:r>
        <w:rPr>
          <w:rFonts w:hint="cs"/>
          <w:sz w:val="24"/>
        </w:rPr>
        <w:t xml:space="preserve"> </w:t>
      </w:r>
      <w:r>
        <w:rPr>
          <w:rFonts w:hint="cs"/>
          <w:sz w:val="24"/>
          <w:rtl/>
        </w:rPr>
        <w:t>הצו.</w:t>
      </w:r>
    </w:p>
    <w:p w14:paraId="2A99D2B3" w14:textId="77777777" w:rsidR="003872DC" w:rsidRDefault="003872DC" w:rsidP="003872DC">
      <w:pPr>
        <w:autoSpaceDE w:val="0"/>
        <w:autoSpaceDN w:val="0"/>
        <w:adjustRightInd w:val="0"/>
        <w:spacing w:line="360" w:lineRule="auto"/>
        <w:ind w:firstLine="720"/>
      </w:pPr>
      <w:r>
        <w:rPr>
          <w:rFonts w:hint="cs"/>
          <w:rtl/>
        </w:rPr>
        <w:t>הנאשם הביע</w:t>
      </w:r>
      <w:r>
        <w:rPr>
          <w:rFonts w:hint="cs"/>
        </w:rPr>
        <w:t xml:space="preserve"> </w:t>
      </w:r>
      <w:r>
        <w:rPr>
          <w:rFonts w:hint="cs"/>
          <w:rtl/>
        </w:rPr>
        <w:t>את</w:t>
      </w:r>
      <w:r>
        <w:rPr>
          <w:rFonts w:hint="cs"/>
        </w:rPr>
        <w:t xml:space="preserve"> </w:t>
      </w:r>
      <w:r>
        <w:rPr>
          <w:rFonts w:hint="cs"/>
          <w:rtl/>
        </w:rPr>
        <w:t>נכונותו</w:t>
      </w:r>
      <w:r>
        <w:rPr>
          <w:rFonts w:hint="cs"/>
        </w:rPr>
        <w:t xml:space="preserve"> </w:t>
      </w:r>
      <w:r>
        <w:rPr>
          <w:rFonts w:hint="cs"/>
          <w:rtl/>
        </w:rPr>
        <w:t>למלא</w:t>
      </w:r>
      <w:r>
        <w:rPr>
          <w:rFonts w:hint="cs"/>
        </w:rPr>
        <w:t xml:space="preserve"> </w:t>
      </w:r>
      <w:r>
        <w:rPr>
          <w:rFonts w:hint="cs"/>
          <w:rtl/>
        </w:rPr>
        <w:t>אחר</w:t>
      </w:r>
      <w:r>
        <w:rPr>
          <w:rFonts w:hint="cs"/>
        </w:rPr>
        <w:t xml:space="preserve"> </w:t>
      </w:r>
      <w:r>
        <w:rPr>
          <w:rFonts w:hint="cs"/>
          <w:rtl/>
        </w:rPr>
        <w:t>הוראות</w:t>
      </w:r>
      <w:r>
        <w:rPr>
          <w:rFonts w:hint="cs"/>
        </w:rPr>
        <w:t xml:space="preserve"> </w:t>
      </w:r>
      <w:r>
        <w:rPr>
          <w:rFonts w:hint="cs"/>
          <w:rtl/>
        </w:rPr>
        <w:t>הצו.</w:t>
      </w:r>
    </w:p>
    <w:p w14:paraId="6A34F6DD" w14:textId="77777777" w:rsidR="003872DC" w:rsidRDefault="003872DC" w:rsidP="003872DC">
      <w:pPr>
        <w:autoSpaceDE w:val="0"/>
        <w:autoSpaceDN w:val="0"/>
        <w:adjustRightInd w:val="0"/>
        <w:spacing w:line="360" w:lineRule="auto"/>
        <w:rPr>
          <w:rtl/>
        </w:rPr>
      </w:pPr>
    </w:p>
    <w:p w14:paraId="0CEF7453" w14:textId="77777777" w:rsidR="003872DC" w:rsidRDefault="003872DC" w:rsidP="003872DC">
      <w:pPr>
        <w:autoSpaceDE w:val="0"/>
        <w:autoSpaceDN w:val="0"/>
        <w:adjustRightInd w:val="0"/>
        <w:spacing w:line="360" w:lineRule="auto"/>
        <w:rPr>
          <w:b/>
          <w:bCs/>
          <w:u w:val="single"/>
          <w:rtl/>
        </w:rPr>
      </w:pPr>
      <w:r>
        <w:rPr>
          <w:rFonts w:hint="cs"/>
          <w:b/>
          <w:bCs/>
          <w:u w:val="single"/>
          <w:rtl/>
        </w:rPr>
        <w:t>המזכירות תשלח פרוטוקול הדיון לשירות המבחן.</w:t>
      </w:r>
    </w:p>
    <w:p w14:paraId="594E472D" w14:textId="77777777" w:rsidR="003872DC" w:rsidRDefault="003872DC" w:rsidP="003872DC">
      <w:pPr>
        <w:spacing w:line="360" w:lineRule="auto"/>
        <w:jc w:val="both"/>
        <w:rPr>
          <w:rtl/>
        </w:rPr>
      </w:pPr>
    </w:p>
    <w:p w14:paraId="2B0D7DF0" w14:textId="77777777" w:rsidR="003872DC" w:rsidRDefault="003872DC" w:rsidP="003872DC">
      <w:pPr>
        <w:spacing w:line="360" w:lineRule="auto"/>
        <w:ind w:left="720" w:hanging="720"/>
        <w:jc w:val="both"/>
        <w:rPr>
          <w:b/>
          <w:bCs/>
          <w:u w:val="single"/>
          <w:rtl/>
        </w:rPr>
      </w:pPr>
      <w:r>
        <w:rPr>
          <w:rFonts w:hint="cs"/>
          <w:b/>
          <w:bCs/>
          <w:u w:val="single"/>
          <w:rtl/>
        </w:rPr>
        <w:t>זכות ערעור לבית המשפט המחוזי בת"א, תוך 45 יום מהיום.</w:t>
      </w:r>
    </w:p>
    <w:p w14:paraId="3FA52BF1" w14:textId="77777777" w:rsidR="003872DC" w:rsidRDefault="003872DC" w:rsidP="003872DC">
      <w:pPr>
        <w:spacing w:line="360" w:lineRule="auto"/>
        <w:ind w:left="720" w:hanging="720"/>
        <w:jc w:val="both"/>
        <w:rPr>
          <w:b/>
          <w:bCs/>
          <w:u w:val="single"/>
          <w:rtl/>
        </w:rPr>
      </w:pPr>
    </w:p>
    <w:p w14:paraId="3E938887" w14:textId="77777777" w:rsidR="003872DC" w:rsidRDefault="003872DC" w:rsidP="003872DC">
      <w:pPr>
        <w:spacing w:line="360" w:lineRule="auto"/>
        <w:jc w:val="both"/>
        <w:rPr>
          <w:b/>
          <w:bCs/>
          <w:u w:val="single"/>
          <w:rtl/>
        </w:rPr>
      </w:pPr>
      <w:r>
        <w:rPr>
          <w:rFonts w:hint="cs"/>
          <w:b/>
          <w:bCs/>
          <w:u w:val="single"/>
          <w:rtl/>
        </w:rPr>
        <w:t>במידה וקיימים מוצגים הרי שהם יישמדו, יחולטו, יושבו לבעליהם על פי שיקול הדעת של קצין החקירות.</w:t>
      </w:r>
    </w:p>
    <w:p w14:paraId="3CE983ED" w14:textId="77777777" w:rsidR="003872DC" w:rsidRDefault="003872DC" w:rsidP="003872DC">
      <w:pPr>
        <w:spacing w:line="360" w:lineRule="auto"/>
        <w:rPr>
          <w:rtl/>
        </w:rPr>
      </w:pPr>
    </w:p>
    <w:p w14:paraId="6576EF9D" w14:textId="77777777" w:rsidR="003872DC" w:rsidRDefault="003872DC" w:rsidP="003872DC">
      <w:pPr>
        <w:spacing w:line="360" w:lineRule="auto"/>
        <w:jc w:val="both"/>
        <w:rPr>
          <w:b/>
          <w:bCs/>
          <w:u w:val="single"/>
          <w:rtl/>
        </w:rPr>
      </w:pPr>
      <w:r>
        <w:rPr>
          <w:rFonts w:hint="cs"/>
          <w:b/>
          <w:bCs/>
          <w:u w:val="single"/>
          <w:rtl/>
        </w:rPr>
        <w:t>ככל</w:t>
      </w:r>
      <w:r>
        <w:rPr>
          <w:rFonts w:hint="cs"/>
          <w:b/>
          <w:bCs/>
          <w:u w:val="single"/>
        </w:rPr>
        <w:t xml:space="preserve"> </w:t>
      </w:r>
      <w:r>
        <w:rPr>
          <w:rFonts w:hint="cs"/>
          <w:b/>
          <w:bCs/>
          <w:u w:val="single"/>
          <w:rtl/>
        </w:rPr>
        <w:t>שהופקד</w:t>
      </w:r>
      <w:r>
        <w:rPr>
          <w:rFonts w:hint="cs"/>
          <w:b/>
          <w:bCs/>
          <w:u w:val="single"/>
        </w:rPr>
        <w:t xml:space="preserve"> </w:t>
      </w:r>
      <w:r>
        <w:rPr>
          <w:rFonts w:hint="cs"/>
          <w:b/>
          <w:bCs/>
          <w:u w:val="single"/>
          <w:rtl/>
        </w:rPr>
        <w:t>פיקדון</w:t>
      </w:r>
      <w:r>
        <w:rPr>
          <w:rFonts w:hint="cs"/>
          <w:b/>
          <w:bCs/>
          <w:u w:val="single"/>
        </w:rPr>
        <w:t xml:space="preserve"> </w:t>
      </w:r>
      <w:r>
        <w:rPr>
          <w:rFonts w:hint="cs"/>
          <w:b/>
          <w:bCs/>
          <w:u w:val="single"/>
          <w:rtl/>
        </w:rPr>
        <w:t>בתיק</w:t>
      </w:r>
      <w:r>
        <w:rPr>
          <w:rFonts w:hint="cs"/>
          <w:b/>
          <w:bCs/>
          <w:u w:val="single"/>
        </w:rPr>
        <w:t xml:space="preserve"> </w:t>
      </w:r>
      <w:r>
        <w:rPr>
          <w:rFonts w:hint="cs"/>
          <w:b/>
          <w:bCs/>
          <w:u w:val="single"/>
          <w:rtl/>
        </w:rPr>
        <w:t>על-ידי</w:t>
      </w:r>
      <w:r>
        <w:rPr>
          <w:rFonts w:hint="cs"/>
          <w:b/>
          <w:bCs/>
          <w:u w:val="single"/>
        </w:rPr>
        <w:t xml:space="preserve"> </w:t>
      </w:r>
      <w:r>
        <w:rPr>
          <w:rFonts w:hint="cs"/>
          <w:b/>
          <w:bCs/>
          <w:u w:val="single"/>
          <w:rtl/>
        </w:rPr>
        <w:t>הנאשם, יש</w:t>
      </w:r>
      <w:r>
        <w:rPr>
          <w:rFonts w:hint="cs"/>
          <w:b/>
          <w:bCs/>
          <w:u w:val="single"/>
        </w:rPr>
        <w:t xml:space="preserve"> </w:t>
      </w:r>
      <w:r>
        <w:rPr>
          <w:rFonts w:hint="cs"/>
          <w:b/>
          <w:bCs/>
          <w:u w:val="single"/>
          <w:rtl/>
        </w:rPr>
        <w:t>להחזירו</w:t>
      </w:r>
      <w:r>
        <w:rPr>
          <w:rFonts w:hint="cs"/>
          <w:b/>
          <w:bCs/>
          <w:u w:val="single"/>
        </w:rPr>
        <w:t xml:space="preserve"> </w:t>
      </w:r>
      <w:r>
        <w:rPr>
          <w:rFonts w:hint="cs"/>
          <w:b/>
          <w:bCs/>
          <w:u w:val="single"/>
          <w:rtl/>
        </w:rPr>
        <w:t>לידיו</w:t>
      </w:r>
      <w:r>
        <w:rPr>
          <w:rFonts w:hint="cs"/>
          <w:b/>
          <w:bCs/>
          <w:u w:val="single"/>
        </w:rPr>
        <w:t xml:space="preserve"> </w:t>
      </w:r>
      <w:r>
        <w:rPr>
          <w:rFonts w:hint="cs"/>
          <w:b/>
          <w:bCs/>
          <w:u w:val="single"/>
          <w:rtl/>
        </w:rPr>
        <w:t>או</w:t>
      </w:r>
      <w:r>
        <w:rPr>
          <w:rFonts w:hint="cs"/>
          <w:b/>
          <w:bCs/>
          <w:u w:val="single"/>
        </w:rPr>
        <w:t xml:space="preserve"> </w:t>
      </w:r>
      <w:r>
        <w:rPr>
          <w:rFonts w:hint="cs"/>
          <w:b/>
          <w:bCs/>
          <w:u w:val="single"/>
          <w:rtl/>
        </w:rPr>
        <w:t>לגורם</w:t>
      </w:r>
      <w:r>
        <w:rPr>
          <w:rFonts w:hint="cs"/>
          <w:b/>
          <w:bCs/>
          <w:u w:val="single"/>
        </w:rPr>
        <w:t xml:space="preserve"> </w:t>
      </w:r>
      <w:r>
        <w:rPr>
          <w:rFonts w:hint="cs"/>
          <w:b/>
          <w:bCs/>
          <w:u w:val="single"/>
          <w:rtl/>
        </w:rPr>
        <w:t>אחר</w:t>
      </w:r>
      <w:r>
        <w:rPr>
          <w:rFonts w:hint="cs"/>
          <w:b/>
          <w:bCs/>
          <w:u w:val="single"/>
        </w:rPr>
        <w:t xml:space="preserve"> </w:t>
      </w:r>
      <w:r>
        <w:rPr>
          <w:rFonts w:hint="cs"/>
          <w:b/>
          <w:bCs/>
          <w:u w:val="single"/>
          <w:rtl/>
        </w:rPr>
        <w:t>לפי</w:t>
      </w:r>
      <w:r>
        <w:rPr>
          <w:rFonts w:hint="cs"/>
          <w:b/>
          <w:bCs/>
          <w:u w:val="single"/>
        </w:rPr>
        <w:t xml:space="preserve"> </w:t>
      </w:r>
      <w:r>
        <w:rPr>
          <w:rFonts w:hint="cs"/>
          <w:b/>
          <w:bCs/>
          <w:u w:val="single"/>
          <w:rtl/>
        </w:rPr>
        <w:t>בקשת</w:t>
      </w:r>
      <w:r>
        <w:rPr>
          <w:rFonts w:hint="cs"/>
          <w:b/>
          <w:bCs/>
          <w:u w:val="single"/>
        </w:rPr>
        <w:t xml:space="preserve"> </w:t>
      </w:r>
      <w:r>
        <w:rPr>
          <w:rFonts w:hint="cs"/>
          <w:b/>
          <w:bCs/>
          <w:u w:val="single"/>
          <w:rtl/>
        </w:rPr>
        <w:t>הנאשם, בהיעדר</w:t>
      </w:r>
      <w:r>
        <w:rPr>
          <w:rFonts w:hint="cs"/>
          <w:b/>
          <w:bCs/>
          <w:u w:val="single"/>
        </w:rPr>
        <w:t xml:space="preserve"> </w:t>
      </w:r>
      <w:r>
        <w:rPr>
          <w:rFonts w:hint="cs"/>
          <w:b/>
          <w:bCs/>
          <w:u w:val="single"/>
          <w:rtl/>
        </w:rPr>
        <w:t>מניעה</w:t>
      </w:r>
      <w:r>
        <w:rPr>
          <w:rFonts w:hint="cs"/>
          <w:b/>
          <w:bCs/>
          <w:u w:val="single"/>
        </w:rPr>
        <w:t xml:space="preserve"> </w:t>
      </w:r>
      <w:r>
        <w:rPr>
          <w:rFonts w:hint="cs"/>
          <w:b/>
          <w:bCs/>
          <w:u w:val="single"/>
          <w:rtl/>
        </w:rPr>
        <w:t>על-פי</w:t>
      </w:r>
      <w:r>
        <w:rPr>
          <w:rFonts w:hint="cs"/>
          <w:b/>
          <w:bCs/>
          <w:u w:val="single"/>
        </w:rPr>
        <w:t xml:space="preserve"> </w:t>
      </w:r>
      <w:r>
        <w:rPr>
          <w:rFonts w:hint="cs"/>
          <w:b/>
          <w:bCs/>
          <w:u w:val="single"/>
          <w:rtl/>
        </w:rPr>
        <w:t>דין.</w:t>
      </w:r>
    </w:p>
    <w:p w14:paraId="1ED3560B" w14:textId="77777777" w:rsidR="003872DC" w:rsidRDefault="003872DC" w:rsidP="003872DC">
      <w:pPr>
        <w:spacing w:line="360" w:lineRule="auto"/>
      </w:pPr>
    </w:p>
    <w:p w14:paraId="2C98AF13" w14:textId="77777777" w:rsidR="003872DC" w:rsidRDefault="003872DC" w:rsidP="003872DC">
      <w:pPr>
        <w:spacing w:line="360" w:lineRule="auto"/>
        <w:ind w:left="720" w:hanging="720"/>
        <w:jc w:val="both"/>
        <w:rPr>
          <w:b/>
          <w:bCs/>
          <w:u w:val="single"/>
        </w:rPr>
      </w:pPr>
      <w:r>
        <w:rPr>
          <w:rFonts w:hint="cs"/>
          <w:b/>
          <w:bCs/>
          <w:u w:val="single"/>
          <w:rtl/>
        </w:rPr>
        <w:t>המרשם הפלילי הושב לידיה הנאמנות של התביעה</w:t>
      </w:r>
    </w:p>
    <w:p w14:paraId="788145E3" w14:textId="77777777" w:rsidR="003872DC" w:rsidRDefault="003872DC" w:rsidP="003872DC">
      <w:pPr>
        <w:spacing w:line="360" w:lineRule="auto"/>
        <w:jc w:val="both"/>
        <w:rPr>
          <w:rFonts w:ascii="Arial" w:hAnsi="Arial"/>
          <w:sz w:val="6"/>
          <w:szCs w:val="6"/>
        </w:rPr>
      </w:pPr>
      <w:r>
        <w:rPr>
          <w:rFonts w:ascii="Arial" w:hAnsi="Arial"/>
          <w:sz w:val="6"/>
          <w:szCs w:val="6"/>
          <w:rtl/>
        </w:rPr>
        <w:t>&lt;#3#&gt;</w:t>
      </w:r>
    </w:p>
    <w:p w14:paraId="12631B71" w14:textId="77777777" w:rsidR="003872DC" w:rsidRDefault="003872DC" w:rsidP="003872DC">
      <w:pPr>
        <w:jc w:val="right"/>
        <w:rPr>
          <w:rtl/>
        </w:rPr>
      </w:pPr>
    </w:p>
    <w:p w14:paraId="7F2068D5" w14:textId="77777777" w:rsidR="003872DC" w:rsidRDefault="003872DC" w:rsidP="003872DC">
      <w:pPr>
        <w:spacing w:line="360" w:lineRule="auto"/>
        <w:rPr>
          <w:rtl/>
        </w:rPr>
      </w:pPr>
      <w:r>
        <w:rPr>
          <w:rFonts w:hint="cs"/>
          <w:b/>
          <w:bCs/>
          <w:rtl/>
        </w:rPr>
        <w:t xml:space="preserve">ניתנה והודעה היום </w:t>
      </w:r>
      <w:r>
        <w:rPr>
          <w:b/>
          <w:bCs/>
          <w:rtl/>
        </w:rPr>
        <w:t>ט"ו אלול תשע"ז</w:t>
      </w:r>
      <w:r>
        <w:rPr>
          <w:rFonts w:hint="cs"/>
          <w:b/>
          <w:bCs/>
          <w:rtl/>
        </w:rPr>
        <w:t xml:space="preserve">, </w:t>
      </w:r>
      <w:r>
        <w:rPr>
          <w:b/>
          <w:bCs/>
        </w:rPr>
        <w:t>06/09/2017</w:t>
      </w:r>
      <w:r>
        <w:rPr>
          <w:rFonts w:hint="cs"/>
          <w:b/>
          <w:bCs/>
          <w:rtl/>
        </w:rPr>
        <w:t xml:space="preserve">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34708D" w14:paraId="12375376" w14:textId="77777777" w:rsidTr="003872DC">
        <w:trPr>
          <w:trHeight w:val="316"/>
          <w:jc w:val="right"/>
        </w:trPr>
        <w:tc>
          <w:tcPr>
            <w:tcW w:w="3936" w:type="dxa"/>
            <w:shd w:val="clear" w:color="auto" w:fill="auto"/>
          </w:tcPr>
          <w:p w14:paraId="1962A8B8" w14:textId="77777777" w:rsidR="003872DC" w:rsidRDefault="003872DC" w:rsidP="003872DC">
            <w:pPr>
              <w:jc w:val="center"/>
            </w:pPr>
            <w:r>
              <w:rPr>
                <w:rtl/>
              </w:rPr>
              <w:t xml:space="preserve">     </w:t>
            </w:r>
          </w:p>
          <w:p w14:paraId="78EF5FB3" w14:textId="77777777" w:rsidR="003872DC" w:rsidRDefault="003872DC" w:rsidP="003872DC">
            <w:pPr>
              <w:jc w:val="center"/>
              <w:rPr>
                <w:rtl/>
              </w:rPr>
            </w:pPr>
          </w:p>
        </w:tc>
      </w:tr>
      <w:tr w:rsidR="0034708D" w14:paraId="0ACE41FD" w14:textId="77777777" w:rsidTr="003872DC">
        <w:trPr>
          <w:trHeight w:val="361"/>
          <w:jc w:val="right"/>
        </w:trPr>
        <w:tc>
          <w:tcPr>
            <w:tcW w:w="3936" w:type="dxa"/>
            <w:shd w:val="clear" w:color="auto" w:fill="auto"/>
          </w:tcPr>
          <w:p w14:paraId="6F898C0A" w14:textId="77777777" w:rsidR="003872DC" w:rsidRPr="003872DC" w:rsidRDefault="003872DC" w:rsidP="003872DC">
            <w:pPr>
              <w:jc w:val="center"/>
              <w:rPr>
                <w:b/>
                <w:bCs/>
                <w:rtl/>
              </w:rPr>
            </w:pPr>
            <w:r w:rsidRPr="003872DC">
              <w:rPr>
                <w:b/>
                <w:bCs/>
                <w:rtl/>
              </w:rPr>
              <w:t>שמואל</w:t>
            </w:r>
            <w:r w:rsidRPr="003872DC">
              <w:rPr>
                <w:rFonts w:hint="cs"/>
                <w:b/>
                <w:bCs/>
                <w:rtl/>
              </w:rPr>
              <w:t xml:space="preserve"> </w:t>
            </w:r>
            <w:r w:rsidRPr="003872DC">
              <w:rPr>
                <w:b/>
                <w:bCs/>
                <w:rtl/>
              </w:rPr>
              <w:t xml:space="preserve">מלמד </w:t>
            </w:r>
            <w:r w:rsidRPr="003872DC">
              <w:rPr>
                <w:rFonts w:hint="cs"/>
                <w:b/>
                <w:bCs/>
                <w:rtl/>
              </w:rPr>
              <w:t xml:space="preserve">, </w:t>
            </w:r>
            <w:r w:rsidRPr="003872DC">
              <w:rPr>
                <w:b/>
                <w:bCs/>
                <w:rtl/>
              </w:rPr>
              <w:t xml:space="preserve">שופט </w:t>
            </w:r>
          </w:p>
        </w:tc>
      </w:tr>
    </w:tbl>
    <w:p w14:paraId="25C63F2F" w14:textId="77777777" w:rsidR="003872DC" w:rsidRDefault="003872DC" w:rsidP="003872DC">
      <w:pPr>
        <w:spacing w:line="360" w:lineRule="auto"/>
        <w:jc w:val="both"/>
        <w:rPr>
          <w:rtl/>
        </w:rPr>
      </w:pPr>
    </w:p>
    <w:p w14:paraId="4172B15C" w14:textId="77777777" w:rsidR="003872DC" w:rsidRDefault="003872DC" w:rsidP="003872DC">
      <w:pPr>
        <w:spacing w:line="360" w:lineRule="auto"/>
        <w:jc w:val="both"/>
        <w:rPr>
          <w:sz w:val="6"/>
          <w:szCs w:val="6"/>
          <w:rtl/>
        </w:rPr>
      </w:pPr>
      <w:r>
        <w:rPr>
          <w:sz w:val="6"/>
          <w:szCs w:val="6"/>
          <w:rtl/>
        </w:rPr>
        <w:t>&lt;#4#&gt;</w:t>
      </w:r>
    </w:p>
    <w:p w14:paraId="680AF49B" w14:textId="77777777" w:rsidR="003872DC" w:rsidRDefault="003872DC" w:rsidP="003872DC">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0756C484" w14:textId="77777777" w:rsidR="003872DC" w:rsidRDefault="003872DC" w:rsidP="003872DC">
      <w:pPr>
        <w:spacing w:line="360" w:lineRule="auto"/>
        <w:jc w:val="both"/>
        <w:rPr>
          <w:rtl/>
        </w:rPr>
      </w:pPr>
    </w:p>
    <w:p w14:paraId="26BDA624" w14:textId="77777777" w:rsidR="003872DC" w:rsidRDefault="003872DC" w:rsidP="003872DC">
      <w:pPr>
        <w:spacing w:line="360" w:lineRule="auto"/>
        <w:jc w:val="center"/>
        <w:rPr>
          <w:rtl/>
        </w:rPr>
      </w:pPr>
    </w:p>
    <w:p w14:paraId="549B70AB" w14:textId="77777777" w:rsidR="003872DC" w:rsidRDefault="003872DC" w:rsidP="003872DC">
      <w:pPr>
        <w:spacing w:line="360" w:lineRule="auto"/>
        <w:jc w:val="both"/>
        <w:rPr>
          <w:rtl/>
        </w:rPr>
      </w:pPr>
      <w:r>
        <w:rPr>
          <w:rFonts w:hint="cs"/>
          <w:rtl/>
        </w:rPr>
        <w:t xml:space="preserve">מורה על ניכוי ימי מעצר אותם ריצה הנאשם בתיקים שצרף וזאת על פי רישומי שב"ס. </w:t>
      </w:r>
    </w:p>
    <w:p w14:paraId="6A3E35CC" w14:textId="77777777" w:rsidR="003872DC" w:rsidRDefault="003872DC" w:rsidP="003872DC">
      <w:pPr>
        <w:spacing w:line="360" w:lineRule="auto"/>
        <w:jc w:val="both"/>
        <w:rPr>
          <w:rtl/>
        </w:rPr>
      </w:pPr>
    </w:p>
    <w:p w14:paraId="6FA2BF9A" w14:textId="77777777" w:rsidR="003872DC" w:rsidRDefault="003872DC" w:rsidP="003872DC">
      <w:pPr>
        <w:spacing w:line="360" w:lineRule="auto"/>
        <w:jc w:val="both"/>
        <w:rPr>
          <w:sz w:val="6"/>
          <w:szCs w:val="6"/>
          <w:rtl/>
        </w:rPr>
      </w:pPr>
      <w:r>
        <w:rPr>
          <w:sz w:val="6"/>
          <w:szCs w:val="6"/>
          <w:rtl/>
        </w:rPr>
        <w:t>&lt;#5#&gt;</w:t>
      </w:r>
    </w:p>
    <w:p w14:paraId="519D77BF" w14:textId="77777777" w:rsidR="003872DC" w:rsidRDefault="003872DC" w:rsidP="003872DC">
      <w:pPr>
        <w:jc w:val="right"/>
        <w:rPr>
          <w:rtl/>
        </w:rPr>
      </w:pPr>
    </w:p>
    <w:p w14:paraId="2107BD85" w14:textId="77777777" w:rsidR="003872DC" w:rsidRDefault="00D93225" w:rsidP="003872DC">
      <w:pPr>
        <w:jc w:val="center"/>
        <w:rPr>
          <w:rtl/>
        </w:rPr>
      </w:pPr>
      <w:r w:rsidRPr="00D93225">
        <w:rPr>
          <w:b/>
          <w:bCs/>
          <w:color w:val="FFFFFF"/>
          <w:sz w:val="2"/>
          <w:szCs w:val="2"/>
          <w:rtl/>
        </w:rPr>
        <w:t>5129371</w:t>
      </w:r>
      <w:r>
        <w:rPr>
          <w:b/>
          <w:bCs/>
          <w:rtl/>
        </w:rPr>
        <w:t xml:space="preserve">ניתנה והודעה היום ט"ו אלול תשע"ז, 06/09/2017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34708D" w14:paraId="5CE5E9E0" w14:textId="77777777" w:rsidTr="003872DC">
        <w:trPr>
          <w:trHeight w:val="316"/>
          <w:jc w:val="right"/>
        </w:trPr>
        <w:tc>
          <w:tcPr>
            <w:tcW w:w="3936" w:type="dxa"/>
            <w:shd w:val="clear" w:color="auto" w:fill="auto"/>
          </w:tcPr>
          <w:p w14:paraId="40FE56B5" w14:textId="77777777" w:rsidR="003872DC" w:rsidRPr="00D93225" w:rsidRDefault="00D93225" w:rsidP="003872DC">
            <w:pPr>
              <w:jc w:val="center"/>
              <w:rPr>
                <w:color w:val="FFFFFF"/>
                <w:sz w:val="2"/>
                <w:szCs w:val="2"/>
              </w:rPr>
            </w:pPr>
            <w:r w:rsidRPr="00D93225">
              <w:rPr>
                <w:color w:val="FFFFFF"/>
                <w:sz w:val="2"/>
                <w:szCs w:val="2"/>
                <w:rtl/>
              </w:rPr>
              <w:t>54678313</w:t>
            </w:r>
            <w:r w:rsidR="003872DC" w:rsidRPr="00D93225">
              <w:rPr>
                <w:color w:val="FFFFFF"/>
                <w:sz w:val="2"/>
                <w:szCs w:val="2"/>
                <w:rtl/>
              </w:rPr>
              <w:t xml:space="preserve">     </w:t>
            </w:r>
          </w:p>
          <w:p w14:paraId="78512ADA" w14:textId="77777777" w:rsidR="003872DC" w:rsidRDefault="003872DC" w:rsidP="003872DC">
            <w:pPr>
              <w:jc w:val="center"/>
              <w:rPr>
                <w:rtl/>
              </w:rPr>
            </w:pPr>
          </w:p>
        </w:tc>
      </w:tr>
      <w:tr w:rsidR="0034708D" w14:paraId="64CCCF19" w14:textId="77777777" w:rsidTr="003872DC">
        <w:trPr>
          <w:trHeight w:val="361"/>
          <w:jc w:val="right"/>
        </w:trPr>
        <w:tc>
          <w:tcPr>
            <w:tcW w:w="3936" w:type="dxa"/>
            <w:shd w:val="clear" w:color="auto" w:fill="auto"/>
          </w:tcPr>
          <w:p w14:paraId="7B4A19CD" w14:textId="77777777" w:rsidR="003872DC" w:rsidRPr="003872DC" w:rsidRDefault="003872DC" w:rsidP="003872DC">
            <w:pPr>
              <w:jc w:val="center"/>
              <w:rPr>
                <w:b/>
                <w:bCs/>
                <w:rtl/>
              </w:rPr>
            </w:pPr>
            <w:r w:rsidRPr="003872DC">
              <w:rPr>
                <w:b/>
                <w:bCs/>
                <w:rtl/>
              </w:rPr>
              <w:t>שמואל</w:t>
            </w:r>
            <w:r w:rsidRPr="003872DC">
              <w:rPr>
                <w:rFonts w:hint="cs"/>
                <w:b/>
                <w:bCs/>
                <w:rtl/>
              </w:rPr>
              <w:t xml:space="preserve"> </w:t>
            </w:r>
            <w:r w:rsidRPr="003872DC">
              <w:rPr>
                <w:b/>
                <w:bCs/>
                <w:rtl/>
              </w:rPr>
              <w:t xml:space="preserve">מלמד </w:t>
            </w:r>
            <w:r w:rsidRPr="003872DC">
              <w:rPr>
                <w:rFonts w:hint="cs"/>
                <w:b/>
                <w:bCs/>
                <w:rtl/>
              </w:rPr>
              <w:t xml:space="preserve">, </w:t>
            </w:r>
            <w:r w:rsidRPr="003872DC">
              <w:rPr>
                <w:b/>
                <w:bCs/>
                <w:rtl/>
              </w:rPr>
              <w:t xml:space="preserve">שופט </w:t>
            </w:r>
          </w:p>
        </w:tc>
      </w:tr>
    </w:tbl>
    <w:p w14:paraId="2031D537" w14:textId="77777777" w:rsidR="003872DC" w:rsidRPr="002625CB" w:rsidRDefault="002625CB" w:rsidP="003872DC">
      <w:pPr>
        <w:jc w:val="right"/>
        <w:rPr>
          <w:color w:val="FFFFFF"/>
          <w:sz w:val="2"/>
          <w:szCs w:val="2"/>
          <w:rtl/>
        </w:rPr>
      </w:pPr>
      <w:r w:rsidRPr="002625CB">
        <w:rPr>
          <w:color w:val="FFFFFF"/>
          <w:sz w:val="2"/>
          <w:szCs w:val="2"/>
          <w:rtl/>
        </w:rPr>
        <w:t>5129371</w:t>
      </w:r>
    </w:p>
    <w:p w14:paraId="32CD5E5F" w14:textId="77777777" w:rsidR="002D7B2F" w:rsidRPr="002625CB" w:rsidRDefault="002625CB" w:rsidP="00D93225">
      <w:pPr>
        <w:keepNext/>
        <w:rPr>
          <w:color w:val="FFFFFF"/>
          <w:sz w:val="2"/>
          <w:szCs w:val="2"/>
          <w:rtl/>
        </w:rPr>
      </w:pPr>
      <w:r w:rsidRPr="002625CB">
        <w:rPr>
          <w:color w:val="FFFFFF"/>
          <w:sz w:val="2"/>
          <w:szCs w:val="2"/>
          <w:rtl/>
        </w:rPr>
        <w:t>512937154678313</w:t>
      </w:r>
    </w:p>
    <w:p w14:paraId="0BAA2F9E" w14:textId="77777777" w:rsidR="00D93225" w:rsidRPr="00D93225" w:rsidRDefault="002625CB" w:rsidP="00D93225">
      <w:pPr>
        <w:keepNext/>
        <w:rPr>
          <w:color w:val="000000"/>
          <w:sz w:val="22"/>
          <w:szCs w:val="22"/>
          <w:rtl/>
        </w:rPr>
      </w:pPr>
      <w:r w:rsidRPr="002625CB">
        <w:rPr>
          <w:color w:val="FFFFFF"/>
          <w:sz w:val="2"/>
          <w:szCs w:val="2"/>
          <w:rtl/>
        </w:rPr>
        <w:t>54678313</w:t>
      </w:r>
      <w:r w:rsidR="00D93225" w:rsidRPr="00D93225">
        <w:rPr>
          <w:color w:val="000000"/>
          <w:sz w:val="22"/>
          <w:szCs w:val="22"/>
          <w:rtl/>
        </w:rPr>
        <w:t>שמואל מלמד 54678313</w:t>
      </w:r>
    </w:p>
    <w:p w14:paraId="1AF1705B" w14:textId="77777777" w:rsidR="00D93225" w:rsidRDefault="00D93225" w:rsidP="00D93225">
      <w:r w:rsidRPr="00D93225">
        <w:rPr>
          <w:color w:val="000000"/>
          <w:rtl/>
        </w:rPr>
        <w:t>נוסח מסמך זה כפוף לשינויי ניסוח ועריכה</w:t>
      </w:r>
    </w:p>
    <w:p w14:paraId="3B701020" w14:textId="77777777" w:rsidR="00D93225" w:rsidRDefault="00D93225" w:rsidP="00D93225">
      <w:pPr>
        <w:rPr>
          <w:rtl/>
        </w:rPr>
      </w:pPr>
    </w:p>
    <w:p w14:paraId="552776E3" w14:textId="77777777" w:rsidR="00D93225" w:rsidRDefault="00D93225" w:rsidP="00D93225">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r w:rsidR="00BF18E3">
        <w:rPr>
          <w:rFonts w:hint="cs"/>
          <w:color w:val="0000FF"/>
          <w:u w:val="single"/>
          <w:rtl/>
        </w:rPr>
        <w:t xml:space="preserve"> </w:t>
      </w:r>
      <w:r w:rsidR="00647060">
        <w:rPr>
          <w:rFonts w:hint="cs"/>
          <w:color w:val="0000FF"/>
          <w:u w:val="single"/>
          <w:rtl/>
        </w:rPr>
        <w:t xml:space="preserve"> </w:t>
      </w:r>
    </w:p>
    <w:p w14:paraId="6608C571" w14:textId="77777777" w:rsidR="002625CB" w:rsidRPr="002625CB" w:rsidRDefault="002625CB">
      <w:pPr>
        <w:rPr>
          <w:color w:val="000000"/>
          <w:u w:val="single"/>
          <w:rtl/>
        </w:rPr>
      </w:pPr>
    </w:p>
    <w:sectPr w:rsidR="002625CB" w:rsidRPr="002625CB" w:rsidSect="002625CB">
      <w:headerReference w:type="even" r:id="rId43"/>
      <w:headerReference w:type="default" r:id="rId44"/>
      <w:footerReference w:type="even" r:id="rId45"/>
      <w:footerReference w:type="default" r:id="rId4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A918CD" w14:textId="77777777" w:rsidR="00951A5D" w:rsidRDefault="00951A5D" w:rsidP="00390B1B">
      <w:r>
        <w:separator/>
      </w:r>
    </w:p>
  </w:endnote>
  <w:endnote w:type="continuationSeparator" w:id="0">
    <w:p w14:paraId="4CD87EF6" w14:textId="77777777" w:rsidR="00951A5D" w:rsidRDefault="00951A5D" w:rsidP="00390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imes New Roman-Bold-1255">
    <w:panose1 w:val="00000000000000000000"/>
    <w:charset w:val="B1"/>
    <w:family w:val="roman"/>
    <w:notTrueType/>
    <w:pitch w:val="default"/>
    <w:sig w:usb0="00000801" w:usb1="00000000" w:usb2="00000000" w:usb3="00000000" w:csb0="0000002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5A881" w14:textId="77777777" w:rsidR="00A05D35" w:rsidRDefault="00A05D35" w:rsidP="002625C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11</w:t>
    </w:r>
    <w:r>
      <w:rPr>
        <w:rFonts w:ascii="FrankRuehl" w:hAnsi="FrankRuehl" w:cs="FrankRuehl"/>
        <w:rtl/>
      </w:rPr>
      <w:fldChar w:fldCharType="end"/>
    </w:r>
  </w:p>
  <w:p w14:paraId="2B9E22EC" w14:textId="77777777" w:rsidR="00A05D35" w:rsidRPr="002625CB" w:rsidRDefault="00A05D35" w:rsidP="002625CB">
    <w:pPr>
      <w:pStyle w:val="a5"/>
      <w:pBdr>
        <w:top w:val="single" w:sz="4" w:space="1" w:color="auto"/>
        <w:between w:val="single" w:sz="4" w:space="0" w:color="auto"/>
      </w:pBdr>
      <w:spacing w:after="60"/>
      <w:jc w:val="center"/>
      <w:rPr>
        <w:rFonts w:ascii="FrankRuehl" w:hAnsi="FrankRuehl" w:cs="FrankRuehl"/>
        <w:color w:val="000000"/>
      </w:rPr>
    </w:pPr>
    <w:r w:rsidRPr="002625C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F3110" w14:textId="77777777" w:rsidR="00A05D35" w:rsidRDefault="00A05D35" w:rsidP="002625C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73484">
      <w:rPr>
        <w:rFonts w:ascii="FrankRuehl" w:hAnsi="FrankRuehl" w:cs="FrankRuehl"/>
        <w:noProof/>
        <w:rtl/>
      </w:rPr>
      <w:t>1</w:t>
    </w:r>
    <w:r>
      <w:rPr>
        <w:rFonts w:ascii="FrankRuehl" w:hAnsi="FrankRuehl" w:cs="FrankRuehl"/>
        <w:rtl/>
      </w:rPr>
      <w:fldChar w:fldCharType="end"/>
    </w:r>
  </w:p>
  <w:p w14:paraId="6AAA37A8" w14:textId="77777777" w:rsidR="00A05D35" w:rsidRPr="002625CB" w:rsidRDefault="00A05D35" w:rsidP="002625CB">
    <w:pPr>
      <w:pStyle w:val="a5"/>
      <w:pBdr>
        <w:top w:val="single" w:sz="4" w:space="1" w:color="auto"/>
        <w:between w:val="single" w:sz="4" w:space="0" w:color="auto"/>
      </w:pBdr>
      <w:spacing w:after="60"/>
      <w:jc w:val="center"/>
      <w:rPr>
        <w:rFonts w:ascii="FrankRuehl" w:hAnsi="FrankRuehl" w:cs="FrankRuehl"/>
        <w:color w:val="000000"/>
      </w:rPr>
    </w:pPr>
    <w:r w:rsidRPr="002625CB">
      <w:rPr>
        <w:rFonts w:ascii="FrankRuehl" w:hAnsi="FrankRuehl" w:cs="FrankRuehl"/>
        <w:color w:val="000000"/>
      </w:rPr>
      <w:pict w14:anchorId="5A6931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7672C6" w14:textId="77777777" w:rsidR="00951A5D" w:rsidRDefault="00951A5D" w:rsidP="00390B1B">
      <w:r>
        <w:separator/>
      </w:r>
    </w:p>
  </w:footnote>
  <w:footnote w:type="continuationSeparator" w:id="0">
    <w:p w14:paraId="1AA2EF58" w14:textId="77777777" w:rsidR="00951A5D" w:rsidRDefault="00951A5D" w:rsidP="00390B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FB8DD" w14:textId="77777777" w:rsidR="00A05D35" w:rsidRPr="002625CB" w:rsidRDefault="00A05D35" w:rsidP="002625CB">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11439-03-12</w:t>
    </w:r>
    <w:r>
      <w:rPr>
        <w:color w:val="000000"/>
        <w:sz w:val="22"/>
        <w:szCs w:val="22"/>
        <w:rtl/>
      </w:rPr>
      <w:tab/>
      <w:t xml:space="preserve"> מדינת ישראל נ' מיכאל חודצקי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7C15B" w14:textId="77777777" w:rsidR="00A05D35" w:rsidRPr="002625CB" w:rsidRDefault="00A05D35" w:rsidP="002625CB">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11439-03-12</w:t>
    </w:r>
    <w:r>
      <w:rPr>
        <w:color w:val="000000"/>
        <w:sz w:val="22"/>
        <w:szCs w:val="22"/>
        <w:rtl/>
      </w:rPr>
      <w:tab/>
      <w:t xml:space="preserve"> מדינת ישראל נ' מיכאל חודצקי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655741"/>
    <w:multiLevelType w:val="hybridMultilevel"/>
    <w:tmpl w:val="A98E5D96"/>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331373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872DC"/>
    <w:rsid w:val="002625CB"/>
    <w:rsid w:val="002D7B2F"/>
    <w:rsid w:val="0034708D"/>
    <w:rsid w:val="003872DC"/>
    <w:rsid w:val="00390B1B"/>
    <w:rsid w:val="00493700"/>
    <w:rsid w:val="005E0D2F"/>
    <w:rsid w:val="00647060"/>
    <w:rsid w:val="00951A5D"/>
    <w:rsid w:val="00954789"/>
    <w:rsid w:val="00A05D35"/>
    <w:rsid w:val="00BA16A0"/>
    <w:rsid w:val="00BF18E3"/>
    <w:rsid w:val="00D93225"/>
    <w:rsid w:val="00F73484"/>
    <w:rsid w:val="00F80A3A"/>
    <w:rsid w:val="00FB5A21"/>
  </w:rsids>
  <m:mathPr>
    <m:mathFont m:val="Cambria Math"/>
    <m:brkBin m:val="before"/>
    <m:brkBinSub m:val="--"/>
    <m:smallFrac m:val="0"/>
    <m:dispDef/>
    <m:lMargin m:val="0"/>
    <m:rMargin m:val="0"/>
    <m:defJc m:val="centerGroup"/>
    <m:wrapIndent m:val="1440"/>
    <m:intLim m:val="subSup"/>
    <m:naryLim m:val="undOvr"/>
  </m:mathPr>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microsoft.com/office/drawing/2016/ink"/>
  <w:attachedSchema w:val="http://schemas.microsoft.com/office/drawing/2017/model3d"/>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A812B46"/>
  <w15:chartTrackingRefBased/>
  <w15:docId w15:val="{E9603E97-4F5F-48BA-9D34-E4815390F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872DC"/>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872DC"/>
    <w:pPr>
      <w:tabs>
        <w:tab w:val="center" w:pos="4153"/>
        <w:tab w:val="right" w:pos="8306"/>
      </w:tabs>
    </w:pPr>
  </w:style>
  <w:style w:type="character" w:customStyle="1" w:styleId="a4">
    <w:name w:val="כותרת עליונה תו"/>
    <w:link w:val="a3"/>
    <w:rsid w:val="003872DC"/>
    <w:rPr>
      <w:rFonts w:ascii="David" w:eastAsia="David" w:hAnsi="David" w:cs="David"/>
      <w:sz w:val="24"/>
      <w:szCs w:val="24"/>
    </w:rPr>
  </w:style>
  <w:style w:type="paragraph" w:styleId="a5">
    <w:name w:val="footer"/>
    <w:basedOn w:val="a"/>
    <w:link w:val="a6"/>
    <w:rsid w:val="003872DC"/>
    <w:pPr>
      <w:tabs>
        <w:tab w:val="center" w:pos="4153"/>
        <w:tab w:val="right" w:pos="8306"/>
      </w:tabs>
    </w:pPr>
  </w:style>
  <w:style w:type="character" w:customStyle="1" w:styleId="a6">
    <w:name w:val="כותרת תחתונה תו"/>
    <w:link w:val="a5"/>
    <w:rsid w:val="003872DC"/>
    <w:rPr>
      <w:rFonts w:ascii="David" w:eastAsia="David" w:hAnsi="David" w:cs="David"/>
      <w:sz w:val="24"/>
      <w:szCs w:val="24"/>
    </w:rPr>
  </w:style>
  <w:style w:type="table" w:styleId="a7">
    <w:name w:val="Table Grid"/>
    <w:basedOn w:val="a1"/>
    <w:rsid w:val="003872DC"/>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872DC"/>
  </w:style>
  <w:style w:type="paragraph" w:customStyle="1" w:styleId="12">
    <w:name w:val="רגיל + ‏12 נק'"/>
    <w:aliases w:val="מיושר לשני הצדדים,מרווח בין שורות:  שורה וחצי"/>
    <w:basedOn w:val="a"/>
    <w:rsid w:val="003872DC"/>
    <w:rPr>
      <w:rFonts w:ascii="Times New Roman" w:eastAsia="Times New Roman" w:hAnsi="Times New Roman"/>
      <w:b/>
      <w:bCs/>
      <w:u w:val="single"/>
    </w:rPr>
  </w:style>
  <w:style w:type="paragraph" w:styleId="a9">
    <w:name w:val="Body Text"/>
    <w:basedOn w:val="a"/>
    <w:link w:val="aa"/>
    <w:rsid w:val="003872DC"/>
    <w:pPr>
      <w:spacing w:line="360" w:lineRule="auto"/>
      <w:jc w:val="both"/>
    </w:pPr>
    <w:rPr>
      <w:rFonts w:ascii="Times New Roman" w:eastAsia="Times New Roman" w:hAnsi="Times New Roman"/>
      <w:b/>
      <w:bCs/>
      <w:szCs w:val="26"/>
      <w:lang w:eastAsia="he-IL"/>
    </w:rPr>
  </w:style>
  <w:style w:type="character" w:customStyle="1" w:styleId="aa">
    <w:name w:val="גוף טקסט תו"/>
    <w:link w:val="a9"/>
    <w:rsid w:val="003872DC"/>
    <w:rPr>
      <w:rFonts w:ascii="Times New Roman" w:eastAsia="Times New Roman" w:hAnsi="Times New Roman" w:cs="David"/>
      <w:b/>
      <w:bCs/>
      <w:sz w:val="24"/>
      <w:szCs w:val="26"/>
      <w:lang w:eastAsia="he-IL"/>
    </w:rPr>
  </w:style>
  <w:style w:type="paragraph" w:customStyle="1" w:styleId="ListParagraph">
    <w:name w:val="List Paragraph"/>
    <w:basedOn w:val="a"/>
    <w:qFormat/>
    <w:rsid w:val="003872DC"/>
    <w:pPr>
      <w:snapToGrid w:val="0"/>
      <w:ind w:left="720"/>
      <w:contextualSpacing/>
    </w:pPr>
    <w:rPr>
      <w:rFonts w:ascii="Times New Roman" w:eastAsia="Times New Roman" w:hAnsi="Times New Roman"/>
      <w:sz w:val="20"/>
      <w:lang w:eastAsia="he-IL"/>
    </w:rPr>
  </w:style>
  <w:style w:type="paragraph" w:customStyle="1" w:styleId="david">
    <w:name w:val="david"/>
    <w:basedOn w:val="a"/>
    <w:rsid w:val="003872DC"/>
    <w:pPr>
      <w:spacing w:line="360" w:lineRule="auto"/>
      <w:jc w:val="both"/>
    </w:pPr>
    <w:rPr>
      <w:rFonts w:ascii="Garamond" w:eastAsia="Times New Roman" w:hAnsi="Garamond"/>
    </w:rPr>
  </w:style>
  <w:style w:type="character" w:styleId="ab">
    <w:name w:val="line number"/>
    <w:rsid w:val="003872DC"/>
  </w:style>
  <w:style w:type="character" w:styleId="Hyperlink">
    <w:name w:val="Hyperlink"/>
    <w:rsid w:val="00D9322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case/21956257" TargetMode="External"/><Relationship Id="rId26" Type="http://schemas.openxmlformats.org/officeDocument/2006/relationships/hyperlink" Target="http://www.nevo.co.il/law/4216" TargetMode="External"/><Relationship Id="rId39" Type="http://schemas.openxmlformats.org/officeDocument/2006/relationships/hyperlink" Target="http://www.nevo.co.il/case/7024907"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287.a"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4582969"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13"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18851274" TargetMode="External"/><Relationship Id="rId40" Type="http://schemas.openxmlformats.org/officeDocument/2006/relationships/hyperlink" Target="http://www.nevo.co.il/law/70301/51b.b"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6867822" TargetMode="External"/><Relationship Id="rId23" Type="http://schemas.openxmlformats.org/officeDocument/2006/relationships/hyperlink" Target="http://www.nevo.co.il/law/70301/413" TargetMode="External"/><Relationship Id="rId28" Type="http://schemas.openxmlformats.org/officeDocument/2006/relationships/hyperlink" Target="http://www.nevo.co.il/law/70301/384" TargetMode="External"/><Relationship Id="rId36" Type="http://schemas.openxmlformats.org/officeDocument/2006/relationships/hyperlink" Target="http://www.nevo.co.il/case/18851312" TargetMode="External"/><Relationship Id="rId10" Type="http://schemas.openxmlformats.org/officeDocument/2006/relationships/hyperlink" Target="http://www.nevo.co.il/law/70301/384" TargetMode="External"/><Relationship Id="rId19" Type="http://schemas.openxmlformats.org/officeDocument/2006/relationships/hyperlink" Target="http://www.nevo.co.il/case/4697032" TargetMode="External"/><Relationship Id="rId31" Type="http://schemas.openxmlformats.org/officeDocument/2006/relationships/hyperlink" Target="http://www.nevo.co.il/law/70301/384"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287.a"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6867822" TargetMode="External"/><Relationship Id="rId27" Type="http://schemas.openxmlformats.org/officeDocument/2006/relationships/hyperlink" Target="http://www.nevo.co.il/case/4582969" TargetMode="External"/><Relationship Id="rId30" Type="http://schemas.openxmlformats.org/officeDocument/2006/relationships/hyperlink" Target="http://www.nevo.co.il/case/18851274" TargetMode="External"/><Relationship Id="rId35" Type="http://schemas.openxmlformats.org/officeDocument/2006/relationships/hyperlink" Target="http://www.nevo.co.il/law/70301"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51b.b"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case/18851274" TargetMode="External"/><Relationship Id="rId25" Type="http://schemas.openxmlformats.org/officeDocument/2006/relationships/hyperlink" Target="http://www.nevo.co.il/law/4216/7.a.;7.c" TargetMode="External"/><Relationship Id="rId33" Type="http://schemas.openxmlformats.org/officeDocument/2006/relationships/hyperlink" Target="http://www.nevo.co.il/case/21956257" TargetMode="External"/><Relationship Id="rId38" Type="http://schemas.openxmlformats.org/officeDocument/2006/relationships/hyperlink" Target="http://www.nevo.co.il/law/70301" TargetMode="External"/><Relationship Id="rId46" Type="http://schemas.openxmlformats.org/officeDocument/2006/relationships/footer" Target="footer2.xml"/><Relationship Id="rId20" Type="http://schemas.openxmlformats.org/officeDocument/2006/relationships/hyperlink" Target="http://www.nevo.co.il/law/70301/384" TargetMode="External"/><Relationship Id="rId41"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3803</Words>
  <Characters>19019</Characters>
  <Application>Microsoft Office Word</Application>
  <DocSecurity>0</DocSecurity>
  <Lines>158</Lines>
  <Paragraphs>45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22777</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7995492</vt:i4>
      </vt:variant>
      <vt:variant>
        <vt:i4>102</vt:i4>
      </vt:variant>
      <vt:variant>
        <vt:i4>0</vt:i4>
      </vt:variant>
      <vt:variant>
        <vt:i4>5</vt:i4>
      </vt:variant>
      <vt:variant>
        <vt:lpwstr>http://www.nevo.co.il/law/70301</vt:lpwstr>
      </vt:variant>
      <vt:variant>
        <vt:lpwstr/>
      </vt:variant>
      <vt:variant>
        <vt:i4>4849666</vt:i4>
      </vt:variant>
      <vt:variant>
        <vt:i4>99</vt:i4>
      </vt:variant>
      <vt:variant>
        <vt:i4>0</vt:i4>
      </vt:variant>
      <vt:variant>
        <vt:i4>5</vt:i4>
      </vt:variant>
      <vt:variant>
        <vt:lpwstr>http://www.nevo.co.il/law/70301/51b.b</vt:lpwstr>
      </vt:variant>
      <vt:variant>
        <vt:lpwstr/>
      </vt:variant>
      <vt:variant>
        <vt:i4>3866736</vt:i4>
      </vt:variant>
      <vt:variant>
        <vt:i4>96</vt:i4>
      </vt:variant>
      <vt:variant>
        <vt:i4>0</vt:i4>
      </vt:variant>
      <vt:variant>
        <vt:i4>5</vt:i4>
      </vt:variant>
      <vt:variant>
        <vt:lpwstr>http://www.nevo.co.il/case/7024907</vt:lpwstr>
      </vt:variant>
      <vt:variant>
        <vt:lpwstr/>
      </vt:variant>
      <vt:variant>
        <vt:i4>7995492</vt:i4>
      </vt:variant>
      <vt:variant>
        <vt:i4>93</vt:i4>
      </vt:variant>
      <vt:variant>
        <vt:i4>0</vt:i4>
      </vt:variant>
      <vt:variant>
        <vt:i4>5</vt:i4>
      </vt:variant>
      <vt:variant>
        <vt:lpwstr>http://www.nevo.co.il/law/70301</vt:lpwstr>
      </vt:variant>
      <vt:variant>
        <vt:lpwstr/>
      </vt:variant>
      <vt:variant>
        <vt:i4>4128891</vt:i4>
      </vt:variant>
      <vt:variant>
        <vt:i4>90</vt:i4>
      </vt:variant>
      <vt:variant>
        <vt:i4>0</vt:i4>
      </vt:variant>
      <vt:variant>
        <vt:i4>5</vt:i4>
      </vt:variant>
      <vt:variant>
        <vt:lpwstr>http://www.nevo.co.il/case/18851274</vt:lpwstr>
      </vt:variant>
      <vt:variant>
        <vt:lpwstr/>
      </vt:variant>
      <vt:variant>
        <vt:i4>3735674</vt:i4>
      </vt:variant>
      <vt:variant>
        <vt:i4>87</vt:i4>
      </vt:variant>
      <vt:variant>
        <vt:i4>0</vt:i4>
      </vt:variant>
      <vt:variant>
        <vt:i4>5</vt:i4>
      </vt:variant>
      <vt:variant>
        <vt:lpwstr>http://www.nevo.co.il/case/18851312</vt:lpwstr>
      </vt:variant>
      <vt:variant>
        <vt:lpwstr/>
      </vt:variant>
      <vt:variant>
        <vt:i4>7995492</vt:i4>
      </vt:variant>
      <vt:variant>
        <vt:i4>84</vt:i4>
      </vt:variant>
      <vt:variant>
        <vt:i4>0</vt:i4>
      </vt:variant>
      <vt:variant>
        <vt:i4>5</vt:i4>
      </vt:variant>
      <vt:variant>
        <vt:lpwstr>http://www.nevo.co.il/law/70301</vt:lpwstr>
      </vt:variant>
      <vt:variant>
        <vt:lpwstr/>
      </vt:variant>
      <vt:variant>
        <vt:i4>4390992</vt:i4>
      </vt:variant>
      <vt:variant>
        <vt:i4>81</vt:i4>
      </vt:variant>
      <vt:variant>
        <vt:i4>0</vt:i4>
      </vt:variant>
      <vt:variant>
        <vt:i4>5</vt:i4>
      </vt:variant>
      <vt:variant>
        <vt:lpwstr>http://www.nevo.co.il/law/70301/287.a</vt:lpwstr>
      </vt:variant>
      <vt:variant>
        <vt:lpwstr/>
      </vt:variant>
      <vt:variant>
        <vt:i4>3670130</vt:i4>
      </vt:variant>
      <vt:variant>
        <vt:i4>78</vt:i4>
      </vt:variant>
      <vt:variant>
        <vt:i4>0</vt:i4>
      </vt:variant>
      <vt:variant>
        <vt:i4>5</vt:i4>
      </vt:variant>
      <vt:variant>
        <vt:lpwstr>http://www.nevo.co.il/case/21956257</vt:lpwstr>
      </vt:variant>
      <vt:variant>
        <vt:lpwstr/>
      </vt:variant>
      <vt:variant>
        <vt:i4>7995492</vt:i4>
      </vt:variant>
      <vt:variant>
        <vt:i4>75</vt:i4>
      </vt:variant>
      <vt:variant>
        <vt:i4>0</vt:i4>
      </vt:variant>
      <vt:variant>
        <vt:i4>5</vt:i4>
      </vt:variant>
      <vt:variant>
        <vt:lpwstr>http://www.nevo.co.il/law/70301</vt:lpwstr>
      </vt:variant>
      <vt:variant>
        <vt:lpwstr/>
      </vt:variant>
      <vt:variant>
        <vt:i4>7143526</vt:i4>
      </vt:variant>
      <vt:variant>
        <vt:i4>72</vt:i4>
      </vt:variant>
      <vt:variant>
        <vt:i4>0</vt:i4>
      </vt:variant>
      <vt:variant>
        <vt:i4>5</vt:i4>
      </vt:variant>
      <vt:variant>
        <vt:lpwstr>http://www.nevo.co.il/law/70301/384</vt:lpwstr>
      </vt:variant>
      <vt:variant>
        <vt:lpwstr/>
      </vt:variant>
      <vt:variant>
        <vt:i4>4128891</vt:i4>
      </vt:variant>
      <vt:variant>
        <vt:i4>69</vt:i4>
      </vt:variant>
      <vt:variant>
        <vt:i4>0</vt:i4>
      </vt:variant>
      <vt:variant>
        <vt:i4>5</vt:i4>
      </vt:variant>
      <vt:variant>
        <vt:lpwstr>http://www.nevo.co.il/case/18851274</vt:lpwstr>
      </vt:variant>
      <vt:variant>
        <vt:lpwstr/>
      </vt:variant>
      <vt:variant>
        <vt:i4>7995492</vt:i4>
      </vt:variant>
      <vt:variant>
        <vt:i4>66</vt:i4>
      </vt:variant>
      <vt:variant>
        <vt:i4>0</vt:i4>
      </vt:variant>
      <vt:variant>
        <vt:i4>5</vt:i4>
      </vt:variant>
      <vt:variant>
        <vt:lpwstr>http://www.nevo.co.il/law/70301</vt:lpwstr>
      </vt:variant>
      <vt:variant>
        <vt:lpwstr/>
      </vt:variant>
      <vt:variant>
        <vt:i4>7143526</vt:i4>
      </vt:variant>
      <vt:variant>
        <vt:i4>63</vt:i4>
      </vt:variant>
      <vt:variant>
        <vt:i4>0</vt:i4>
      </vt:variant>
      <vt:variant>
        <vt:i4>5</vt:i4>
      </vt:variant>
      <vt:variant>
        <vt:lpwstr>http://www.nevo.co.il/law/70301/384</vt:lpwstr>
      </vt:variant>
      <vt:variant>
        <vt:lpwstr/>
      </vt:variant>
      <vt:variant>
        <vt:i4>3932277</vt:i4>
      </vt:variant>
      <vt:variant>
        <vt:i4>60</vt:i4>
      </vt:variant>
      <vt:variant>
        <vt:i4>0</vt:i4>
      </vt:variant>
      <vt:variant>
        <vt:i4>5</vt:i4>
      </vt:variant>
      <vt:variant>
        <vt:lpwstr>http://www.nevo.co.il/case/4582969</vt:lpwstr>
      </vt:variant>
      <vt:variant>
        <vt:lpwstr/>
      </vt:variant>
      <vt:variant>
        <vt:i4>8257637</vt:i4>
      </vt:variant>
      <vt:variant>
        <vt:i4>57</vt:i4>
      </vt:variant>
      <vt:variant>
        <vt:i4>0</vt:i4>
      </vt:variant>
      <vt:variant>
        <vt:i4>5</vt:i4>
      </vt:variant>
      <vt:variant>
        <vt:lpwstr>http://www.nevo.co.il/law/4216</vt:lpwstr>
      </vt:variant>
      <vt:variant>
        <vt:lpwstr/>
      </vt:variant>
      <vt:variant>
        <vt:i4>3997821</vt:i4>
      </vt:variant>
      <vt:variant>
        <vt:i4>54</vt:i4>
      </vt:variant>
      <vt:variant>
        <vt:i4>0</vt:i4>
      </vt:variant>
      <vt:variant>
        <vt:i4>5</vt:i4>
      </vt:variant>
      <vt:variant>
        <vt:lpwstr>http://www.nevo.co.il/law/4216/7.a.;7.c</vt:lpwstr>
      </vt:variant>
      <vt:variant>
        <vt:lpwstr/>
      </vt:variant>
      <vt:variant>
        <vt:i4>7995492</vt:i4>
      </vt:variant>
      <vt:variant>
        <vt:i4>51</vt:i4>
      </vt:variant>
      <vt:variant>
        <vt:i4>0</vt:i4>
      </vt:variant>
      <vt:variant>
        <vt:i4>5</vt:i4>
      </vt:variant>
      <vt:variant>
        <vt:lpwstr>http://www.nevo.co.il/law/70301</vt:lpwstr>
      </vt:variant>
      <vt:variant>
        <vt:lpwstr/>
      </vt:variant>
      <vt:variant>
        <vt:i4>6553697</vt:i4>
      </vt:variant>
      <vt:variant>
        <vt:i4>48</vt:i4>
      </vt:variant>
      <vt:variant>
        <vt:i4>0</vt:i4>
      </vt:variant>
      <vt:variant>
        <vt:i4>5</vt:i4>
      </vt:variant>
      <vt:variant>
        <vt:lpwstr>http://www.nevo.co.il/law/70301/413</vt:lpwstr>
      </vt:variant>
      <vt:variant>
        <vt:lpwstr/>
      </vt:variant>
      <vt:variant>
        <vt:i4>3801209</vt:i4>
      </vt:variant>
      <vt:variant>
        <vt:i4>45</vt:i4>
      </vt:variant>
      <vt:variant>
        <vt:i4>0</vt:i4>
      </vt:variant>
      <vt:variant>
        <vt:i4>5</vt:i4>
      </vt:variant>
      <vt:variant>
        <vt:lpwstr>http://www.nevo.co.il/case/6867822</vt:lpwstr>
      </vt:variant>
      <vt:variant>
        <vt:lpwstr/>
      </vt:variant>
      <vt:variant>
        <vt:i4>7995492</vt:i4>
      </vt:variant>
      <vt:variant>
        <vt:i4>42</vt:i4>
      </vt:variant>
      <vt:variant>
        <vt:i4>0</vt:i4>
      </vt:variant>
      <vt:variant>
        <vt:i4>5</vt:i4>
      </vt:variant>
      <vt:variant>
        <vt:lpwstr>http://www.nevo.co.il/law/70301</vt:lpwstr>
      </vt:variant>
      <vt:variant>
        <vt:lpwstr/>
      </vt:variant>
      <vt:variant>
        <vt:i4>7143526</vt:i4>
      </vt:variant>
      <vt:variant>
        <vt:i4>39</vt:i4>
      </vt:variant>
      <vt:variant>
        <vt:i4>0</vt:i4>
      </vt:variant>
      <vt:variant>
        <vt:i4>5</vt:i4>
      </vt:variant>
      <vt:variant>
        <vt:lpwstr>http://www.nevo.co.il/law/70301/384</vt:lpwstr>
      </vt:variant>
      <vt:variant>
        <vt:lpwstr/>
      </vt:variant>
      <vt:variant>
        <vt:i4>4128886</vt:i4>
      </vt:variant>
      <vt:variant>
        <vt:i4>36</vt:i4>
      </vt:variant>
      <vt:variant>
        <vt:i4>0</vt:i4>
      </vt:variant>
      <vt:variant>
        <vt:i4>5</vt:i4>
      </vt:variant>
      <vt:variant>
        <vt:lpwstr>http://www.nevo.co.il/case/4697032</vt:lpwstr>
      </vt:variant>
      <vt:variant>
        <vt:lpwstr/>
      </vt:variant>
      <vt:variant>
        <vt:i4>3670130</vt:i4>
      </vt:variant>
      <vt:variant>
        <vt:i4>33</vt:i4>
      </vt:variant>
      <vt:variant>
        <vt:i4>0</vt:i4>
      </vt:variant>
      <vt:variant>
        <vt:i4>5</vt:i4>
      </vt:variant>
      <vt:variant>
        <vt:lpwstr>http://www.nevo.co.il/case/21956257</vt:lpwstr>
      </vt:variant>
      <vt:variant>
        <vt:lpwstr/>
      </vt:variant>
      <vt:variant>
        <vt:i4>4128891</vt:i4>
      </vt:variant>
      <vt:variant>
        <vt:i4>30</vt:i4>
      </vt:variant>
      <vt:variant>
        <vt:i4>0</vt:i4>
      </vt:variant>
      <vt:variant>
        <vt:i4>5</vt:i4>
      </vt:variant>
      <vt:variant>
        <vt:lpwstr>http://www.nevo.co.il/case/18851274</vt:lpwstr>
      </vt:variant>
      <vt:variant>
        <vt:lpwstr/>
      </vt:variant>
      <vt:variant>
        <vt:i4>3932277</vt:i4>
      </vt:variant>
      <vt:variant>
        <vt:i4>27</vt:i4>
      </vt:variant>
      <vt:variant>
        <vt:i4>0</vt:i4>
      </vt:variant>
      <vt:variant>
        <vt:i4>5</vt:i4>
      </vt:variant>
      <vt:variant>
        <vt:lpwstr>http://www.nevo.co.il/case/4582969</vt:lpwstr>
      </vt:variant>
      <vt:variant>
        <vt:lpwstr/>
      </vt:variant>
      <vt:variant>
        <vt:i4>3801209</vt:i4>
      </vt:variant>
      <vt:variant>
        <vt:i4>24</vt:i4>
      </vt:variant>
      <vt:variant>
        <vt:i4>0</vt:i4>
      </vt:variant>
      <vt:variant>
        <vt:i4>5</vt:i4>
      </vt:variant>
      <vt:variant>
        <vt:lpwstr>http://www.nevo.co.il/case/6867822</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6553697</vt:i4>
      </vt:variant>
      <vt:variant>
        <vt:i4>12</vt:i4>
      </vt:variant>
      <vt:variant>
        <vt:i4>0</vt:i4>
      </vt:variant>
      <vt:variant>
        <vt:i4>5</vt:i4>
      </vt:variant>
      <vt:variant>
        <vt:lpwstr>http://www.nevo.co.il/law/70301/413</vt:lpwstr>
      </vt:variant>
      <vt:variant>
        <vt:lpwstr/>
      </vt:variant>
      <vt:variant>
        <vt:i4>7143526</vt:i4>
      </vt:variant>
      <vt:variant>
        <vt:i4>9</vt:i4>
      </vt:variant>
      <vt:variant>
        <vt:i4>0</vt:i4>
      </vt:variant>
      <vt:variant>
        <vt:i4>5</vt:i4>
      </vt:variant>
      <vt:variant>
        <vt:lpwstr>http://www.nevo.co.il/law/70301/384</vt:lpwstr>
      </vt:variant>
      <vt:variant>
        <vt:lpwstr/>
      </vt:variant>
      <vt:variant>
        <vt:i4>4390992</vt:i4>
      </vt:variant>
      <vt:variant>
        <vt:i4>6</vt:i4>
      </vt:variant>
      <vt:variant>
        <vt:i4>0</vt:i4>
      </vt:variant>
      <vt:variant>
        <vt:i4>5</vt:i4>
      </vt:variant>
      <vt:variant>
        <vt:lpwstr>http://www.nevo.co.il/law/70301/287.a</vt:lpwstr>
      </vt:variant>
      <vt:variant>
        <vt:lpwstr/>
      </vt:variant>
      <vt:variant>
        <vt:i4>4849666</vt:i4>
      </vt:variant>
      <vt:variant>
        <vt:i4>3</vt:i4>
      </vt:variant>
      <vt:variant>
        <vt:i4>0</vt:i4>
      </vt:variant>
      <vt:variant>
        <vt:i4>5</vt:i4>
      </vt:variant>
      <vt:variant>
        <vt:lpwstr>http://www.nevo.co.il/law/70301/51b.b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2025-04-22T21:42:00Z</dcterms:created>
  <dcterms:modified xsi:type="dcterms:W3CDTF">2025-04-22T21:42:00Z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11439</vt:lpwstr>
  </property>
  <property fmtid="{D5CDD505-2E9C-101B-9397-08002B2CF9AE}" pid="6" name="NEWPARTB">
    <vt:lpwstr>03</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מיכאל חודצקי </vt:lpwstr>
  </property>
  <property fmtid="{D5CDD505-2E9C-101B-9397-08002B2CF9AE}" pid="10" name="LAWYER">
    <vt:lpwstr>הדר פרשר;שרון אדרי;שי אורן</vt:lpwstr>
  </property>
  <property fmtid="{D5CDD505-2E9C-101B-9397-08002B2CF9AE}" pid="11" name="JUDGE">
    <vt:lpwstr>שמואל מלמד</vt:lpwstr>
  </property>
  <property fmtid="{D5CDD505-2E9C-101B-9397-08002B2CF9AE}" pid="12" name="CITY">
    <vt:lpwstr>ת"א</vt:lpwstr>
  </property>
  <property fmtid="{D5CDD505-2E9C-101B-9397-08002B2CF9AE}" pid="13" name="DATE">
    <vt:lpwstr>20170906</vt:lpwstr>
  </property>
  <property fmtid="{D5CDD505-2E9C-101B-9397-08002B2CF9AE}" pid="14" name="TYPE_N_DATE">
    <vt:lpwstr>38020170906</vt:lpwstr>
  </property>
  <property fmtid="{D5CDD505-2E9C-101B-9397-08002B2CF9AE}" pid="15" name="WORDNUMPAGES">
    <vt:lpwstr>10</vt:lpwstr>
  </property>
  <property fmtid="{D5CDD505-2E9C-101B-9397-08002B2CF9AE}" pid="16" name="TYPE_ABS_DATE">
    <vt:lpwstr>380020170906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6867822:2;4582969:2;18851274:3;21956257:2;4697032;18851312;7024907</vt:lpwstr>
  </property>
  <property fmtid="{D5CDD505-2E9C-101B-9397-08002B2CF9AE}" pid="36" name="LAWLISTTMP1">
    <vt:lpwstr>70301/384:3;413;287.a;051b.b</vt:lpwstr>
  </property>
  <property fmtid="{D5CDD505-2E9C-101B-9397-08002B2CF9AE}" pid="37" name="LAWLISTTMP2">
    <vt:lpwstr>4216/007.a;007.c</vt:lpwstr>
  </property>
</Properties>
</file>