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07EC1" w:rsidRPr="00703AB8" w14:paraId="31D1FE0D" w14:textId="77777777">
        <w:trPr>
          <w:trHeight w:hRule="exact" w:val="418"/>
          <w:jc w:val="center"/>
        </w:trPr>
        <w:tc>
          <w:tcPr>
            <w:tcW w:w="8720" w:type="dxa"/>
            <w:gridSpan w:val="3"/>
          </w:tcPr>
          <w:p w14:paraId="62BE1900" w14:textId="77777777" w:rsidR="00107EC1" w:rsidRPr="00703AB8" w:rsidRDefault="00703AB8">
            <w:pPr>
              <w:pStyle w:val="a3"/>
              <w:tabs>
                <w:tab w:val="clear" w:pos="8306"/>
              </w:tabs>
              <w:jc w:val="center"/>
              <w:rPr>
                <w:rFonts w:ascii="Tahoma" w:hAnsi="Tahoma" w:cs="Tahoma"/>
                <w:b/>
                <w:bCs/>
                <w:color w:val="000080"/>
                <w:sz w:val="20"/>
                <w:szCs w:val="20"/>
                <w:rtl/>
              </w:rPr>
            </w:pPr>
            <w:bookmarkStart w:id="0" w:name="LastJudge"/>
            <w:r w:rsidRPr="00703AB8">
              <w:rPr>
                <w:rFonts w:ascii="Tahoma" w:hAnsi="Tahoma" w:cs="Tahoma"/>
                <w:b/>
                <w:bCs/>
                <w:color w:val="000080"/>
                <w:sz w:val="20"/>
                <w:szCs w:val="20"/>
                <w:rtl/>
              </w:rPr>
              <w:t>בית משפט השלום בנתניה</w:t>
            </w:r>
          </w:p>
        </w:tc>
      </w:tr>
      <w:tr w:rsidR="00107EC1" w:rsidRPr="00703AB8" w14:paraId="7E55040D" w14:textId="77777777">
        <w:trPr>
          <w:trHeight w:val="337"/>
          <w:jc w:val="center"/>
        </w:trPr>
        <w:tc>
          <w:tcPr>
            <w:tcW w:w="6396" w:type="dxa"/>
          </w:tcPr>
          <w:p w14:paraId="600C0586" w14:textId="77777777" w:rsidR="00107EC1" w:rsidRPr="00703AB8" w:rsidRDefault="00703AB8">
            <w:pPr>
              <w:rPr>
                <w:b/>
                <w:bCs/>
                <w:sz w:val="26"/>
                <w:szCs w:val="26"/>
                <w:rtl/>
              </w:rPr>
            </w:pPr>
            <w:r w:rsidRPr="00703AB8">
              <w:rPr>
                <w:b/>
                <w:bCs/>
                <w:sz w:val="26"/>
                <w:szCs w:val="26"/>
                <w:rtl/>
              </w:rPr>
              <w:t>ת"פ</w:t>
            </w:r>
            <w:r w:rsidRPr="00703AB8">
              <w:rPr>
                <w:rFonts w:hint="cs"/>
                <w:b/>
                <w:bCs/>
                <w:sz w:val="26"/>
                <w:szCs w:val="26"/>
                <w:rtl/>
              </w:rPr>
              <w:t xml:space="preserve"> </w:t>
            </w:r>
            <w:r w:rsidRPr="00703AB8">
              <w:rPr>
                <w:b/>
                <w:bCs/>
                <w:sz w:val="26"/>
                <w:szCs w:val="26"/>
                <w:rtl/>
              </w:rPr>
              <w:t>12091-03-12</w:t>
            </w:r>
            <w:r w:rsidRPr="00703AB8">
              <w:rPr>
                <w:rFonts w:hint="cs"/>
                <w:b/>
                <w:bCs/>
                <w:sz w:val="26"/>
                <w:szCs w:val="26"/>
                <w:rtl/>
              </w:rPr>
              <w:t xml:space="preserve"> </w:t>
            </w:r>
            <w:r w:rsidRPr="00703AB8">
              <w:rPr>
                <w:b/>
                <w:bCs/>
                <w:sz w:val="26"/>
                <w:szCs w:val="26"/>
                <w:rtl/>
              </w:rPr>
              <w:t>מדינת ישראל נ' סרף</w:t>
            </w:r>
          </w:p>
          <w:p w14:paraId="483CC67D" w14:textId="77777777" w:rsidR="00107EC1" w:rsidRPr="00703AB8" w:rsidRDefault="00107EC1">
            <w:pPr>
              <w:rPr>
                <w:b/>
                <w:bCs/>
                <w:sz w:val="26"/>
                <w:szCs w:val="26"/>
                <w:rtl/>
              </w:rPr>
            </w:pPr>
          </w:p>
        </w:tc>
        <w:tc>
          <w:tcPr>
            <w:tcW w:w="236" w:type="dxa"/>
          </w:tcPr>
          <w:p w14:paraId="5E9776F6" w14:textId="77777777" w:rsidR="00107EC1" w:rsidRPr="00703AB8" w:rsidRDefault="00107EC1">
            <w:pPr>
              <w:pStyle w:val="a3"/>
              <w:jc w:val="right"/>
              <w:rPr>
                <w:b/>
                <w:bCs/>
                <w:sz w:val="26"/>
                <w:szCs w:val="26"/>
                <w:rtl/>
              </w:rPr>
            </w:pPr>
          </w:p>
        </w:tc>
        <w:tc>
          <w:tcPr>
            <w:tcW w:w="2088" w:type="dxa"/>
          </w:tcPr>
          <w:p w14:paraId="73BB9521" w14:textId="77777777" w:rsidR="00107EC1" w:rsidRPr="00703AB8" w:rsidRDefault="00703AB8">
            <w:pPr>
              <w:pStyle w:val="a3"/>
              <w:tabs>
                <w:tab w:val="clear" w:pos="4153"/>
              </w:tabs>
              <w:jc w:val="right"/>
              <w:rPr>
                <w:b/>
                <w:bCs/>
                <w:sz w:val="26"/>
                <w:szCs w:val="26"/>
                <w:rtl/>
              </w:rPr>
            </w:pPr>
            <w:r w:rsidRPr="00703AB8">
              <w:rPr>
                <w:b/>
                <w:bCs/>
                <w:sz w:val="26"/>
                <w:szCs w:val="26"/>
                <w:rtl/>
              </w:rPr>
              <w:t>09 יוני 2014</w:t>
            </w:r>
          </w:p>
        </w:tc>
      </w:tr>
    </w:tbl>
    <w:p w14:paraId="1E896AAC" w14:textId="77777777" w:rsidR="00107EC1" w:rsidRPr="00703AB8" w:rsidRDefault="00107EC1">
      <w:pPr>
        <w:pStyle w:val="a3"/>
        <w:jc w:val="center"/>
        <w:rPr>
          <w:rFonts w:ascii="Tahoma" w:hAnsi="Tahoma" w:cs="Tahoma"/>
          <w:b/>
          <w:bCs/>
          <w:color w:val="000080"/>
          <w:sz w:val="20"/>
          <w:szCs w:val="20"/>
          <w:rtl/>
        </w:rPr>
      </w:pPr>
    </w:p>
    <w:p w14:paraId="18CE1D61" w14:textId="77777777" w:rsidR="00107EC1" w:rsidRPr="00703AB8" w:rsidRDefault="00107EC1">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107EC1" w:rsidRPr="00703AB8" w14:paraId="31C111D7" w14:textId="77777777">
        <w:trPr>
          <w:trHeight w:val="337"/>
          <w:jc w:val="center"/>
        </w:trPr>
        <w:tc>
          <w:tcPr>
            <w:tcW w:w="1592" w:type="dxa"/>
          </w:tcPr>
          <w:p w14:paraId="3649E45C" w14:textId="77777777" w:rsidR="00107EC1" w:rsidRPr="00703AB8" w:rsidRDefault="00703AB8">
            <w:pPr>
              <w:pStyle w:val="a3"/>
              <w:bidi w:val="0"/>
              <w:spacing w:line="360" w:lineRule="auto"/>
              <w:jc w:val="both"/>
              <w:rPr>
                <w:rFonts w:ascii="Times New Roman" w:hAnsi="Times New Roman"/>
              </w:rPr>
            </w:pPr>
            <w:r w:rsidRPr="00703AB8">
              <w:rPr>
                <w:rFonts w:ascii="Times New Roman" w:hAnsi="Times New Roman"/>
              </w:rPr>
              <w:t xml:space="preserve">   </w:t>
            </w:r>
          </w:p>
        </w:tc>
        <w:tc>
          <w:tcPr>
            <w:tcW w:w="7128" w:type="dxa"/>
          </w:tcPr>
          <w:p w14:paraId="4BCA7A42" w14:textId="77777777" w:rsidR="00107EC1" w:rsidRPr="00703AB8" w:rsidRDefault="00703AB8">
            <w:pPr>
              <w:pStyle w:val="a3"/>
              <w:jc w:val="right"/>
              <w:rPr>
                <w:b/>
                <w:bCs/>
                <w:sz w:val="26"/>
                <w:szCs w:val="26"/>
                <w:rtl/>
              </w:rPr>
            </w:pPr>
            <w:r w:rsidRPr="00703AB8">
              <w:rPr>
                <w:rFonts w:hint="cs"/>
                <w:rtl/>
              </w:rPr>
              <w:t xml:space="preserve"> 12101-03-12</w:t>
            </w:r>
          </w:p>
        </w:tc>
      </w:tr>
    </w:tbl>
    <w:p w14:paraId="56D6331B" w14:textId="77777777" w:rsidR="00107EC1" w:rsidRPr="00703AB8" w:rsidRDefault="00107EC1">
      <w:pPr>
        <w:spacing w:line="360" w:lineRule="auto"/>
        <w:jc w:val="both"/>
        <w:rPr>
          <w:rFonts w:ascii="Arial" w:hAnsi="Arial"/>
          <w:rtl/>
        </w:rPr>
      </w:pPr>
    </w:p>
    <w:p w14:paraId="72737004" w14:textId="77777777" w:rsidR="00107EC1" w:rsidRPr="00703AB8" w:rsidRDefault="00107EC1">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07EC1" w:rsidRPr="00703AB8" w14:paraId="19E6065E" w14:textId="77777777">
        <w:trPr>
          <w:gridAfter w:val="1"/>
          <w:wAfter w:w="55" w:type="dxa"/>
        </w:trPr>
        <w:tc>
          <w:tcPr>
            <w:tcW w:w="8719" w:type="dxa"/>
            <w:gridSpan w:val="2"/>
          </w:tcPr>
          <w:p w14:paraId="519D4828" w14:textId="77777777" w:rsidR="00107EC1" w:rsidRPr="00703AB8" w:rsidRDefault="00703AB8">
            <w:pPr>
              <w:spacing w:line="360" w:lineRule="auto"/>
              <w:rPr>
                <w:rFonts w:ascii="Times New Roman" w:eastAsia="Times New Roman" w:hAnsi="Times New Roman"/>
                <w:b/>
                <w:bCs/>
                <w:sz w:val="26"/>
                <w:szCs w:val="26"/>
                <w:rtl/>
              </w:rPr>
            </w:pPr>
            <w:r w:rsidRPr="00703AB8">
              <w:rPr>
                <w:rFonts w:ascii="Times New Roman" w:eastAsia="Times New Roman" w:hAnsi="Times New Roman" w:hint="cs"/>
                <w:b/>
                <w:bCs/>
                <w:sz w:val="26"/>
                <w:szCs w:val="26"/>
                <w:rtl/>
              </w:rPr>
              <w:t>בפני כב' ה</w:t>
            </w:r>
            <w:r w:rsidRPr="00703AB8">
              <w:rPr>
                <w:rFonts w:ascii="Times New Roman" w:eastAsia="Times New Roman" w:hAnsi="Times New Roman" w:hint="cs"/>
                <w:rtl/>
              </w:rPr>
              <w:t>שופטת גלית ציגלר</w:t>
            </w:r>
            <w:r w:rsidRPr="00703AB8">
              <w:rPr>
                <w:rStyle w:val="TimesNewRomanTimesNewRoman"/>
                <w:rFonts w:eastAsia="Times New Roman"/>
                <w:rtl/>
              </w:rPr>
              <w:t xml:space="preserve"> </w:t>
            </w:r>
          </w:p>
        </w:tc>
      </w:tr>
      <w:tr w:rsidR="00107EC1" w:rsidRPr="00703AB8" w14:paraId="521B85AD" w14:textId="77777777">
        <w:tc>
          <w:tcPr>
            <w:tcW w:w="2880" w:type="dxa"/>
          </w:tcPr>
          <w:p w14:paraId="288F03D7" w14:textId="77777777" w:rsidR="00107EC1" w:rsidRPr="00703AB8" w:rsidRDefault="00703AB8">
            <w:pPr>
              <w:ind w:left="26"/>
              <w:rPr>
                <w:rFonts w:ascii="Times New Roman" w:eastAsia="Times New Roman" w:hAnsi="Times New Roman"/>
                <w:b/>
                <w:bCs/>
                <w:sz w:val="26"/>
                <w:szCs w:val="26"/>
                <w:rtl/>
              </w:rPr>
            </w:pPr>
            <w:bookmarkStart w:id="1" w:name="FirstAppellant"/>
            <w:r w:rsidRPr="00703AB8">
              <w:rPr>
                <w:rFonts w:ascii="Times New Roman" w:eastAsia="Times New Roman" w:hAnsi="Times New Roman" w:hint="cs"/>
                <w:b/>
                <w:bCs/>
                <w:sz w:val="26"/>
                <w:szCs w:val="26"/>
                <w:rtl/>
              </w:rPr>
              <w:t>ה</w:t>
            </w:r>
            <w:r w:rsidRPr="00703AB8">
              <w:rPr>
                <w:rFonts w:ascii="Times New Roman" w:eastAsia="Times New Roman" w:hAnsi="Times New Roman" w:hint="cs"/>
                <w:rtl/>
              </w:rPr>
              <w:t>מאשימה</w:t>
            </w:r>
          </w:p>
        </w:tc>
        <w:tc>
          <w:tcPr>
            <w:tcW w:w="5922" w:type="dxa"/>
            <w:gridSpan w:val="2"/>
          </w:tcPr>
          <w:p w14:paraId="119311B8" w14:textId="77777777" w:rsidR="00107EC1" w:rsidRPr="00703AB8" w:rsidRDefault="00703AB8">
            <w:pPr>
              <w:rPr>
                <w:rFonts w:ascii="Times New Roman" w:eastAsia="Times New Roman" w:hAnsi="Times New Roman"/>
                <w:b/>
                <w:bCs/>
                <w:sz w:val="26"/>
                <w:szCs w:val="26"/>
                <w:rtl/>
              </w:rPr>
            </w:pPr>
            <w:r w:rsidRPr="00703AB8">
              <w:rPr>
                <w:rFonts w:ascii="Times New Roman" w:eastAsia="Times New Roman" w:hAnsi="Times New Roman" w:hint="cs"/>
                <w:rtl/>
              </w:rPr>
              <w:t>מדינת ישראל</w:t>
            </w:r>
          </w:p>
        </w:tc>
      </w:tr>
      <w:bookmarkEnd w:id="1"/>
      <w:tr w:rsidR="00107EC1" w:rsidRPr="00703AB8" w14:paraId="6F6D4DE0" w14:textId="77777777">
        <w:tc>
          <w:tcPr>
            <w:tcW w:w="8802" w:type="dxa"/>
            <w:gridSpan w:val="3"/>
          </w:tcPr>
          <w:p w14:paraId="04E422C8" w14:textId="77777777" w:rsidR="00107EC1" w:rsidRPr="00703AB8" w:rsidRDefault="00703AB8">
            <w:pPr>
              <w:jc w:val="center"/>
              <w:rPr>
                <w:rFonts w:ascii="Arial" w:eastAsia="Times New Roman" w:hAnsi="Arial"/>
                <w:b/>
                <w:bCs/>
                <w:sz w:val="26"/>
                <w:szCs w:val="26"/>
                <w:rtl/>
              </w:rPr>
            </w:pPr>
            <w:r w:rsidRPr="00703AB8">
              <w:rPr>
                <w:rFonts w:ascii="Arial" w:eastAsia="Times New Roman" w:hAnsi="Arial"/>
                <w:b/>
                <w:bCs/>
                <w:sz w:val="26"/>
                <w:szCs w:val="26"/>
                <w:rtl/>
              </w:rPr>
              <w:t>נגד</w:t>
            </w:r>
          </w:p>
          <w:p w14:paraId="3F16F978" w14:textId="77777777" w:rsidR="00107EC1" w:rsidRPr="00703AB8" w:rsidRDefault="00107EC1">
            <w:pPr>
              <w:jc w:val="center"/>
              <w:rPr>
                <w:rFonts w:ascii="Arial" w:eastAsia="Times New Roman" w:hAnsi="Arial"/>
                <w:b/>
                <w:bCs/>
                <w:sz w:val="26"/>
                <w:szCs w:val="26"/>
              </w:rPr>
            </w:pPr>
          </w:p>
        </w:tc>
      </w:tr>
      <w:tr w:rsidR="00107EC1" w:rsidRPr="00703AB8" w14:paraId="0AA9D119" w14:textId="77777777">
        <w:tc>
          <w:tcPr>
            <w:tcW w:w="2880" w:type="dxa"/>
          </w:tcPr>
          <w:p w14:paraId="4F51900C" w14:textId="77777777" w:rsidR="00107EC1" w:rsidRPr="00703AB8" w:rsidRDefault="00703AB8">
            <w:pPr>
              <w:ind w:left="26"/>
              <w:rPr>
                <w:rFonts w:ascii="Times New Roman" w:eastAsia="Times New Roman" w:hAnsi="Times New Roman"/>
                <w:b/>
                <w:bCs/>
                <w:sz w:val="26"/>
                <w:szCs w:val="26"/>
                <w:rtl/>
              </w:rPr>
            </w:pPr>
            <w:r w:rsidRPr="00703AB8">
              <w:rPr>
                <w:rFonts w:ascii="Times New Roman" w:eastAsia="Times New Roman" w:hAnsi="Times New Roman" w:hint="cs"/>
                <w:b/>
                <w:bCs/>
                <w:sz w:val="26"/>
                <w:szCs w:val="26"/>
                <w:rtl/>
              </w:rPr>
              <w:t>ה</w:t>
            </w:r>
            <w:r w:rsidRPr="00703AB8">
              <w:rPr>
                <w:rFonts w:ascii="Times New Roman" w:eastAsia="Times New Roman" w:hAnsi="Times New Roman" w:hint="cs"/>
                <w:rtl/>
              </w:rPr>
              <w:t>נאשם</w:t>
            </w:r>
          </w:p>
        </w:tc>
        <w:tc>
          <w:tcPr>
            <w:tcW w:w="5922" w:type="dxa"/>
            <w:gridSpan w:val="2"/>
          </w:tcPr>
          <w:p w14:paraId="070FF800" w14:textId="77777777" w:rsidR="00107EC1" w:rsidRPr="00703AB8" w:rsidRDefault="00703AB8">
            <w:pPr>
              <w:rPr>
                <w:rFonts w:ascii="Times New Roman" w:eastAsia="Times New Roman" w:hAnsi="Times New Roman"/>
                <w:b/>
                <w:bCs/>
                <w:sz w:val="26"/>
                <w:szCs w:val="26"/>
                <w:rtl/>
              </w:rPr>
            </w:pPr>
            <w:r w:rsidRPr="00703AB8">
              <w:rPr>
                <w:rFonts w:ascii="Times New Roman" w:eastAsia="Times New Roman" w:hAnsi="Times New Roman" w:hint="cs"/>
                <w:rtl/>
              </w:rPr>
              <w:t>אופיר סרף</w:t>
            </w:r>
          </w:p>
        </w:tc>
      </w:tr>
    </w:tbl>
    <w:p w14:paraId="2FC76F4B" w14:textId="77777777" w:rsidR="00107EC1" w:rsidRPr="00703AB8" w:rsidRDefault="00703AB8">
      <w:pPr>
        <w:spacing w:line="360" w:lineRule="auto"/>
        <w:jc w:val="both"/>
        <w:rPr>
          <w:sz w:val="6"/>
          <w:szCs w:val="6"/>
          <w:rtl/>
        </w:rPr>
      </w:pPr>
      <w:r w:rsidRPr="00703AB8">
        <w:rPr>
          <w:sz w:val="6"/>
          <w:szCs w:val="6"/>
          <w:rtl/>
        </w:rPr>
        <w:t>&lt;#1#&gt;</w:t>
      </w:r>
    </w:p>
    <w:p w14:paraId="11056777" w14:textId="77777777" w:rsidR="00107EC1" w:rsidRPr="00703AB8" w:rsidRDefault="00703AB8">
      <w:pPr>
        <w:rPr>
          <w:rtl/>
        </w:rPr>
      </w:pPr>
      <w:r w:rsidRPr="00703AB8">
        <w:rPr>
          <w:rtl/>
        </w:rPr>
        <w:t>נוכחים:</w:t>
      </w:r>
    </w:p>
    <w:p w14:paraId="175F0431" w14:textId="77777777" w:rsidR="00107EC1" w:rsidRPr="00703AB8" w:rsidRDefault="00703AB8">
      <w:pPr>
        <w:rPr>
          <w:rtl/>
        </w:rPr>
      </w:pPr>
      <w:bookmarkStart w:id="2" w:name="FirstLawyer"/>
      <w:r w:rsidRPr="00703AB8">
        <w:rPr>
          <w:rtl/>
        </w:rPr>
        <w:t>ב"כ</w:t>
      </w:r>
      <w:bookmarkEnd w:id="2"/>
      <w:r w:rsidRPr="00703AB8">
        <w:rPr>
          <w:rtl/>
        </w:rPr>
        <w:t xml:space="preserve"> המאשימה עו"ד טל חיים ניסנוב</w:t>
      </w:r>
    </w:p>
    <w:p w14:paraId="33309BFA" w14:textId="77777777" w:rsidR="00107EC1" w:rsidRPr="00703AB8" w:rsidRDefault="00703AB8">
      <w:pPr>
        <w:rPr>
          <w:rtl/>
        </w:rPr>
      </w:pPr>
      <w:r w:rsidRPr="00703AB8">
        <w:rPr>
          <w:rFonts w:hint="cs"/>
          <w:rtl/>
        </w:rPr>
        <w:t>הנאשם ובא כוחו עו"ד סגרון</w:t>
      </w:r>
    </w:p>
    <w:p w14:paraId="6ADC86EE" w14:textId="77777777" w:rsidR="00107EC1" w:rsidRPr="00703AB8" w:rsidRDefault="00107EC1">
      <w:pPr>
        <w:pStyle w:val="12"/>
        <w:rPr>
          <w:b w:val="0"/>
          <w:bCs w:val="0"/>
          <w:u w:val="none"/>
          <w:rtl/>
        </w:rPr>
      </w:pPr>
    </w:p>
    <w:p w14:paraId="293152BF" w14:textId="77777777" w:rsidR="00D37FAE" w:rsidRDefault="00703AB8">
      <w:pPr>
        <w:spacing w:line="360" w:lineRule="auto"/>
        <w:jc w:val="center"/>
        <w:rPr>
          <w:rFonts w:ascii="Arial" w:hAnsi="Arial"/>
          <w:b/>
          <w:color w:val="FF0000"/>
          <w:sz w:val="28"/>
          <w:rtl/>
        </w:rPr>
      </w:pPr>
      <w:r w:rsidRPr="00703AB8">
        <w:rPr>
          <w:rFonts w:ascii="Arial" w:hAnsi="Arial"/>
          <w:b/>
          <w:color w:val="FF0000"/>
          <w:sz w:val="28"/>
          <w:rtl/>
        </w:rPr>
        <w:t>במסמך זה הושמטו פרוטוקולים</w:t>
      </w:r>
      <w:bookmarkStart w:id="3" w:name="LawTable"/>
      <w:bookmarkEnd w:id="3"/>
    </w:p>
    <w:p w14:paraId="64402DA5" w14:textId="77777777" w:rsidR="00D37FAE" w:rsidRPr="00D37FAE" w:rsidRDefault="00D37FAE" w:rsidP="00D37FAE">
      <w:pPr>
        <w:spacing w:after="120" w:line="240" w:lineRule="exact"/>
        <w:ind w:left="283" w:hanging="283"/>
        <w:jc w:val="both"/>
        <w:rPr>
          <w:rFonts w:ascii="FrankRuehl" w:hAnsi="FrankRuehl" w:cs="FrankRuehl"/>
          <w:color w:val="FF0000"/>
          <w:rtl/>
        </w:rPr>
      </w:pPr>
    </w:p>
    <w:p w14:paraId="0D23FEFE" w14:textId="77777777" w:rsidR="00D37FAE" w:rsidRPr="00D37FAE" w:rsidRDefault="00D37FAE" w:rsidP="00D37FAE">
      <w:pPr>
        <w:spacing w:after="120" w:line="240" w:lineRule="exact"/>
        <w:ind w:left="283" w:hanging="283"/>
        <w:jc w:val="both"/>
        <w:rPr>
          <w:rFonts w:ascii="FrankRuehl" w:hAnsi="FrankRuehl" w:cs="FrankRuehl"/>
          <w:color w:val="FF0000"/>
          <w:rtl/>
        </w:rPr>
      </w:pPr>
      <w:r w:rsidRPr="00D37FAE">
        <w:rPr>
          <w:rFonts w:ascii="FrankRuehl" w:hAnsi="FrankRuehl" w:cs="FrankRuehl"/>
          <w:color w:val="FF0000"/>
          <w:rtl/>
        </w:rPr>
        <w:t xml:space="preserve">חקיקה שאוזכרה: </w:t>
      </w:r>
    </w:p>
    <w:p w14:paraId="38FA06E7" w14:textId="77777777" w:rsidR="00D37FAE" w:rsidRPr="00D37FAE" w:rsidRDefault="00D37FAE" w:rsidP="00D37FAE">
      <w:pPr>
        <w:spacing w:after="120" w:line="240" w:lineRule="exact"/>
        <w:ind w:left="283" w:hanging="283"/>
        <w:jc w:val="both"/>
        <w:rPr>
          <w:rFonts w:ascii="FrankRuehl" w:hAnsi="FrankRuehl" w:cs="FrankRuehl"/>
          <w:color w:val="0000FF"/>
          <w:u w:val="single"/>
          <w:rtl/>
        </w:rPr>
      </w:pPr>
      <w:hyperlink r:id="rId6" w:history="1">
        <w:r w:rsidRPr="00D37FAE">
          <w:rPr>
            <w:rStyle w:val="Hyperlink"/>
            <w:rFonts w:ascii="FrankRuehl" w:hAnsi="FrankRuehl" w:cs="FrankRuehl"/>
            <w:rtl/>
          </w:rPr>
          <w:t>פקודת הסמים המסוכנים [נוסח חדש], תשל"ג-1973</w:t>
        </w:r>
      </w:hyperlink>
    </w:p>
    <w:p w14:paraId="6AE7A155" w14:textId="77777777" w:rsidR="00D37FAE" w:rsidRPr="00D37FAE" w:rsidRDefault="00D37FAE" w:rsidP="00D37FAE">
      <w:pPr>
        <w:spacing w:after="120" w:line="240" w:lineRule="exact"/>
        <w:ind w:left="283" w:hanging="283"/>
        <w:jc w:val="both"/>
        <w:rPr>
          <w:rFonts w:ascii="FrankRuehl" w:hAnsi="FrankRuehl" w:cs="FrankRuehl"/>
          <w:rtl/>
        </w:rPr>
      </w:pPr>
    </w:p>
    <w:p w14:paraId="53253CC7" w14:textId="77777777" w:rsidR="00703AB8" w:rsidRPr="00703AB8" w:rsidRDefault="00703AB8" w:rsidP="00703AB8">
      <w:pPr>
        <w:spacing w:line="360" w:lineRule="auto"/>
        <w:jc w:val="center"/>
        <w:rPr>
          <w:rFonts w:ascii="Arial" w:hAnsi="Arial"/>
          <w:b/>
          <w:bCs/>
          <w:sz w:val="28"/>
          <w:szCs w:val="28"/>
          <w:u w:val="single"/>
          <w:rtl/>
        </w:rPr>
      </w:pPr>
      <w:bookmarkStart w:id="4" w:name="LawTable_End"/>
      <w:bookmarkStart w:id="5" w:name="PsakDin"/>
      <w:bookmarkEnd w:id="0"/>
      <w:bookmarkEnd w:id="4"/>
      <w:r w:rsidRPr="00703AB8">
        <w:rPr>
          <w:rFonts w:ascii="Arial" w:hAnsi="Arial"/>
          <w:b/>
          <w:bCs/>
          <w:sz w:val="28"/>
          <w:szCs w:val="28"/>
          <w:u w:val="single"/>
          <w:rtl/>
        </w:rPr>
        <w:t>גזר דין</w:t>
      </w:r>
    </w:p>
    <w:bookmarkEnd w:id="5"/>
    <w:p w14:paraId="569984B8" w14:textId="77777777" w:rsidR="00107EC1" w:rsidRDefault="00107EC1">
      <w:pPr>
        <w:spacing w:line="360" w:lineRule="auto"/>
        <w:jc w:val="both"/>
        <w:rPr>
          <w:rFonts w:ascii="Arial" w:hAnsi="Arial"/>
        </w:rPr>
      </w:pPr>
    </w:p>
    <w:p w14:paraId="5A856C4C" w14:textId="77777777" w:rsidR="00107EC1" w:rsidRDefault="00703AB8">
      <w:pPr>
        <w:spacing w:line="360" w:lineRule="auto"/>
        <w:rPr>
          <w:rtl/>
        </w:rPr>
      </w:pPr>
      <w:bookmarkStart w:id="6" w:name="ABSTRACT_START"/>
      <w:bookmarkEnd w:id="6"/>
      <w:r>
        <w:rPr>
          <w:rFonts w:hint="cs"/>
          <w:rtl/>
        </w:rPr>
        <w:t xml:space="preserve">הנאשם הורשע על פי הודאתו בכתב אישום מתוקן בעבירות של גידול סם מסוכן, החזקת שתילים המשמשים לסם ואחזקת סם לצריכה עצמית. </w:t>
      </w:r>
    </w:p>
    <w:p w14:paraId="4B987733" w14:textId="77777777" w:rsidR="00107EC1" w:rsidRDefault="00703AB8">
      <w:pPr>
        <w:spacing w:line="360" w:lineRule="auto"/>
        <w:rPr>
          <w:rtl/>
        </w:rPr>
      </w:pPr>
      <w:bookmarkStart w:id="7" w:name="ABSTRACT_END"/>
      <w:bookmarkEnd w:id="7"/>
      <w:r>
        <w:rPr>
          <w:rFonts w:hint="cs"/>
          <w:rtl/>
        </w:rPr>
        <w:t xml:space="preserve">לאחר ההודיה ובמסגרת ההסדר, נשלח הנאשם לשירות המבחן לצורך קבלת תסקיר בעניינו. </w:t>
      </w:r>
    </w:p>
    <w:p w14:paraId="3321C654" w14:textId="77777777" w:rsidR="00107EC1" w:rsidRDefault="00107EC1">
      <w:pPr>
        <w:spacing w:line="360" w:lineRule="auto"/>
        <w:rPr>
          <w:rtl/>
        </w:rPr>
      </w:pPr>
    </w:p>
    <w:p w14:paraId="31C26673" w14:textId="77777777" w:rsidR="00107EC1" w:rsidRDefault="00703AB8">
      <w:pPr>
        <w:spacing w:line="360" w:lineRule="auto"/>
        <w:rPr>
          <w:rtl/>
        </w:rPr>
      </w:pPr>
      <w:r>
        <w:rPr>
          <w:rFonts w:hint="cs"/>
          <w:rtl/>
        </w:rPr>
        <w:t>ההודיה היתה בשנת 2012, ומאז מצוי הנאשם בתהליכים שונים בשירות המבחן ומהתסקירים שהתקבלו אודותיו עולה הרקע האישי והמשפחתי, מעורבותו בעבירות הפליליות, השינוי ושיתוף הפעולה שחל אצלו, עד לסיום כל ההליך הטיפולי בשירות המבחן.</w:t>
      </w:r>
    </w:p>
    <w:p w14:paraId="09E10CC4" w14:textId="77777777" w:rsidR="00107EC1" w:rsidRDefault="00703AB8">
      <w:pPr>
        <w:spacing w:line="360" w:lineRule="auto"/>
        <w:rPr>
          <w:rtl/>
        </w:rPr>
      </w:pPr>
      <w:r>
        <w:rPr>
          <w:rFonts w:hint="cs"/>
          <w:rtl/>
        </w:rPr>
        <w:t xml:space="preserve">המלצת קצינת המבחן היתה לענישה קונקרטית אשר ניתן לרצותה בעבודות שירות. </w:t>
      </w:r>
    </w:p>
    <w:p w14:paraId="19B37D84" w14:textId="77777777" w:rsidR="00107EC1" w:rsidRDefault="00107EC1">
      <w:pPr>
        <w:spacing w:line="360" w:lineRule="auto"/>
        <w:rPr>
          <w:rtl/>
        </w:rPr>
      </w:pPr>
    </w:p>
    <w:p w14:paraId="15E30147" w14:textId="77777777" w:rsidR="00107EC1" w:rsidRDefault="00703AB8">
      <w:pPr>
        <w:spacing w:line="360" w:lineRule="auto"/>
        <w:rPr>
          <w:rtl/>
        </w:rPr>
      </w:pPr>
      <w:r>
        <w:rPr>
          <w:rFonts w:hint="cs"/>
          <w:rtl/>
        </w:rPr>
        <w:t>הצדדים שקלו את האמור בתסקיר, את הפסיקה ואת נסיבותיו של הנאשם, ובסופו של דבר הציגו בפני בימ"ש הסדר הכולל תקופת מאסר בפועל, מאסר על תנאי וקנס כספי בתנאים שפירטו לעיל.</w:t>
      </w:r>
    </w:p>
    <w:p w14:paraId="40B4CFD8" w14:textId="77777777" w:rsidR="00107EC1" w:rsidRDefault="00107EC1">
      <w:pPr>
        <w:spacing w:line="360" w:lineRule="auto"/>
        <w:rPr>
          <w:rtl/>
        </w:rPr>
      </w:pPr>
    </w:p>
    <w:p w14:paraId="73965D25" w14:textId="77777777" w:rsidR="00107EC1" w:rsidRDefault="00703AB8">
      <w:pPr>
        <w:spacing w:line="360" w:lineRule="auto"/>
        <w:rPr>
          <w:rtl/>
        </w:rPr>
      </w:pPr>
      <w:r>
        <w:rPr>
          <w:rFonts w:hint="cs"/>
          <w:rtl/>
        </w:rPr>
        <w:t>לחובתו של הנאשם יש להביא בחשבון את חומרת העבירות, כמות הסמים והדרך בה פעל לגידולם.</w:t>
      </w:r>
    </w:p>
    <w:p w14:paraId="6A803FD0" w14:textId="77777777" w:rsidR="00107EC1" w:rsidRDefault="00703AB8">
      <w:pPr>
        <w:spacing w:line="360" w:lineRule="auto"/>
        <w:rPr>
          <w:rtl/>
        </w:rPr>
      </w:pPr>
      <w:r>
        <w:rPr>
          <w:rFonts w:hint="cs"/>
          <w:rtl/>
        </w:rPr>
        <w:t xml:space="preserve">עבירות אלה הוכרו זה מכבר כעבירות המחייבות ענישה מאחורי סורג ובריח. </w:t>
      </w:r>
    </w:p>
    <w:p w14:paraId="551CF3A4" w14:textId="77777777" w:rsidR="00107EC1" w:rsidRDefault="00703AB8">
      <w:pPr>
        <w:spacing w:line="360" w:lineRule="auto"/>
        <w:rPr>
          <w:rtl/>
        </w:rPr>
      </w:pPr>
      <w:r>
        <w:rPr>
          <w:rFonts w:hint="cs"/>
          <w:rtl/>
        </w:rPr>
        <w:lastRenderedPageBreak/>
        <w:t xml:space="preserve">מנגד, ולזכותו של הנאשם יש להביא בחשבון את ההודיה שחסכה זמן שיפוטי יקר, את זמנם של העדים ושאר המעורבים בתיק, את תיקון כתב האישום לקולא, באופן שנמחקו עובדות והוראת חיקוק מחמירה, כאשר תקופת המאסר עליה הסכימו הצדדים איננה תקופה קצרה. </w:t>
      </w:r>
    </w:p>
    <w:p w14:paraId="52BBB5B1" w14:textId="77777777" w:rsidR="00107EC1" w:rsidRDefault="00703AB8">
      <w:pPr>
        <w:spacing w:line="360" w:lineRule="auto"/>
        <w:rPr>
          <w:rtl/>
        </w:rPr>
      </w:pPr>
      <w:r>
        <w:rPr>
          <w:rFonts w:hint="cs"/>
          <w:rtl/>
        </w:rPr>
        <w:t xml:space="preserve">הנאשם לא ריצה עונש מאסר מאחורי סורג ובריח , וברור שעונש כזה הוא משמעותי. </w:t>
      </w:r>
    </w:p>
    <w:p w14:paraId="06361C59" w14:textId="77777777" w:rsidR="00107EC1" w:rsidRDefault="00107EC1">
      <w:pPr>
        <w:spacing w:line="360" w:lineRule="auto"/>
        <w:rPr>
          <w:rtl/>
        </w:rPr>
      </w:pPr>
    </w:p>
    <w:p w14:paraId="64EA3C06" w14:textId="77777777" w:rsidR="00107EC1" w:rsidRDefault="00703AB8">
      <w:pPr>
        <w:spacing w:line="360" w:lineRule="auto"/>
        <w:rPr>
          <w:rtl/>
        </w:rPr>
      </w:pPr>
      <w:r>
        <w:rPr>
          <w:rFonts w:hint="cs"/>
          <w:rtl/>
        </w:rPr>
        <w:t xml:space="preserve">נסיבה נוספת מקלה היא הטיפול שעבר הנאשם,  ומשך הזמן בו נבדק ונמצא שאינו משתמש בסמים כלל. </w:t>
      </w:r>
    </w:p>
    <w:p w14:paraId="090DAD24" w14:textId="77777777" w:rsidR="00107EC1" w:rsidRDefault="00107EC1">
      <w:pPr>
        <w:spacing w:line="360" w:lineRule="auto"/>
        <w:rPr>
          <w:rtl/>
        </w:rPr>
      </w:pPr>
    </w:p>
    <w:p w14:paraId="6CB7F453" w14:textId="77777777" w:rsidR="00107EC1" w:rsidRDefault="00703AB8">
      <w:pPr>
        <w:spacing w:line="360" w:lineRule="auto"/>
        <w:rPr>
          <w:rtl/>
        </w:rPr>
      </w:pPr>
      <w:r>
        <w:rPr>
          <w:rFonts w:hint="cs"/>
          <w:rtl/>
        </w:rPr>
        <w:t>לאור האמור לעיל, דומה כי ההסדר מאזן בין הצורך בענישה לבין הנסיבות הפועלות לזכותו של הנאשם, ולפיכך אני מכבדת את ההסדר וגוזרת עליו את העונשים הבאים:</w:t>
      </w:r>
    </w:p>
    <w:p w14:paraId="68250178" w14:textId="77777777" w:rsidR="00107EC1" w:rsidRDefault="00107EC1">
      <w:pPr>
        <w:spacing w:line="360" w:lineRule="auto"/>
        <w:rPr>
          <w:rtl/>
        </w:rPr>
      </w:pPr>
    </w:p>
    <w:p w14:paraId="6EB65965" w14:textId="77777777" w:rsidR="00107EC1" w:rsidRDefault="00703AB8">
      <w:pPr>
        <w:spacing w:line="360" w:lineRule="auto"/>
        <w:rPr>
          <w:rtl/>
        </w:rPr>
      </w:pPr>
      <w:r>
        <w:rPr>
          <w:rFonts w:hint="cs"/>
          <w:rtl/>
        </w:rPr>
        <w:t>א.</w:t>
      </w:r>
      <w:r>
        <w:rPr>
          <w:rFonts w:hint="cs"/>
          <w:rtl/>
        </w:rPr>
        <w:tab/>
        <w:t>8 חודשי מאסר בפועל.</w:t>
      </w:r>
    </w:p>
    <w:p w14:paraId="64905ABF" w14:textId="77777777" w:rsidR="00107EC1" w:rsidRDefault="00703AB8">
      <w:pPr>
        <w:spacing w:line="360" w:lineRule="auto"/>
        <w:rPr>
          <w:rtl/>
        </w:rPr>
      </w:pPr>
      <w:r>
        <w:rPr>
          <w:rFonts w:hint="cs"/>
          <w:rtl/>
        </w:rPr>
        <w:tab/>
        <w:t xml:space="preserve">מתקופת המאסר ינוכו ימי המעצר,  מיום 4.3.12 עד 6.4.12. </w:t>
      </w:r>
    </w:p>
    <w:p w14:paraId="10F63053" w14:textId="77777777" w:rsidR="00107EC1" w:rsidRDefault="00703AB8">
      <w:pPr>
        <w:spacing w:line="360" w:lineRule="auto"/>
        <w:ind w:left="720"/>
        <w:rPr>
          <w:rtl/>
        </w:rPr>
      </w:pPr>
      <w:r>
        <w:rPr>
          <w:rFonts w:hint="cs"/>
          <w:rtl/>
        </w:rPr>
        <w:t>הנאשם יתחיל לרצות את מאסרו ביום 1.1.15,  ועליו לנצל את הזמן כדי לבצע מיון והתאמה או להתייצב במזכירות ביהמ"ש במועד זה בשעה 08:30.</w:t>
      </w:r>
    </w:p>
    <w:p w14:paraId="4FA898F3" w14:textId="77777777" w:rsidR="00107EC1" w:rsidRDefault="00107EC1">
      <w:pPr>
        <w:spacing w:line="360" w:lineRule="auto"/>
        <w:rPr>
          <w:rtl/>
        </w:rPr>
      </w:pPr>
    </w:p>
    <w:p w14:paraId="12006FFB" w14:textId="77777777" w:rsidR="00107EC1" w:rsidRDefault="00703AB8">
      <w:pPr>
        <w:spacing w:line="360" w:lineRule="auto"/>
        <w:ind w:left="720" w:hanging="720"/>
        <w:rPr>
          <w:rtl/>
        </w:rPr>
      </w:pPr>
      <w:r>
        <w:rPr>
          <w:rFonts w:hint="cs"/>
          <w:rtl/>
        </w:rPr>
        <w:t>ב.</w:t>
      </w:r>
      <w:r>
        <w:rPr>
          <w:rFonts w:hint="cs"/>
          <w:rtl/>
        </w:rPr>
        <w:tab/>
        <w:t xml:space="preserve">4 חודשי מאסר על תנאי לתקופה של 3 שנים, והתנאי הוא שהנאשם לא יעבור כל עבירה מסוג עוון על </w:t>
      </w:r>
      <w:hyperlink r:id="rId7" w:history="1">
        <w:r w:rsidRPr="00703AB8">
          <w:rPr>
            <w:color w:val="0000FF"/>
            <w:u w:val="single"/>
            <w:rtl/>
          </w:rPr>
          <w:t>פקודת הסמים המסוכנים</w:t>
        </w:r>
      </w:hyperlink>
      <w:r>
        <w:rPr>
          <w:rFonts w:hint="cs"/>
          <w:rtl/>
        </w:rPr>
        <w:t xml:space="preserve">. </w:t>
      </w:r>
    </w:p>
    <w:p w14:paraId="35D4B186" w14:textId="77777777" w:rsidR="00107EC1" w:rsidRDefault="00703AB8">
      <w:pPr>
        <w:spacing w:line="360" w:lineRule="auto"/>
        <w:ind w:left="720" w:hanging="720"/>
        <w:rPr>
          <w:rtl/>
        </w:rPr>
      </w:pPr>
      <w:r>
        <w:rPr>
          <w:rFonts w:hint="cs"/>
          <w:rtl/>
        </w:rPr>
        <w:t>ג.</w:t>
      </w:r>
      <w:r>
        <w:rPr>
          <w:rFonts w:hint="cs"/>
          <w:rtl/>
        </w:rPr>
        <w:tab/>
        <w:t xml:space="preserve">8 חודשי מאסר על תנאי לתקופה של 3 שנים, והתנאי הוא שהנאשם לא יעבור כל עבירה מסוג פשע על </w:t>
      </w:r>
      <w:hyperlink r:id="rId8" w:history="1">
        <w:r w:rsidRPr="00703AB8">
          <w:rPr>
            <w:color w:val="0000FF"/>
            <w:u w:val="single"/>
            <w:rtl/>
          </w:rPr>
          <w:t>פקודת הסמים המסוכנים</w:t>
        </w:r>
      </w:hyperlink>
      <w:r>
        <w:rPr>
          <w:rFonts w:hint="cs"/>
          <w:rtl/>
        </w:rPr>
        <w:t xml:space="preserve">. </w:t>
      </w:r>
    </w:p>
    <w:p w14:paraId="3BAB2424" w14:textId="77777777" w:rsidR="00107EC1" w:rsidRDefault="00703AB8">
      <w:pPr>
        <w:spacing w:line="360" w:lineRule="auto"/>
        <w:ind w:left="720" w:hanging="720"/>
        <w:rPr>
          <w:rtl/>
        </w:rPr>
      </w:pPr>
      <w:r>
        <w:rPr>
          <w:rFonts w:hint="cs"/>
          <w:rtl/>
        </w:rPr>
        <w:t>ד.</w:t>
      </w:r>
      <w:r>
        <w:rPr>
          <w:rFonts w:hint="cs"/>
          <w:rtl/>
        </w:rPr>
        <w:tab/>
        <w:t xml:space="preserve">הנאשם ישלם קנס בסך 4,500 ₪.   הסכום יקוזז מהכספים שהפקיד הנאשם בתיק </w:t>
      </w:r>
      <w:hyperlink r:id="rId9" w:history="1">
        <w:r w:rsidRPr="00703AB8">
          <w:rPr>
            <w:color w:val="0000FF"/>
            <w:u w:val="single"/>
            <w:rtl/>
          </w:rPr>
          <w:t>מ"ת 12101-03-12</w:t>
        </w:r>
      </w:hyperlink>
      <w:r>
        <w:rPr>
          <w:rFonts w:hint="cs"/>
          <w:rtl/>
        </w:rPr>
        <w:t xml:space="preserve"> ,  לאחר שהנאשם יתייצב לריצוי עונשו.  </w:t>
      </w:r>
    </w:p>
    <w:p w14:paraId="2F965757" w14:textId="77777777" w:rsidR="00107EC1" w:rsidRDefault="00703AB8">
      <w:pPr>
        <w:spacing w:line="360" w:lineRule="auto"/>
        <w:ind w:left="720" w:hanging="720"/>
        <w:rPr>
          <w:rtl/>
        </w:rPr>
      </w:pPr>
      <w:r>
        <w:rPr>
          <w:rFonts w:hint="cs"/>
          <w:rtl/>
        </w:rPr>
        <w:tab/>
        <w:t xml:space="preserve">יתרת הכספים תוחזר לאשתו של הנאשם. </w:t>
      </w:r>
    </w:p>
    <w:p w14:paraId="35A16B6A" w14:textId="77777777" w:rsidR="00107EC1" w:rsidRDefault="00703AB8">
      <w:pPr>
        <w:spacing w:line="360" w:lineRule="auto"/>
        <w:ind w:left="720" w:hanging="720"/>
        <w:rPr>
          <w:rtl/>
        </w:rPr>
      </w:pPr>
      <w:r>
        <w:rPr>
          <w:rFonts w:hint="cs"/>
          <w:rtl/>
        </w:rPr>
        <w:t>ה.</w:t>
      </w:r>
      <w:r>
        <w:rPr>
          <w:rFonts w:hint="cs"/>
          <w:rtl/>
        </w:rPr>
        <w:tab/>
        <w:t xml:space="preserve">התנאים המגבילים ישארו בתוקפם עד לריצוי העונש, כשהסניגור רשאי לפנות בבקשה לשינוי התנאים. </w:t>
      </w:r>
    </w:p>
    <w:p w14:paraId="0CA28DF0" w14:textId="77777777" w:rsidR="00107EC1" w:rsidRDefault="00703AB8">
      <w:pPr>
        <w:spacing w:line="360" w:lineRule="auto"/>
        <w:ind w:left="720" w:hanging="720"/>
        <w:rPr>
          <w:rtl/>
        </w:rPr>
      </w:pPr>
      <w:r>
        <w:rPr>
          <w:rFonts w:hint="cs"/>
          <w:rtl/>
        </w:rPr>
        <w:t>ו.</w:t>
      </w:r>
      <w:r>
        <w:rPr>
          <w:rFonts w:hint="cs"/>
          <w:rtl/>
        </w:rPr>
        <w:tab/>
        <w:t xml:space="preserve">מורה על השמדת הסמים וכל הציוד הקשור לגידולם. </w:t>
      </w:r>
    </w:p>
    <w:p w14:paraId="532BEE27" w14:textId="77777777" w:rsidR="00107EC1" w:rsidRDefault="00703AB8">
      <w:pPr>
        <w:spacing w:line="360" w:lineRule="auto"/>
        <w:ind w:left="720" w:hanging="720"/>
        <w:rPr>
          <w:rtl/>
        </w:rPr>
      </w:pPr>
      <w:r>
        <w:rPr>
          <w:rFonts w:hint="cs"/>
          <w:rtl/>
        </w:rPr>
        <w:t>ז.</w:t>
      </w:r>
      <w:r>
        <w:rPr>
          <w:rFonts w:hint="cs"/>
          <w:rtl/>
        </w:rPr>
        <w:tab/>
        <w:t xml:space="preserve">ככל שיש פלאפונים השייכים לנאשם יוחזרו לידיו. </w:t>
      </w:r>
    </w:p>
    <w:p w14:paraId="575C3053" w14:textId="77777777" w:rsidR="00107EC1" w:rsidRDefault="00107EC1">
      <w:pPr>
        <w:spacing w:line="360" w:lineRule="auto"/>
        <w:ind w:left="720" w:hanging="720"/>
        <w:rPr>
          <w:rtl/>
        </w:rPr>
      </w:pPr>
    </w:p>
    <w:p w14:paraId="06B6B80C" w14:textId="77777777" w:rsidR="00107EC1" w:rsidRDefault="00703AB8">
      <w:pPr>
        <w:spacing w:line="360" w:lineRule="auto"/>
        <w:ind w:left="720" w:hanging="720"/>
        <w:rPr>
          <w:b/>
          <w:bCs/>
          <w:u w:val="single"/>
          <w:rtl/>
        </w:rPr>
      </w:pPr>
      <w:r>
        <w:rPr>
          <w:rFonts w:hint="cs"/>
          <w:b/>
          <w:bCs/>
          <w:u w:val="single"/>
          <w:rtl/>
        </w:rPr>
        <w:t>זכות ערעור תוך 45 יום.</w:t>
      </w:r>
    </w:p>
    <w:p w14:paraId="2ABF5A4F" w14:textId="77777777" w:rsidR="00107EC1" w:rsidRDefault="00703AB8">
      <w:pPr>
        <w:spacing w:line="360" w:lineRule="auto"/>
        <w:ind w:left="720" w:hanging="720"/>
        <w:rPr>
          <w:sz w:val="6"/>
          <w:szCs w:val="6"/>
          <w:rtl/>
        </w:rPr>
      </w:pPr>
      <w:r>
        <w:rPr>
          <w:sz w:val="6"/>
          <w:szCs w:val="6"/>
          <w:rtl/>
        </w:rPr>
        <w:t>&lt;#5#&gt;</w:t>
      </w:r>
    </w:p>
    <w:p w14:paraId="09F85A26" w14:textId="77777777" w:rsidR="00107EC1" w:rsidRDefault="00107EC1">
      <w:pPr>
        <w:jc w:val="right"/>
        <w:rPr>
          <w:rtl/>
        </w:rPr>
      </w:pPr>
    </w:p>
    <w:p w14:paraId="17A7284B" w14:textId="77777777" w:rsidR="00107EC1" w:rsidRDefault="00703AB8">
      <w:pPr>
        <w:jc w:val="center"/>
        <w:rPr>
          <w:rtl/>
        </w:rPr>
      </w:pPr>
      <w:r w:rsidRPr="00703AB8">
        <w:rPr>
          <w:b/>
          <w:bCs/>
          <w:color w:val="FFFFFF"/>
          <w:sz w:val="2"/>
          <w:szCs w:val="2"/>
          <w:rtl/>
        </w:rPr>
        <w:t>5129371</w:t>
      </w:r>
      <w:r>
        <w:rPr>
          <w:b/>
          <w:bCs/>
          <w:rtl/>
        </w:rPr>
        <w:t xml:space="preserve">ניתנה והודעה היום י"א סיוון תשע"ד, 09/06/2014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07EC1" w14:paraId="53A40E09" w14:textId="77777777">
        <w:trPr>
          <w:trHeight w:val="364"/>
          <w:jc w:val="right"/>
        </w:trPr>
        <w:tc>
          <w:tcPr>
            <w:tcW w:w="3708" w:type="dxa"/>
          </w:tcPr>
          <w:p w14:paraId="02C1797A" w14:textId="77777777" w:rsidR="00107EC1" w:rsidRPr="00703AB8" w:rsidRDefault="00703AB8">
            <w:pPr>
              <w:jc w:val="center"/>
              <w:rPr>
                <w:rFonts w:ascii="Times New Roman" w:eastAsia="Times New Roman" w:hAnsi="Times New Roman" w:cs="Times New Roman"/>
                <w:color w:val="FFFFFF"/>
                <w:sz w:val="2"/>
                <w:szCs w:val="2"/>
              </w:rPr>
            </w:pPr>
            <w:r w:rsidRPr="00703AB8">
              <w:rPr>
                <w:rFonts w:ascii="Times New Roman" w:eastAsia="Times New Roman" w:hAnsi="Times New Roman" w:cs="Times New Roman"/>
                <w:color w:val="FFFFFF"/>
                <w:sz w:val="2"/>
                <w:szCs w:val="2"/>
                <w:rtl/>
              </w:rPr>
              <w:t>54678313</w:t>
            </w:r>
          </w:p>
          <w:p w14:paraId="535DE196" w14:textId="77777777" w:rsidR="00107EC1" w:rsidRDefault="00107EC1">
            <w:pPr>
              <w:jc w:val="center"/>
              <w:rPr>
                <w:rFonts w:ascii="Times New Roman" w:eastAsia="Times New Roman" w:hAnsi="Times New Roman" w:cs="Times New Roman"/>
                <w:rtl/>
              </w:rPr>
            </w:pPr>
          </w:p>
        </w:tc>
      </w:tr>
      <w:tr w:rsidR="00107EC1" w14:paraId="49352EB8" w14:textId="77777777">
        <w:trPr>
          <w:trHeight w:val="415"/>
          <w:jc w:val="right"/>
        </w:trPr>
        <w:tc>
          <w:tcPr>
            <w:tcW w:w="3708" w:type="dxa"/>
          </w:tcPr>
          <w:p w14:paraId="57BB583E" w14:textId="77777777" w:rsidR="00107EC1" w:rsidRDefault="00703AB8">
            <w:pPr>
              <w:jc w:val="center"/>
              <w:rPr>
                <w:rFonts w:ascii="Times New Roman" w:eastAsia="Times New Roman" w:hAnsi="Times New Roman"/>
                <w:b/>
                <w:bCs/>
                <w:rtl/>
              </w:rPr>
            </w:pPr>
            <w:r>
              <w:rPr>
                <w:rFonts w:ascii="Times New Roman" w:eastAsia="Times New Roman" w:hAnsi="Times New Roman" w:hint="cs"/>
                <w:rtl/>
              </w:rPr>
              <w:t>גלית</w:t>
            </w:r>
            <w:r>
              <w:rPr>
                <w:rFonts w:ascii="Times New Roman" w:eastAsia="Times New Roman" w:hAnsi="Times New Roman" w:hint="cs"/>
                <w:b/>
                <w:bCs/>
                <w:rtl/>
              </w:rPr>
              <w:t xml:space="preserve"> </w:t>
            </w:r>
            <w:r>
              <w:rPr>
                <w:rFonts w:ascii="Times New Roman" w:eastAsia="Times New Roman" w:hAnsi="Times New Roman" w:hint="cs"/>
                <w:rtl/>
              </w:rPr>
              <w:t>ציגלר</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184E2DC6" w14:textId="77777777" w:rsidR="00107EC1" w:rsidRDefault="00703AB8">
      <w:bookmarkStart w:id="8" w:name="_GoBack"/>
      <w:bookmarkEnd w:id="8"/>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0A3ED21C" w14:textId="77777777" w:rsidR="00703AB8" w:rsidRPr="00703AB8" w:rsidRDefault="00703AB8" w:rsidP="00703AB8">
      <w:pPr>
        <w:keepNext/>
        <w:rPr>
          <w:color w:val="000000"/>
          <w:sz w:val="22"/>
          <w:szCs w:val="22"/>
          <w:rtl/>
        </w:rPr>
      </w:pPr>
    </w:p>
    <w:p w14:paraId="270F3319" w14:textId="77777777" w:rsidR="00703AB8" w:rsidRPr="00703AB8" w:rsidRDefault="00703AB8" w:rsidP="00703AB8">
      <w:pPr>
        <w:keepNext/>
        <w:rPr>
          <w:color w:val="000000"/>
          <w:sz w:val="22"/>
          <w:szCs w:val="22"/>
          <w:rtl/>
        </w:rPr>
      </w:pPr>
      <w:r w:rsidRPr="00703AB8">
        <w:rPr>
          <w:color w:val="000000"/>
          <w:sz w:val="22"/>
          <w:szCs w:val="22"/>
          <w:rtl/>
        </w:rPr>
        <w:t>גלית ציגלר 54678313</w:t>
      </w:r>
    </w:p>
    <w:p w14:paraId="0D27FF08" w14:textId="77777777" w:rsidR="00703AB8" w:rsidRDefault="00703AB8" w:rsidP="00703AB8">
      <w:r w:rsidRPr="00703AB8">
        <w:rPr>
          <w:color w:val="000000"/>
          <w:rtl/>
        </w:rPr>
        <w:t>נוסח מסמך זה כפוף לשינויי ניסוח ועריכה</w:t>
      </w:r>
    </w:p>
    <w:p w14:paraId="526F8B2E" w14:textId="77777777" w:rsidR="00703AB8" w:rsidRDefault="00703AB8" w:rsidP="00703AB8">
      <w:pPr>
        <w:rPr>
          <w:rtl/>
        </w:rPr>
      </w:pPr>
    </w:p>
    <w:p w14:paraId="1C3B432C" w14:textId="77777777" w:rsidR="00107EC1" w:rsidRPr="00703AB8" w:rsidRDefault="00703AB8" w:rsidP="00D37FAE">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sectPr w:rsidR="00107EC1" w:rsidRPr="00703AB8" w:rsidSect="00703AB8">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9A656" w14:textId="77777777" w:rsidR="00CD7F98" w:rsidRPr="009B6297" w:rsidRDefault="00CD7F98">
      <w:pPr>
        <w:rPr>
          <w:rFonts w:cs="Arial"/>
          <w:szCs w:val="20"/>
        </w:rPr>
      </w:pPr>
      <w:r>
        <w:separator/>
      </w:r>
    </w:p>
  </w:endnote>
  <w:endnote w:type="continuationSeparator" w:id="0">
    <w:p w14:paraId="4E10656B" w14:textId="77777777" w:rsidR="00CD7F98" w:rsidRPr="009B6297" w:rsidRDefault="00CD7F9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0DECC" w14:textId="77777777" w:rsidR="00703AB8" w:rsidRDefault="00703AB8" w:rsidP="00703AB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13</w:t>
    </w:r>
    <w:r>
      <w:rPr>
        <w:rFonts w:ascii="FrankRuehl" w:hAnsi="FrankRuehl" w:cs="FrankRuehl"/>
        <w:rtl/>
      </w:rPr>
      <w:fldChar w:fldCharType="end"/>
    </w:r>
  </w:p>
  <w:p w14:paraId="45A0194B" w14:textId="77777777" w:rsidR="00107EC1" w:rsidRPr="00703AB8" w:rsidRDefault="00703AB8" w:rsidP="00703AB8">
    <w:pPr>
      <w:pStyle w:val="a4"/>
      <w:pBdr>
        <w:top w:val="single" w:sz="4" w:space="1" w:color="auto"/>
        <w:between w:val="single" w:sz="4" w:space="0" w:color="auto"/>
      </w:pBdr>
      <w:spacing w:after="60"/>
      <w:jc w:val="center"/>
      <w:rPr>
        <w:rFonts w:ascii="FrankRuehl" w:hAnsi="FrankRuehl" w:cs="FrankRuehl"/>
        <w:color w:val="000000"/>
      </w:rPr>
    </w:pPr>
    <w:r w:rsidRPr="00703A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494F5" w14:textId="77777777" w:rsidR="00703AB8" w:rsidRDefault="00703AB8" w:rsidP="00703AB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933E0">
      <w:rPr>
        <w:rFonts w:ascii="FrankRuehl" w:hAnsi="FrankRuehl" w:cs="FrankRuehl"/>
        <w:noProof/>
        <w:rtl/>
      </w:rPr>
      <w:t>1</w:t>
    </w:r>
    <w:r>
      <w:rPr>
        <w:rFonts w:ascii="FrankRuehl" w:hAnsi="FrankRuehl" w:cs="FrankRuehl"/>
        <w:rtl/>
      </w:rPr>
      <w:fldChar w:fldCharType="end"/>
    </w:r>
  </w:p>
  <w:p w14:paraId="32D32138" w14:textId="77777777" w:rsidR="00107EC1" w:rsidRPr="00703AB8" w:rsidRDefault="00703AB8" w:rsidP="00703AB8">
    <w:pPr>
      <w:pStyle w:val="a4"/>
      <w:pBdr>
        <w:top w:val="single" w:sz="4" w:space="1" w:color="auto"/>
        <w:between w:val="single" w:sz="4" w:space="0" w:color="auto"/>
      </w:pBdr>
      <w:spacing w:after="60"/>
      <w:jc w:val="center"/>
      <w:rPr>
        <w:rFonts w:ascii="FrankRuehl" w:hAnsi="FrankRuehl" w:cs="FrankRuehl"/>
        <w:color w:val="000000"/>
      </w:rPr>
    </w:pPr>
    <w:r w:rsidRPr="00703AB8">
      <w:rPr>
        <w:rFonts w:ascii="FrankRuehl" w:hAnsi="FrankRuehl" w:cs="FrankRuehl"/>
        <w:color w:val="000000"/>
      </w:rPr>
      <w:pict w14:anchorId="1C3AC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CFF62" w14:textId="77777777" w:rsidR="00CD7F98" w:rsidRPr="009B6297" w:rsidRDefault="00CD7F98">
      <w:pPr>
        <w:rPr>
          <w:rFonts w:cs="Arial"/>
          <w:szCs w:val="20"/>
        </w:rPr>
      </w:pPr>
      <w:r>
        <w:separator/>
      </w:r>
    </w:p>
  </w:footnote>
  <w:footnote w:type="continuationSeparator" w:id="0">
    <w:p w14:paraId="23B4627D" w14:textId="77777777" w:rsidR="00CD7F98" w:rsidRPr="009B6297" w:rsidRDefault="00CD7F9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63D4" w14:textId="77777777" w:rsidR="00703AB8" w:rsidRPr="00703AB8" w:rsidRDefault="00703AB8" w:rsidP="00703AB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12091-03-12</w:t>
    </w:r>
    <w:r>
      <w:rPr>
        <w:color w:val="000000"/>
        <w:sz w:val="22"/>
        <w:szCs w:val="22"/>
        <w:rtl/>
      </w:rPr>
      <w:tab/>
      <w:t xml:space="preserve"> מדינת ישראל נ' אופיר סרף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31666" w14:textId="77777777" w:rsidR="00703AB8" w:rsidRPr="00703AB8" w:rsidRDefault="00703AB8" w:rsidP="00703AB8">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12091-03-12</w:t>
    </w:r>
    <w:r>
      <w:rPr>
        <w:color w:val="000000"/>
        <w:sz w:val="22"/>
        <w:szCs w:val="22"/>
        <w:rtl/>
      </w:rPr>
      <w:tab/>
      <w:t xml:space="preserve"> מדינת ישראל נ' אופיר סרף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7EC1"/>
    <w:rsid w:val="00107EC1"/>
    <w:rsid w:val="005C7A32"/>
    <w:rsid w:val="00703AB8"/>
    <w:rsid w:val="008F7ADD"/>
    <w:rsid w:val="00CD7F98"/>
    <w:rsid w:val="00D37FAE"/>
    <w:rsid w:val="00E933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E8EE4E"/>
  <w15:chartTrackingRefBased/>
  <w15:docId w15:val="{BF029DCB-3ACF-4C6F-AD56-F407317D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7EC1"/>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07EC1"/>
    <w:pPr>
      <w:tabs>
        <w:tab w:val="center" w:pos="4153"/>
        <w:tab w:val="right" w:pos="8306"/>
      </w:tabs>
    </w:pPr>
  </w:style>
  <w:style w:type="paragraph" w:styleId="a4">
    <w:name w:val="footer"/>
    <w:basedOn w:val="a"/>
    <w:rsid w:val="00107EC1"/>
    <w:pPr>
      <w:tabs>
        <w:tab w:val="center" w:pos="4153"/>
        <w:tab w:val="right" w:pos="8306"/>
      </w:tabs>
    </w:pPr>
  </w:style>
  <w:style w:type="character" w:styleId="a5">
    <w:name w:val="page number"/>
    <w:basedOn w:val="a0"/>
    <w:rsid w:val="00107EC1"/>
  </w:style>
  <w:style w:type="character" w:customStyle="1" w:styleId="TimesNewRomanTimesNewRoman">
    <w:name w:val="סגנון (לטיני) Times New Roman (עברית ושפות אחרות) Times New Roman..."/>
    <w:basedOn w:val="a0"/>
    <w:rsid w:val="00107EC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107EC1"/>
    <w:rPr>
      <w:rFonts w:ascii="Times New Roman" w:eastAsia="Times New Roman" w:hAnsi="Times New Roman"/>
      <w:b/>
      <w:bCs/>
      <w:u w:val="single"/>
    </w:rPr>
  </w:style>
  <w:style w:type="character" w:styleId="a6">
    <w:name w:val="line number"/>
    <w:basedOn w:val="a0"/>
    <w:rsid w:val="00107EC1"/>
  </w:style>
  <w:style w:type="character" w:styleId="Hyperlink">
    <w:name w:val="Hyperlink"/>
    <w:basedOn w:val="a0"/>
    <w:rsid w:val="00703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4309257"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2519</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3016</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3211387</vt:i4>
      </vt:variant>
      <vt:variant>
        <vt:i4>9</vt:i4>
      </vt:variant>
      <vt:variant>
        <vt:i4>0</vt:i4>
      </vt:variant>
      <vt:variant>
        <vt:i4>5</vt:i4>
      </vt:variant>
      <vt:variant>
        <vt:lpwstr>http://www.nevo.co.il/case/4309257</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2025-04-22T21:42:00Z</dcterms:created>
  <dcterms:modified xsi:type="dcterms:W3CDTF">2025-04-22T21:42:00Z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12091</vt:lpwstr>
  </property>
  <property fmtid="{D5CDD505-2E9C-101B-9397-08002B2CF9AE}" pid="6" name="NEWPARTB">
    <vt:lpwstr>03</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אופיר סרף</vt:lpwstr>
  </property>
  <property fmtid="{D5CDD505-2E9C-101B-9397-08002B2CF9AE}" pid="10" name="LAWYER">
    <vt:lpwstr>טל חיים ניסנוב;סגרון</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20140609</vt:lpwstr>
  </property>
  <property fmtid="{D5CDD505-2E9C-101B-9397-08002B2CF9AE}" pid="14" name="TYPE_N_DATE">
    <vt:lpwstr>38020140609</vt:lpwstr>
  </property>
  <property fmtid="{D5CDD505-2E9C-101B-9397-08002B2CF9AE}" pid="15" name="CASESLISTTMP1">
    <vt:lpwstr>4309257</vt:lpwstr>
  </property>
  <property fmtid="{D5CDD505-2E9C-101B-9397-08002B2CF9AE}" pid="16" name="WORDNUMPAGES">
    <vt:lpwstr>2</vt:lpwstr>
  </property>
  <property fmtid="{D5CDD505-2E9C-101B-9397-08002B2CF9AE}" pid="17" name="TYPE_ABS_DATE">
    <vt:lpwstr>380020140609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4216:2</vt:lpwstr>
  </property>
</Properties>
</file>