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96BC3" w:rsidRPr="003B0912" w14:paraId="62426E05" w14:textId="77777777">
        <w:trPr>
          <w:trHeight w:hRule="exact" w:val="418"/>
          <w:jc w:val="center"/>
        </w:trPr>
        <w:tc>
          <w:tcPr>
            <w:tcW w:w="8720" w:type="dxa"/>
            <w:gridSpan w:val="3"/>
          </w:tcPr>
          <w:p w14:paraId="4CCFFDA5" w14:textId="77777777" w:rsidR="00596BC3" w:rsidRPr="003B0912" w:rsidRDefault="003B0912">
            <w:pPr>
              <w:pStyle w:val="a3"/>
              <w:tabs>
                <w:tab w:val="clear" w:pos="8306"/>
              </w:tabs>
              <w:jc w:val="center"/>
              <w:rPr>
                <w:rFonts w:ascii="Tahoma" w:hAnsi="Tahoma" w:cs="Tahoma"/>
                <w:b/>
                <w:bCs/>
                <w:color w:val="000080"/>
                <w:sz w:val="20"/>
                <w:szCs w:val="20"/>
                <w:rtl/>
              </w:rPr>
            </w:pPr>
            <w:r w:rsidRPr="003B0912">
              <w:rPr>
                <w:rFonts w:ascii="Tahoma" w:hAnsi="Tahoma" w:cs="Tahoma"/>
                <w:b/>
                <w:bCs/>
                <w:color w:val="000080"/>
                <w:sz w:val="20"/>
                <w:szCs w:val="20"/>
                <w:rtl/>
              </w:rPr>
              <w:t>בית משפט השלום בעכו</w:t>
            </w:r>
          </w:p>
        </w:tc>
      </w:tr>
      <w:tr w:rsidR="00596BC3" w:rsidRPr="003B0912" w14:paraId="09CADD98" w14:textId="77777777">
        <w:trPr>
          <w:trHeight w:val="337"/>
          <w:jc w:val="center"/>
        </w:trPr>
        <w:tc>
          <w:tcPr>
            <w:tcW w:w="6396" w:type="dxa"/>
          </w:tcPr>
          <w:p w14:paraId="29838FCF" w14:textId="77777777" w:rsidR="00596BC3" w:rsidRPr="003B0912" w:rsidRDefault="003B0912" w:rsidP="001A5757">
            <w:pPr>
              <w:rPr>
                <w:b/>
                <w:bCs/>
                <w:sz w:val="26"/>
                <w:szCs w:val="26"/>
                <w:rtl/>
              </w:rPr>
            </w:pPr>
            <w:r w:rsidRPr="003B0912">
              <w:rPr>
                <w:b/>
                <w:bCs/>
                <w:sz w:val="26"/>
                <w:szCs w:val="26"/>
                <w:rtl/>
              </w:rPr>
              <w:t>ת"פ</w:t>
            </w:r>
            <w:r w:rsidRPr="003B0912">
              <w:rPr>
                <w:rFonts w:hint="cs"/>
                <w:b/>
                <w:bCs/>
                <w:sz w:val="26"/>
                <w:szCs w:val="26"/>
                <w:rtl/>
              </w:rPr>
              <w:t xml:space="preserve"> </w:t>
            </w:r>
            <w:r w:rsidRPr="003B0912">
              <w:rPr>
                <w:b/>
                <w:bCs/>
                <w:sz w:val="26"/>
                <w:szCs w:val="26"/>
                <w:rtl/>
              </w:rPr>
              <w:t>30312-03-12</w:t>
            </w:r>
            <w:r w:rsidRPr="003B0912">
              <w:rPr>
                <w:rFonts w:hint="cs"/>
                <w:b/>
                <w:bCs/>
                <w:sz w:val="26"/>
                <w:szCs w:val="26"/>
                <w:rtl/>
              </w:rPr>
              <w:t xml:space="preserve"> </w:t>
            </w:r>
          </w:p>
          <w:p w14:paraId="3730B172" w14:textId="77777777" w:rsidR="00596BC3" w:rsidRPr="003B0912" w:rsidRDefault="00596BC3">
            <w:pPr>
              <w:rPr>
                <w:b/>
                <w:bCs/>
                <w:sz w:val="26"/>
                <w:szCs w:val="26"/>
                <w:rtl/>
              </w:rPr>
            </w:pPr>
          </w:p>
        </w:tc>
        <w:tc>
          <w:tcPr>
            <w:tcW w:w="236" w:type="dxa"/>
          </w:tcPr>
          <w:p w14:paraId="6214338F" w14:textId="77777777" w:rsidR="00596BC3" w:rsidRPr="003B0912" w:rsidRDefault="00596BC3">
            <w:pPr>
              <w:pStyle w:val="a3"/>
              <w:jc w:val="right"/>
              <w:rPr>
                <w:b/>
                <w:bCs/>
                <w:sz w:val="26"/>
                <w:szCs w:val="26"/>
                <w:rtl/>
              </w:rPr>
            </w:pPr>
          </w:p>
        </w:tc>
        <w:tc>
          <w:tcPr>
            <w:tcW w:w="2088" w:type="dxa"/>
          </w:tcPr>
          <w:p w14:paraId="3C0AEA4A" w14:textId="77777777" w:rsidR="00596BC3" w:rsidRPr="003B0912" w:rsidRDefault="003B0912">
            <w:pPr>
              <w:pStyle w:val="a3"/>
              <w:tabs>
                <w:tab w:val="clear" w:pos="4153"/>
              </w:tabs>
              <w:jc w:val="right"/>
              <w:rPr>
                <w:b/>
                <w:bCs/>
                <w:sz w:val="26"/>
                <w:szCs w:val="26"/>
                <w:rtl/>
              </w:rPr>
            </w:pPr>
            <w:r w:rsidRPr="003B0912">
              <w:rPr>
                <w:b/>
                <w:bCs/>
                <w:sz w:val="26"/>
                <w:szCs w:val="26"/>
                <w:rtl/>
              </w:rPr>
              <w:t>19 נובמבר 2013</w:t>
            </w:r>
          </w:p>
        </w:tc>
      </w:tr>
    </w:tbl>
    <w:p w14:paraId="46A3D959" w14:textId="77777777" w:rsidR="00596BC3" w:rsidRPr="003B0912" w:rsidRDefault="00596BC3">
      <w:pPr>
        <w:pStyle w:val="a3"/>
        <w:jc w:val="center"/>
        <w:rPr>
          <w:rFonts w:ascii="Tahoma" w:hAnsi="Tahoma" w:cs="Tahoma"/>
          <w:b/>
          <w:bCs/>
          <w:color w:val="000080"/>
          <w:sz w:val="20"/>
          <w:szCs w:val="20"/>
          <w:rtl/>
        </w:rPr>
      </w:pPr>
    </w:p>
    <w:p w14:paraId="16D60FF7" w14:textId="77777777" w:rsidR="00596BC3" w:rsidRPr="003B0912" w:rsidRDefault="00596BC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596BC3" w:rsidRPr="003B0912" w14:paraId="051FA8AE" w14:textId="77777777">
        <w:trPr>
          <w:gridAfter w:val="1"/>
          <w:wAfter w:w="55" w:type="dxa"/>
        </w:trPr>
        <w:tc>
          <w:tcPr>
            <w:tcW w:w="8719" w:type="dxa"/>
            <w:gridSpan w:val="2"/>
          </w:tcPr>
          <w:p w14:paraId="2D2F2809" w14:textId="77777777" w:rsidR="00596BC3" w:rsidRPr="003B0912" w:rsidRDefault="003B0912">
            <w:pPr>
              <w:spacing w:line="360" w:lineRule="auto"/>
              <w:jc w:val="both"/>
              <w:rPr>
                <w:rFonts w:ascii="Times New Roman" w:eastAsia="Times New Roman" w:hAnsi="Times New Roman"/>
                <w:b/>
                <w:bCs/>
                <w:sz w:val="26"/>
                <w:szCs w:val="26"/>
                <w:rtl/>
              </w:rPr>
            </w:pPr>
            <w:r w:rsidRPr="003B0912">
              <w:rPr>
                <w:rFonts w:ascii="Times New Roman" w:eastAsia="Times New Roman" w:hAnsi="Times New Roman" w:hint="cs"/>
                <w:b/>
                <w:bCs/>
                <w:sz w:val="26"/>
                <w:szCs w:val="26"/>
                <w:rtl/>
              </w:rPr>
              <w:t>בפני כב' השופטת רונית בש</w:t>
            </w:r>
            <w:r w:rsidRPr="003B0912">
              <w:rPr>
                <w:rFonts w:ascii="Times New Roman" w:eastAsia="Times New Roman" w:hAnsi="Times New Roman" w:cs="Times New Roman" w:hint="cs"/>
                <w:rtl/>
              </w:rPr>
              <w:t>,</w:t>
            </w:r>
            <w:r w:rsidRPr="003B0912">
              <w:rPr>
                <w:rStyle w:val="TimesNewRomanTimesNewRoman"/>
                <w:rFonts w:eastAsia="Times New Roman" w:hint="cs"/>
                <w:rtl/>
              </w:rPr>
              <w:t xml:space="preserve"> סגנית נשיא</w:t>
            </w:r>
            <w:r w:rsidRPr="003B0912">
              <w:rPr>
                <w:rStyle w:val="TimesNewRomanTimesNewRoman"/>
                <w:rFonts w:eastAsia="Times New Roman"/>
                <w:rtl/>
              </w:rPr>
              <w:t xml:space="preserve">  </w:t>
            </w:r>
          </w:p>
        </w:tc>
      </w:tr>
      <w:tr w:rsidR="00596BC3" w:rsidRPr="003B0912" w14:paraId="46755FEF" w14:textId="77777777">
        <w:tc>
          <w:tcPr>
            <w:tcW w:w="2880" w:type="dxa"/>
          </w:tcPr>
          <w:p w14:paraId="2A96D2A9" w14:textId="77777777" w:rsidR="00596BC3" w:rsidRPr="003B0912" w:rsidRDefault="003B0912">
            <w:pPr>
              <w:ind w:left="26"/>
              <w:rPr>
                <w:rFonts w:ascii="Times New Roman" w:eastAsia="Times New Roman" w:hAnsi="Times New Roman"/>
                <w:b/>
                <w:bCs/>
                <w:sz w:val="26"/>
                <w:szCs w:val="26"/>
                <w:rtl/>
              </w:rPr>
            </w:pPr>
            <w:bookmarkStart w:id="0" w:name="FirstAppellant"/>
            <w:bookmarkStart w:id="1" w:name="LastJudge"/>
            <w:bookmarkEnd w:id="1"/>
            <w:r w:rsidRPr="003B0912">
              <w:rPr>
                <w:rFonts w:ascii="Times New Roman" w:eastAsia="Times New Roman" w:hAnsi="Times New Roman" w:hint="cs"/>
                <w:b/>
                <w:bCs/>
                <w:sz w:val="26"/>
                <w:szCs w:val="26"/>
                <w:rtl/>
              </w:rPr>
              <w:t>ה</w:t>
            </w:r>
            <w:r w:rsidRPr="003B0912">
              <w:rPr>
                <w:rFonts w:ascii="Times New Roman" w:eastAsia="Times New Roman" w:hAnsi="Times New Roman" w:hint="cs"/>
                <w:rtl/>
              </w:rPr>
              <w:t>מאשימה</w:t>
            </w:r>
          </w:p>
        </w:tc>
        <w:tc>
          <w:tcPr>
            <w:tcW w:w="5922" w:type="dxa"/>
            <w:gridSpan w:val="2"/>
          </w:tcPr>
          <w:p w14:paraId="771C60C1" w14:textId="77777777" w:rsidR="00596BC3" w:rsidRPr="003B0912" w:rsidRDefault="003B0912">
            <w:pPr>
              <w:rPr>
                <w:rFonts w:ascii="Times New Roman" w:eastAsia="Times New Roman" w:hAnsi="Times New Roman"/>
                <w:b/>
                <w:bCs/>
                <w:sz w:val="26"/>
                <w:szCs w:val="26"/>
                <w:rtl/>
              </w:rPr>
            </w:pPr>
            <w:r w:rsidRPr="003B0912">
              <w:rPr>
                <w:rFonts w:ascii="Times New Roman" w:eastAsia="Times New Roman" w:hAnsi="Times New Roman" w:hint="cs"/>
                <w:rtl/>
              </w:rPr>
              <w:t>מדינת ישראל</w:t>
            </w:r>
          </w:p>
          <w:p w14:paraId="16B8B145" w14:textId="77777777" w:rsidR="00596BC3" w:rsidRPr="003B0912" w:rsidRDefault="00596BC3">
            <w:pPr>
              <w:rPr>
                <w:rFonts w:ascii="Times New Roman" w:eastAsia="Times New Roman" w:hAnsi="Times New Roman"/>
                <w:b/>
                <w:bCs/>
                <w:sz w:val="26"/>
                <w:szCs w:val="26"/>
                <w:rtl/>
              </w:rPr>
            </w:pPr>
          </w:p>
        </w:tc>
      </w:tr>
      <w:bookmarkEnd w:id="0"/>
      <w:tr w:rsidR="00596BC3" w:rsidRPr="003B0912" w14:paraId="0197ED83" w14:textId="77777777">
        <w:tc>
          <w:tcPr>
            <w:tcW w:w="8802" w:type="dxa"/>
            <w:gridSpan w:val="3"/>
          </w:tcPr>
          <w:p w14:paraId="1FEE32B0" w14:textId="77777777" w:rsidR="00596BC3" w:rsidRPr="003B0912" w:rsidRDefault="00596BC3">
            <w:pPr>
              <w:jc w:val="both"/>
              <w:rPr>
                <w:rFonts w:ascii="Arial" w:eastAsia="Times New Roman" w:hAnsi="Arial"/>
                <w:b/>
                <w:bCs/>
                <w:sz w:val="26"/>
                <w:szCs w:val="26"/>
                <w:rtl/>
              </w:rPr>
            </w:pPr>
          </w:p>
          <w:p w14:paraId="101B3BC5" w14:textId="77777777" w:rsidR="00596BC3" w:rsidRPr="003B0912" w:rsidRDefault="003B0912">
            <w:pPr>
              <w:jc w:val="center"/>
              <w:rPr>
                <w:rFonts w:ascii="Arial" w:eastAsia="Times New Roman" w:hAnsi="Arial"/>
                <w:b/>
                <w:bCs/>
                <w:sz w:val="26"/>
                <w:szCs w:val="26"/>
                <w:rtl/>
              </w:rPr>
            </w:pPr>
            <w:r w:rsidRPr="003B0912">
              <w:rPr>
                <w:rFonts w:ascii="Arial" w:eastAsia="Times New Roman" w:hAnsi="Arial"/>
                <w:b/>
                <w:bCs/>
                <w:sz w:val="26"/>
                <w:szCs w:val="26"/>
                <w:rtl/>
              </w:rPr>
              <w:t>נגד</w:t>
            </w:r>
          </w:p>
          <w:p w14:paraId="7FD0A005" w14:textId="77777777" w:rsidR="00596BC3" w:rsidRPr="003B0912" w:rsidRDefault="00596BC3">
            <w:pPr>
              <w:jc w:val="center"/>
              <w:rPr>
                <w:rFonts w:ascii="Arial" w:eastAsia="Times New Roman" w:hAnsi="Arial"/>
                <w:b/>
                <w:bCs/>
                <w:sz w:val="26"/>
                <w:szCs w:val="26"/>
              </w:rPr>
            </w:pPr>
          </w:p>
        </w:tc>
      </w:tr>
      <w:tr w:rsidR="00596BC3" w:rsidRPr="003B0912" w14:paraId="31AFC0C4" w14:textId="77777777">
        <w:tc>
          <w:tcPr>
            <w:tcW w:w="2880" w:type="dxa"/>
          </w:tcPr>
          <w:p w14:paraId="3C7F5A49" w14:textId="77777777" w:rsidR="00596BC3" w:rsidRPr="003B0912" w:rsidRDefault="003B0912">
            <w:pPr>
              <w:ind w:left="26"/>
              <w:rPr>
                <w:rFonts w:ascii="Times New Roman" w:eastAsia="Times New Roman" w:hAnsi="Times New Roman"/>
                <w:b/>
                <w:bCs/>
                <w:sz w:val="26"/>
                <w:szCs w:val="26"/>
                <w:rtl/>
              </w:rPr>
            </w:pPr>
            <w:r w:rsidRPr="003B0912">
              <w:rPr>
                <w:rFonts w:ascii="Times New Roman" w:eastAsia="Times New Roman" w:hAnsi="Times New Roman" w:hint="cs"/>
                <w:b/>
                <w:bCs/>
                <w:sz w:val="26"/>
                <w:szCs w:val="26"/>
                <w:rtl/>
              </w:rPr>
              <w:t>ה</w:t>
            </w:r>
            <w:r w:rsidRPr="003B0912">
              <w:rPr>
                <w:rFonts w:ascii="Times New Roman" w:eastAsia="Times New Roman" w:hAnsi="Times New Roman" w:hint="cs"/>
                <w:rtl/>
              </w:rPr>
              <w:t>נאשם</w:t>
            </w:r>
          </w:p>
        </w:tc>
        <w:tc>
          <w:tcPr>
            <w:tcW w:w="5922" w:type="dxa"/>
            <w:gridSpan w:val="2"/>
          </w:tcPr>
          <w:p w14:paraId="7CB775FD" w14:textId="77777777" w:rsidR="00596BC3" w:rsidRPr="003B0912" w:rsidRDefault="001A5757">
            <w:pPr>
              <w:rPr>
                <w:rFonts w:ascii="Times New Roman" w:eastAsia="Times New Roman" w:hAnsi="Times New Roman"/>
                <w:b/>
                <w:bCs/>
                <w:sz w:val="26"/>
                <w:szCs w:val="26"/>
                <w:rtl/>
              </w:rPr>
            </w:pPr>
            <w:r>
              <w:rPr>
                <w:rFonts w:ascii="Times New Roman" w:eastAsia="Times New Roman" w:hAnsi="Times New Roman" w:hint="cs"/>
                <w:rtl/>
              </w:rPr>
              <w:t>פלוני</w:t>
            </w:r>
          </w:p>
          <w:p w14:paraId="25365D8D" w14:textId="77777777" w:rsidR="00596BC3" w:rsidRPr="003B0912" w:rsidRDefault="00596BC3">
            <w:pPr>
              <w:rPr>
                <w:rFonts w:ascii="Times New Roman" w:eastAsia="Times New Roman" w:hAnsi="Times New Roman"/>
                <w:b/>
                <w:bCs/>
                <w:sz w:val="26"/>
                <w:szCs w:val="26"/>
                <w:rtl/>
              </w:rPr>
            </w:pPr>
          </w:p>
        </w:tc>
      </w:tr>
    </w:tbl>
    <w:p w14:paraId="3E82F12D" w14:textId="77777777" w:rsidR="00596BC3" w:rsidRPr="003B0912" w:rsidRDefault="003B0912">
      <w:pPr>
        <w:spacing w:line="360" w:lineRule="auto"/>
        <w:jc w:val="both"/>
        <w:rPr>
          <w:sz w:val="6"/>
          <w:szCs w:val="6"/>
          <w:rtl/>
        </w:rPr>
      </w:pPr>
      <w:r w:rsidRPr="003B0912">
        <w:rPr>
          <w:sz w:val="6"/>
          <w:szCs w:val="6"/>
          <w:rtl/>
        </w:rPr>
        <w:t>&lt;#2#&gt;</w:t>
      </w:r>
    </w:p>
    <w:p w14:paraId="406B1A3F" w14:textId="77777777" w:rsidR="00596BC3" w:rsidRPr="003B0912" w:rsidRDefault="003B0912">
      <w:pPr>
        <w:pStyle w:val="12"/>
        <w:rPr>
          <w:u w:val="none"/>
          <w:rtl/>
        </w:rPr>
      </w:pPr>
      <w:r w:rsidRPr="003B0912">
        <w:rPr>
          <w:rFonts w:hint="cs"/>
          <w:u w:val="none"/>
          <w:rtl/>
        </w:rPr>
        <w:t>נוכחים:</w:t>
      </w:r>
    </w:p>
    <w:p w14:paraId="67DAC6FD" w14:textId="77777777" w:rsidR="00596BC3" w:rsidRPr="003B0912" w:rsidRDefault="003B0912">
      <w:pPr>
        <w:pStyle w:val="12"/>
        <w:rPr>
          <w:b w:val="0"/>
          <w:bCs w:val="0"/>
          <w:u w:val="none"/>
          <w:rtl/>
        </w:rPr>
      </w:pPr>
      <w:bookmarkStart w:id="2" w:name="FirstLawyer"/>
      <w:r w:rsidRPr="003B0912">
        <w:rPr>
          <w:rFonts w:hint="cs"/>
          <w:b w:val="0"/>
          <w:bCs w:val="0"/>
          <w:u w:val="none"/>
          <w:rtl/>
        </w:rPr>
        <w:t>ב"כ</w:t>
      </w:r>
      <w:bookmarkEnd w:id="2"/>
      <w:r w:rsidRPr="003B0912">
        <w:rPr>
          <w:rFonts w:hint="cs"/>
          <w:b w:val="0"/>
          <w:bCs w:val="0"/>
          <w:u w:val="none"/>
          <w:rtl/>
        </w:rPr>
        <w:t xml:space="preserve"> המאשימה- עו"ד גל ירדן</w:t>
      </w:r>
    </w:p>
    <w:p w14:paraId="4F10CB86" w14:textId="77777777" w:rsidR="00596BC3" w:rsidRPr="003B0912" w:rsidRDefault="003B0912">
      <w:pPr>
        <w:pStyle w:val="12"/>
        <w:rPr>
          <w:b w:val="0"/>
          <w:bCs w:val="0"/>
          <w:u w:val="none"/>
          <w:rtl/>
        </w:rPr>
      </w:pPr>
      <w:r w:rsidRPr="003B0912">
        <w:rPr>
          <w:rFonts w:hint="cs"/>
          <w:b w:val="0"/>
          <w:bCs w:val="0"/>
          <w:u w:val="none"/>
          <w:rtl/>
        </w:rPr>
        <w:t xml:space="preserve">הנאשם </w:t>
      </w:r>
      <w:r w:rsidRPr="003B0912">
        <w:rPr>
          <w:b w:val="0"/>
          <w:bCs w:val="0"/>
          <w:u w:val="none"/>
          <w:rtl/>
        </w:rPr>
        <w:t>–</w:t>
      </w:r>
      <w:r w:rsidRPr="003B0912">
        <w:rPr>
          <w:rFonts w:hint="cs"/>
          <w:b w:val="0"/>
          <w:bCs w:val="0"/>
          <w:u w:val="none"/>
          <w:rtl/>
        </w:rPr>
        <w:t xml:space="preserve"> נוכח</w:t>
      </w:r>
    </w:p>
    <w:p w14:paraId="525CB7EF" w14:textId="77777777" w:rsidR="00596BC3" w:rsidRPr="003B0912" w:rsidRDefault="003B0912">
      <w:pPr>
        <w:pStyle w:val="12"/>
        <w:rPr>
          <w:b w:val="0"/>
          <w:bCs w:val="0"/>
          <w:u w:val="none"/>
          <w:rtl/>
        </w:rPr>
      </w:pPr>
      <w:r w:rsidRPr="003B0912">
        <w:rPr>
          <w:rFonts w:hint="cs"/>
          <w:b w:val="0"/>
          <w:bCs w:val="0"/>
          <w:u w:val="none"/>
          <w:rtl/>
        </w:rPr>
        <w:t>הסנגור- עו"ד אברהים עודה, ס.ציבורי</w:t>
      </w:r>
    </w:p>
    <w:p w14:paraId="4A092703" w14:textId="77777777" w:rsidR="00596BC3" w:rsidRPr="003B0912" w:rsidRDefault="003B0912">
      <w:pPr>
        <w:spacing w:line="360" w:lineRule="auto"/>
        <w:jc w:val="center"/>
        <w:rPr>
          <w:rFonts w:ascii="Arial" w:hAnsi="Arial"/>
          <w:b/>
          <w:bCs/>
          <w:sz w:val="28"/>
          <w:szCs w:val="28"/>
          <w:rtl/>
        </w:rPr>
      </w:pPr>
      <w:r w:rsidRPr="003B0912">
        <w:rPr>
          <w:rFonts w:ascii="Arial" w:hAnsi="Arial"/>
          <w:b/>
          <w:color w:val="FF0000"/>
          <w:sz w:val="28"/>
          <w:rtl/>
        </w:rPr>
        <w:t>במסמך זה הושמטו פרוטוקולים</w:t>
      </w:r>
    </w:p>
    <w:p w14:paraId="5C2A7A1A" w14:textId="77777777" w:rsidR="003B0912" w:rsidRPr="003B0912" w:rsidRDefault="003B0912">
      <w:pPr>
        <w:spacing w:line="360" w:lineRule="auto"/>
        <w:jc w:val="center"/>
        <w:rPr>
          <w:rFonts w:ascii="Arial" w:hAnsi="Arial"/>
          <w:b/>
          <w:bCs/>
          <w:sz w:val="28"/>
          <w:szCs w:val="28"/>
          <w:rtl/>
        </w:rPr>
      </w:pPr>
    </w:p>
    <w:p w14:paraId="649B1361" w14:textId="77777777" w:rsidR="003B0912" w:rsidRPr="003B0912" w:rsidRDefault="003B0912" w:rsidP="003B0912">
      <w:pPr>
        <w:spacing w:line="360" w:lineRule="auto"/>
        <w:jc w:val="center"/>
        <w:rPr>
          <w:rFonts w:ascii="Arial" w:hAnsi="Arial"/>
          <w:b/>
          <w:bCs/>
          <w:sz w:val="28"/>
          <w:szCs w:val="28"/>
          <w:u w:val="single"/>
          <w:rtl/>
        </w:rPr>
      </w:pPr>
      <w:bookmarkStart w:id="3" w:name="PsakDin"/>
      <w:r w:rsidRPr="003B0912">
        <w:rPr>
          <w:rFonts w:ascii="Arial" w:hAnsi="Arial"/>
          <w:b/>
          <w:bCs/>
          <w:sz w:val="28"/>
          <w:szCs w:val="28"/>
          <w:u w:val="single"/>
          <w:rtl/>
        </w:rPr>
        <w:t>גזר דין</w:t>
      </w:r>
    </w:p>
    <w:p w14:paraId="2C436B92" w14:textId="77777777" w:rsidR="00596BC3" w:rsidRDefault="003B0912">
      <w:pPr>
        <w:spacing w:line="360" w:lineRule="auto"/>
        <w:jc w:val="both"/>
        <w:rPr>
          <w:rtl/>
        </w:rPr>
      </w:pPr>
      <w:bookmarkStart w:id="4" w:name="ABSTRACT_START"/>
      <w:bookmarkEnd w:id="3"/>
      <w:bookmarkEnd w:id="4"/>
      <w:r>
        <w:rPr>
          <w:rFonts w:hint="cs"/>
          <w:sz w:val="28"/>
          <w:rtl/>
        </w:rPr>
        <w:t>הנאשם הורשע בביצוע שתי עבירות של התפרצות לבית עסק, לפי סעיף 407(ב) ל</w:t>
      </w:r>
      <w:hyperlink r:id="rId6" w:history="1">
        <w:r w:rsidRPr="003B0912">
          <w:rPr>
            <w:color w:val="0000FF"/>
            <w:sz w:val="28"/>
            <w:u w:val="single"/>
            <w:rtl/>
          </w:rPr>
          <w:t>חוק העונשין</w:t>
        </w:r>
      </w:hyperlink>
      <w:r>
        <w:rPr>
          <w:rFonts w:hint="cs"/>
          <w:sz w:val="28"/>
          <w:rtl/>
        </w:rPr>
        <w:t xml:space="preserve">, התשל"ז-1977, בביצוע עבירה של גניבה, לפי סעיף 384 לחוק הנ"ל, בביצוע עבירה של ניסיון לגניבה, לפי סעיפים 384 ו-25 לחוק הנ"ל ובביצוע עבירה של </w:t>
      </w:r>
      <w:r>
        <w:rPr>
          <w:rFonts w:hint="cs"/>
          <w:rtl/>
        </w:rPr>
        <w:t>החזקת סם מסוכן לצריכה עצמית, לפי סעיף 7 (א) + (ג) סיפא ל</w:t>
      </w:r>
      <w:hyperlink r:id="rId7" w:history="1">
        <w:r w:rsidRPr="003B0912">
          <w:rPr>
            <w:color w:val="0000FF"/>
            <w:u w:val="single"/>
            <w:rtl/>
          </w:rPr>
          <w:t>פקודת הסמים המסוכנים</w:t>
        </w:r>
      </w:hyperlink>
      <w:r>
        <w:rPr>
          <w:rFonts w:hint="cs"/>
          <w:rtl/>
        </w:rPr>
        <w:t xml:space="preserve"> [נוסח חדש], תשל"ג - 1973. </w:t>
      </w:r>
    </w:p>
    <w:p w14:paraId="31829921" w14:textId="77777777" w:rsidR="00596BC3" w:rsidRDefault="00596BC3">
      <w:pPr>
        <w:rPr>
          <w:rtl/>
        </w:rPr>
      </w:pPr>
      <w:bookmarkStart w:id="5" w:name="ABSTRACT_END"/>
      <w:bookmarkEnd w:id="5"/>
    </w:p>
    <w:p w14:paraId="7A395FB3" w14:textId="77777777" w:rsidR="00596BC3" w:rsidRDefault="003B0912">
      <w:pPr>
        <w:spacing w:line="360" w:lineRule="auto"/>
        <w:jc w:val="both"/>
        <w:rPr>
          <w:sz w:val="28"/>
          <w:rtl/>
        </w:rPr>
      </w:pPr>
      <w:r>
        <w:rPr>
          <w:rFonts w:hint="cs"/>
          <w:sz w:val="28"/>
          <w:rtl/>
        </w:rPr>
        <w:t xml:space="preserve">הנאשם הודה בהזדמנות הראשונה. </w:t>
      </w:r>
    </w:p>
    <w:p w14:paraId="061958A2" w14:textId="77777777" w:rsidR="00596BC3" w:rsidRDefault="00596BC3">
      <w:pPr>
        <w:spacing w:line="360" w:lineRule="auto"/>
        <w:jc w:val="both"/>
        <w:rPr>
          <w:sz w:val="28"/>
          <w:rtl/>
        </w:rPr>
      </w:pPr>
    </w:p>
    <w:p w14:paraId="1569E30B" w14:textId="77777777" w:rsidR="00596BC3" w:rsidRDefault="003B0912">
      <w:pPr>
        <w:spacing w:line="360" w:lineRule="auto"/>
        <w:jc w:val="both"/>
        <w:rPr>
          <w:sz w:val="28"/>
          <w:rtl/>
        </w:rPr>
      </w:pPr>
      <w:r>
        <w:rPr>
          <w:rFonts w:hint="cs"/>
          <w:sz w:val="28"/>
          <w:rtl/>
        </w:rPr>
        <w:t xml:space="preserve">בהתחשב באמור לעיל, בהתחשב בעברו הנקי ללא רבב של הנאשם, בהתחשב בעמדת המתלונן באישומים הראשון והשני (עמדתו של האב, מיכאיל עאסי מהכנסייה, אשר נפרצה על ידי הנאשם </w:t>
      </w:r>
      <w:r>
        <w:rPr>
          <w:sz w:val="28"/>
          <w:rtl/>
        </w:rPr>
        <w:t>–</w:t>
      </w:r>
      <w:r>
        <w:rPr>
          <w:rFonts w:hint="cs"/>
          <w:sz w:val="28"/>
          <w:rtl/>
        </w:rPr>
        <w:t xml:space="preserve"> ראה נ/1), בהתחשב בנסיבותיו האישיות של הנאשם ובכך שעסקינן בנאשם המתנהל באורח נורמטיבי (ראה נ/2 ו-נ/3), ולאחר ששקלתי את טיעוני ב"כ הצדדים בפניי,  הנני מחליטה לאמץ את הסדר הטיעון אשר אינו נוגד את תקנת הציבור והינו עומד במתחם הסבירות, זאת מבלי להתעלם מחומרת עבירות הרכוש בהן הורשע הנאשם. </w:t>
      </w:r>
    </w:p>
    <w:p w14:paraId="1A37EC93" w14:textId="77777777" w:rsidR="00596BC3" w:rsidRDefault="00596BC3">
      <w:pPr>
        <w:spacing w:line="360" w:lineRule="auto"/>
        <w:jc w:val="both"/>
        <w:rPr>
          <w:sz w:val="28"/>
          <w:rtl/>
        </w:rPr>
      </w:pPr>
    </w:p>
    <w:p w14:paraId="6E7B7321" w14:textId="77777777" w:rsidR="00596BC3" w:rsidRDefault="003B0912">
      <w:pPr>
        <w:spacing w:line="360" w:lineRule="auto"/>
        <w:jc w:val="both"/>
        <w:rPr>
          <w:sz w:val="28"/>
          <w:rtl/>
        </w:rPr>
      </w:pPr>
      <w:r>
        <w:rPr>
          <w:rFonts w:hint="cs"/>
          <w:sz w:val="28"/>
          <w:rtl/>
        </w:rPr>
        <w:t xml:space="preserve">אשר על כן, אני דנה את הנאשם למאסר על תנאי לתקופה של  8 חודשים למשך 3 שנים והתנאי הוא - כי לא יעבור עבירת רכוש מסוג פשע, לפי </w:t>
      </w:r>
      <w:hyperlink r:id="rId8" w:history="1">
        <w:r w:rsidRPr="003B0912">
          <w:rPr>
            <w:color w:val="0000FF"/>
            <w:sz w:val="28"/>
            <w:u w:val="single"/>
            <w:rtl/>
          </w:rPr>
          <w:t>חוק העונשין</w:t>
        </w:r>
      </w:hyperlink>
      <w:r>
        <w:rPr>
          <w:rFonts w:hint="cs"/>
          <w:sz w:val="28"/>
          <w:rtl/>
        </w:rPr>
        <w:t>, התשל"ז-1977,  ויורשע בגינה.</w:t>
      </w:r>
    </w:p>
    <w:p w14:paraId="10FCADE1" w14:textId="77777777" w:rsidR="00596BC3" w:rsidRDefault="00596BC3">
      <w:pPr>
        <w:spacing w:line="360" w:lineRule="auto"/>
        <w:jc w:val="both"/>
        <w:rPr>
          <w:sz w:val="28"/>
          <w:rtl/>
        </w:rPr>
      </w:pPr>
    </w:p>
    <w:p w14:paraId="48A75200" w14:textId="77777777" w:rsidR="00596BC3" w:rsidRDefault="003B0912">
      <w:pPr>
        <w:spacing w:line="360" w:lineRule="auto"/>
        <w:jc w:val="both"/>
        <w:rPr>
          <w:sz w:val="28"/>
          <w:rtl/>
        </w:rPr>
      </w:pPr>
      <w:r>
        <w:rPr>
          <w:rFonts w:hint="cs"/>
          <w:sz w:val="28"/>
          <w:rtl/>
        </w:rPr>
        <w:t xml:space="preserve">אשר על כן, אני דנה את הנאשם למאסר על תנאי לתקופה של  4 חודשים למשך 3 שנים והתנאי הוא - כי לא יעבור עבירת רכוש מסוג עוון, לפי </w:t>
      </w:r>
      <w:hyperlink r:id="rId9" w:history="1">
        <w:r w:rsidRPr="003B0912">
          <w:rPr>
            <w:color w:val="0000FF"/>
            <w:sz w:val="28"/>
            <w:u w:val="single"/>
            <w:rtl/>
          </w:rPr>
          <w:t>חוק העונשין</w:t>
        </w:r>
      </w:hyperlink>
      <w:r>
        <w:rPr>
          <w:rFonts w:hint="cs"/>
          <w:sz w:val="28"/>
          <w:rtl/>
        </w:rPr>
        <w:t xml:space="preserve">, התשל"ז-1977,  או עבירה לפי </w:t>
      </w:r>
      <w:hyperlink r:id="rId10" w:history="1">
        <w:r w:rsidRPr="003B0912">
          <w:rPr>
            <w:color w:val="0000FF"/>
            <w:sz w:val="28"/>
            <w:u w:val="single"/>
            <w:rtl/>
          </w:rPr>
          <w:t>פקודת הסמים המסוכנים</w:t>
        </w:r>
      </w:hyperlink>
      <w:r>
        <w:rPr>
          <w:rFonts w:hint="cs"/>
          <w:sz w:val="28"/>
          <w:rtl/>
        </w:rPr>
        <w:t xml:space="preserve"> [נוסח חדש], תשל"ג-1973, ויורשע בגין אחת מהן. </w:t>
      </w:r>
    </w:p>
    <w:p w14:paraId="5601ABDB" w14:textId="77777777" w:rsidR="00596BC3" w:rsidRDefault="00596BC3">
      <w:pPr>
        <w:spacing w:line="360" w:lineRule="auto"/>
        <w:jc w:val="both"/>
        <w:rPr>
          <w:sz w:val="28"/>
          <w:rtl/>
        </w:rPr>
      </w:pPr>
    </w:p>
    <w:p w14:paraId="192AD2F1" w14:textId="77777777" w:rsidR="00596BC3" w:rsidRDefault="003B0912">
      <w:pPr>
        <w:spacing w:line="360" w:lineRule="auto"/>
        <w:jc w:val="both"/>
        <w:rPr>
          <w:sz w:val="28"/>
          <w:rtl/>
        </w:rPr>
      </w:pPr>
      <w:r>
        <w:rPr>
          <w:rFonts w:hint="cs"/>
          <w:sz w:val="28"/>
          <w:rtl/>
        </w:rPr>
        <w:lastRenderedPageBreak/>
        <w:t xml:space="preserve">בנוסף, הנני מורה לנאשם לפצות את הכנסייה שבכפר פסוטה, באמצעות עד התביעה מס' 1 (האב מיכאיל עאסי), זאת פיצוי בסכום של 1,500 ₪, אשר יופקד על ידי הנאשם עבור הכנסייה הנ"ל עד ליום 1/2/14 בקופת ביהמ"ש. </w:t>
      </w:r>
    </w:p>
    <w:p w14:paraId="1AEB2DFC" w14:textId="77777777" w:rsidR="00596BC3" w:rsidRDefault="00596BC3">
      <w:pPr>
        <w:spacing w:line="360" w:lineRule="auto"/>
        <w:jc w:val="both"/>
        <w:rPr>
          <w:sz w:val="28"/>
          <w:rtl/>
        </w:rPr>
      </w:pPr>
    </w:p>
    <w:p w14:paraId="4B4FEC7F" w14:textId="77777777" w:rsidR="00596BC3" w:rsidRDefault="003B0912">
      <w:pPr>
        <w:spacing w:line="360" w:lineRule="auto"/>
        <w:jc w:val="both"/>
        <w:rPr>
          <w:sz w:val="28"/>
          <w:rtl/>
        </w:rPr>
      </w:pPr>
      <w:r>
        <w:rPr>
          <w:rFonts w:hint="cs"/>
          <w:sz w:val="28"/>
          <w:rtl/>
        </w:rPr>
        <w:t xml:space="preserve">הנני מורה לנאשם לחתום היום על התחייבות כספית בסך 4,000 ₪ להימנע למשך שנתיים מביצוע עבירת רכוש מסוג פשע, לפי </w:t>
      </w:r>
      <w:hyperlink r:id="rId11" w:history="1">
        <w:r w:rsidRPr="003B0912">
          <w:rPr>
            <w:color w:val="0000FF"/>
            <w:sz w:val="28"/>
            <w:u w:val="single"/>
            <w:rtl/>
          </w:rPr>
          <w:t>חוק העונשין</w:t>
        </w:r>
      </w:hyperlink>
      <w:r>
        <w:rPr>
          <w:rFonts w:hint="cs"/>
          <w:sz w:val="28"/>
          <w:rtl/>
        </w:rPr>
        <w:t xml:space="preserve">, תשל"ז - 1977. </w:t>
      </w:r>
    </w:p>
    <w:p w14:paraId="543096B5" w14:textId="77777777" w:rsidR="00596BC3" w:rsidRDefault="00596BC3">
      <w:pPr>
        <w:spacing w:line="360" w:lineRule="auto"/>
        <w:jc w:val="both"/>
        <w:rPr>
          <w:sz w:val="28"/>
          <w:rtl/>
        </w:rPr>
      </w:pPr>
    </w:p>
    <w:p w14:paraId="67127E09" w14:textId="77777777" w:rsidR="00596BC3" w:rsidRDefault="003B0912">
      <w:pPr>
        <w:spacing w:line="360" w:lineRule="auto"/>
        <w:jc w:val="both"/>
        <w:rPr>
          <w:b/>
          <w:bCs/>
          <w:sz w:val="28"/>
          <w:u w:val="single"/>
          <w:rtl/>
        </w:rPr>
      </w:pPr>
      <w:r>
        <w:rPr>
          <w:rFonts w:hint="cs"/>
          <w:b/>
          <w:bCs/>
          <w:sz w:val="28"/>
          <w:u w:val="single"/>
          <w:rtl/>
        </w:rPr>
        <w:t xml:space="preserve">במידה שלא תיחתם ההתחייבות הכספית, כאמור לעיל, יאסר הנאשם למשך 10 ימים. </w:t>
      </w:r>
    </w:p>
    <w:p w14:paraId="4B7A08C5" w14:textId="77777777" w:rsidR="00596BC3" w:rsidRDefault="00596BC3">
      <w:pPr>
        <w:rPr>
          <w:sz w:val="28"/>
          <w:rtl/>
        </w:rPr>
      </w:pPr>
    </w:p>
    <w:p w14:paraId="23AF3DD1" w14:textId="77777777" w:rsidR="00596BC3" w:rsidRDefault="00596BC3">
      <w:pPr>
        <w:rPr>
          <w:sz w:val="28"/>
          <w:rtl/>
        </w:rPr>
      </w:pPr>
    </w:p>
    <w:p w14:paraId="14E34302" w14:textId="77777777" w:rsidR="00596BC3" w:rsidRDefault="003B0912">
      <w:pPr>
        <w:rPr>
          <w:sz w:val="28"/>
          <w:rtl/>
        </w:rPr>
      </w:pPr>
      <w:r>
        <w:rPr>
          <w:rFonts w:hint="cs"/>
          <w:sz w:val="28"/>
          <w:rtl/>
        </w:rPr>
        <w:t>המזכירות תמציא העתק מגזר הדין לעד התביעה מס' 1, ובמקביל תעשה כן המאשימה</w:t>
      </w:r>
    </w:p>
    <w:p w14:paraId="6D8E7386" w14:textId="77777777" w:rsidR="00596BC3" w:rsidRDefault="00596BC3">
      <w:pPr>
        <w:rPr>
          <w:sz w:val="28"/>
          <w:rtl/>
        </w:rPr>
      </w:pPr>
    </w:p>
    <w:p w14:paraId="0CF2C6AE" w14:textId="77777777" w:rsidR="00596BC3" w:rsidRDefault="00596BC3">
      <w:pPr>
        <w:spacing w:line="360" w:lineRule="auto"/>
        <w:jc w:val="both"/>
        <w:rPr>
          <w:sz w:val="28"/>
          <w:rtl/>
        </w:rPr>
      </w:pPr>
    </w:p>
    <w:p w14:paraId="58BCC35F" w14:textId="77777777" w:rsidR="00596BC3" w:rsidRDefault="003B0912">
      <w:pPr>
        <w:spacing w:line="360" w:lineRule="auto"/>
        <w:jc w:val="both"/>
        <w:rPr>
          <w:sz w:val="28"/>
          <w:rtl/>
        </w:rPr>
      </w:pPr>
      <w:r>
        <w:rPr>
          <w:rFonts w:hint="cs"/>
          <w:sz w:val="28"/>
          <w:rtl/>
        </w:rPr>
        <w:t xml:space="preserve">ניתן בזה צו להשמדת המוצג </w:t>
      </w:r>
      <w:r>
        <w:rPr>
          <w:sz w:val="28"/>
          <w:rtl/>
        </w:rPr>
        <w:t>–</w:t>
      </w:r>
      <w:r>
        <w:rPr>
          <w:rFonts w:hint="cs"/>
          <w:sz w:val="28"/>
          <w:rtl/>
        </w:rPr>
        <w:t xml:space="preserve"> סמים.</w:t>
      </w:r>
      <w:bookmarkStart w:id="6" w:name="_GoBack"/>
      <w:bookmarkEnd w:id="6"/>
    </w:p>
    <w:p w14:paraId="5C9FFC43" w14:textId="77777777" w:rsidR="00596BC3" w:rsidRDefault="00596BC3">
      <w:pPr>
        <w:spacing w:line="360" w:lineRule="auto"/>
        <w:jc w:val="both"/>
        <w:rPr>
          <w:sz w:val="28"/>
          <w:rtl/>
        </w:rPr>
      </w:pPr>
    </w:p>
    <w:p w14:paraId="009D6DA3" w14:textId="77777777" w:rsidR="00596BC3" w:rsidRDefault="003B0912">
      <w:pPr>
        <w:spacing w:line="360" w:lineRule="auto"/>
        <w:jc w:val="both"/>
        <w:rPr>
          <w:sz w:val="28"/>
          <w:rtl/>
        </w:rPr>
      </w:pPr>
      <w:r>
        <w:rPr>
          <w:rFonts w:hint="cs"/>
          <w:sz w:val="28"/>
          <w:rtl/>
        </w:rPr>
        <w:t xml:space="preserve">זכות ערעור תוך 45 יום. </w:t>
      </w:r>
    </w:p>
    <w:p w14:paraId="3283AAC8" w14:textId="77777777" w:rsidR="00596BC3" w:rsidRDefault="00596BC3">
      <w:pPr>
        <w:rPr>
          <w:sz w:val="28"/>
          <w:rtl/>
        </w:rPr>
      </w:pPr>
    </w:p>
    <w:p w14:paraId="003B86B7" w14:textId="77777777" w:rsidR="00596BC3" w:rsidRDefault="003B0912">
      <w:pPr>
        <w:rPr>
          <w:sz w:val="6"/>
          <w:szCs w:val="6"/>
          <w:rtl/>
        </w:rPr>
      </w:pPr>
      <w:r>
        <w:rPr>
          <w:sz w:val="6"/>
          <w:szCs w:val="6"/>
          <w:rtl/>
        </w:rPr>
        <w:t>&lt;#4#&gt;</w:t>
      </w:r>
    </w:p>
    <w:p w14:paraId="06ABC11C" w14:textId="77777777" w:rsidR="00596BC3" w:rsidRDefault="00596BC3">
      <w:pPr>
        <w:jc w:val="right"/>
        <w:rPr>
          <w:rtl/>
        </w:rPr>
      </w:pPr>
    </w:p>
    <w:p w14:paraId="061C07DC" w14:textId="77777777" w:rsidR="00596BC3" w:rsidRDefault="003B0912">
      <w:pPr>
        <w:jc w:val="right"/>
        <w:rPr>
          <w:rtl/>
        </w:rPr>
      </w:pPr>
      <w:r>
        <w:rPr>
          <w:b/>
          <w:bCs/>
          <w:rtl/>
        </w:rPr>
        <w:t xml:space="preserve">ניתנה והודעה היום ט"ז כסלו תשע"ד, 19/11/2013 במעמד הנוכחים. </w:t>
      </w:r>
    </w:p>
    <w:p w14:paraId="7C66415D" w14:textId="77777777" w:rsidR="00596BC3" w:rsidRDefault="00596BC3">
      <w:pPr>
        <w:jc w:val="center"/>
        <w:rPr>
          <w:rtl/>
        </w:rPr>
      </w:pPr>
    </w:p>
    <w:p w14:paraId="79E679CB" w14:textId="77777777" w:rsidR="00596BC3" w:rsidRPr="003B0912" w:rsidRDefault="003B0912">
      <w:pPr>
        <w:jc w:val="right"/>
        <w:rPr>
          <w:color w:val="FFFFFF"/>
          <w:sz w:val="2"/>
          <w:szCs w:val="2"/>
          <w:rtl/>
        </w:rPr>
      </w:pPr>
      <w:r w:rsidRPr="003B091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4786"/>
      </w:tblGrid>
      <w:tr w:rsidR="00596BC3" w14:paraId="0E8FC8AA" w14:textId="77777777">
        <w:trPr>
          <w:trHeight w:val="364"/>
          <w:jc w:val="right"/>
        </w:trPr>
        <w:tc>
          <w:tcPr>
            <w:tcW w:w="4786" w:type="dxa"/>
          </w:tcPr>
          <w:p w14:paraId="19DB5CC1" w14:textId="77777777" w:rsidR="00596BC3" w:rsidRPr="003B0912" w:rsidRDefault="003B0912">
            <w:pPr>
              <w:jc w:val="center"/>
              <w:rPr>
                <w:rFonts w:ascii="Times New Roman" w:eastAsia="Times New Roman" w:hAnsi="Times New Roman" w:cs="Times New Roman"/>
                <w:color w:val="FFFFFF"/>
                <w:sz w:val="2"/>
                <w:szCs w:val="2"/>
              </w:rPr>
            </w:pPr>
            <w:r w:rsidRPr="003B0912">
              <w:rPr>
                <w:rFonts w:ascii="Times New Roman" w:eastAsia="Times New Roman" w:hAnsi="Times New Roman" w:cs="Times New Roman"/>
                <w:color w:val="FFFFFF"/>
                <w:sz w:val="2"/>
                <w:szCs w:val="2"/>
                <w:rtl/>
              </w:rPr>
              <w:t>54678313</w:t>
            </w:r>
          </w:p>
          <w:p w14:paraId="0F822345" w14:textId="77777777" w:rsidR="00596BC3" w:rsidRDefault="00596BC3">
            <w:pPr>
              <w:jc w:val="center"/>
              <w:rPr>
                <w:rFonts w:ascii="Times New Roman" w:eastAsia="Times New Roman" w:hAnsi="Times New Roman" w:cs="Times New Roman"/>
                <w:rtl/>
              </w:rPr>
            </w:pPr>
          </w:p>
        </w:tc>
      </w:tr>
      <w:tr w:rsidR="00596BC3" w14:paraId="31135E94" w14:textId="77777777">
        <w:trPr>
          <w:trHeight w:val="415"/>
          <w:jc w:val="right"/>
        </w:trPr>
        <w:tc>
          <w:tcPr>
            <w:tcW w:w="4786" w:type="dxa"/>
          </w:tcPr>
          <w:p w14:paraId="3D11D6E2" w14:textId="77777777" w:rsidR="00596BC3" w:rsidRDefault="003B0912">
            <w:pPr>
              <w:jc w:val="center"/>
              <w:rPr>
                <w:rFonts w:ascii="Times New Roman" w:eastAsia="Times New Roman" w:hAnsi="Times New Roman"/>
                <w:rtl/>
              </w:rPr>
            </w:pPr>
            <w:r>
              <w:rPr>
                <w:rFonts w:ascii="Times New Roman" w:eastAsia="Times New Roman" w:hAnsi="Times New Roman" w:hint="cs"/>
                <w:b/>
                <w:bCs/>
                <w:rtl/>
              </w:rPr>
              <w:t>כב' השופטת</w:t>
            </w:r>
            <w:r>
              <w:rPr>
                <w:rFonts w:ascii="Times New Roman" w:eastAsia="Times New Roman" w:hAnsi="Times New Roman"/>
                <w:rtl/>
              </w:rPr>
              <w:t xml:space="preserve"> </w:t>
            </w:r>
            <w:r>
              <w:rPr>
                <w:rFonts w:ascii="Times New Roman" w:eastAsia="Times New Roman" w:hAnsi="Times New Roman" w:hint="cs"/>
                <w:rtl/>
              </w:rPr>
              <w:t>רונית</w:t>
            </w:r>
            <w:r>
              <w:rPr>
                <w:rFonts w:ascii="Times New Roman" w:eastAsia="Times New Roman" w:hAnsi="Times New Roman" w:hint="cs"/>
                <w:b/>
                <w:bCs/>
                <w:rtl/>
              </w:rPr>
              <w:t xml:space="preserve"> </w:t>
            </w:r>
            <w:r>
              <w:rPr>
                <w:rFonts w:ascii="Times New Roman" w:eastAsia="Times New Roman" w:hAnsi="Times New Roman" w:hint="cs"/>
                <w:rtl/>
              </w:rPr>
              <w:t>בש</w:t>
            </w:r>
          </w:p>
          <w:p w14:paraId="706D6D9F" w14:textId="77777777" w:rsidR="00596BC3" w:rsidRDefault="003B0912">
            <w:pPr>
              <w:jc w:val="center"/>
              <w:rPr>
                <w:rFonts w:ascii="Times New Roman" w:eastAsia="Times New Roman" w:hAnsi="Times New Roman"/>
                <w:b/>
                <w:bCs/>
                <w:rtl/>
              </w:rPr>
            </w:pPr>
            <w:r>
              <w:rPr>
                <w:rFonts w:ascii="Times New Roman" w:eastAsia="Times New Roman" w:hAnsi="Times New Roman" w:hint="cs"/>
                <w:b/>
                <w:bCs/>
                <w:rtl/>
              </w:rPr>
              <w:t xml:space="preserve"> </w:t>
            </w:r>
            <w:r>
              <w:rPr>
                <w:rFonts w:ascii="Times New Roman" w:eastAsia="Times New Roman" w:hAnsi="Times New Roman" w:hint="cs"/>
                <w:rtl/>
              </w:rPr>
              <w:t>סגנית נשיא</w:t>
            </w:r>
          </w:p>
        </w:tc>
      </w:tr>
    </w:tbl>
    <w:p w14:paraId="4F202A4F" w14:textId="77777777" w:rsidR="00596BC3" w:rsidRDefault="00596BC3">
      <w:pPr>
        <w:jc w:val="right"/>
        <w:rPr>
          <w:rtl/>
        </w:rPr>
      </w:pPr>
    </w:p>
    <w:p w14:paraId="2003EAAC" w14:textId="77777777" w:rsidR="00596BC3" w:rsidRDefault="00596BC3">
      <w:pPr>
        <w:jc w:val="center"/>
        <w:rPr>
          <w:rtl/>
        </w:rPr>
      </w:pPr>
    </w:p>
    <w:p w14:paraId="514E9762" w14:textId="77777777" w:rsidR="00596BC3" w:rsidRDefault="00596BC3">
      <w:pPr>
        <w:jc w:val="center"/>
        <w:rPr>
          <w:rtl/>
        </w:rPr>
      </w:pPr>
    </w:p>
    <w:p w14:paraId="4F126EB5" w14:textId="77777777" w:rsidR="00596BC3" w:rsidRPr="001A5757" w:rsidRDefault="001A5757">
      <w:pPr>
        <w:jc w:val="both"/>
        <w:rPr>
          <w:color w:val="FFFFFF"/>
          <w:sz w:val="2"/>
          <w:szCs w:val="2"/>
          <w:rtl/>
        </w:rPr>
      </w:pPr>
      <w:r w:rsidRPr="001A5757">
        <w:rPr>
          <w:color w:val="FFFFFF"/>
          <w:sz w:val="2"/>
          <w:szCs w:val="2"/>
          <w:rtl/>
        </w:rPr>
        <w:t>5129371</w:t>
      </w:r>
      <w:r w:rsidR="003B0912" w:rsidRPr="001A5757">
        <w:rPr>
          <w:color w:val="FFFFFF"/>
          <w:sz w:val="2"/>
          <w:szCs w:val="2"/>
          <w:rtl/>
        </w:rPr>
        <w:t xml:space="preserve"> </w:t>
      </w:r>
    </w:p>
    <w:p w14:paraId="112DE302" w14:textId="77777777" w:rsidR="003B0912" w:rsidRPr="001A5757" w:rsidRDefault="001A5757" w:rsidP="003B0912">
      <w:pPr>
        <w:keepNext/>
        <w:rPr>
          <w:color w:val="FFFFFF"/>
          <w:sz w:val="2"/>
          <w:szCs w:val="2"/>
          <w:rtl/>
        </w:rPr>
      </w:pPr>
      <w:r w:rsidRPr="001A5757">
        <w:rPr>
          <w:color w:val="FFFFFF"/>
          <w:sz w:val="2"/>
          <w:szCs w:val="2"/>
          <w:rtl/>
        </w:rPr>
        <w:t>54678313</w:t>
      </w:r>
    </w:p>
    <w:p w14:paraId="286A819E" w14:textId="77777777" w:rsidR="003B0912" w:rsidRDefault="003B0912" w:rsidP="003B0912">
      <w:pPr>
        <w:rPr>
          <w:rtl/>
        </w:rPr>
      </w:pPr>
    </w:p>
    <w:p w14:paraId="18FB6597" w14:textId="77777777" w:rsidR="003B0912" w:rsidRDefault="003B0912" w:rsidP="003B0912">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7F750780" w14:textId="77777777" w:rsidR="001A5757" w:rsidRPr="001A5757" w:rsidRDefault="001A5757" w:rsidP="001A5757">
      <w:pPr>
        <w:keepNext/>
        <w:rPr>
          <w:color w:val="000000"/>
          <w:sz w:val="22"/>
          <w:szCs w:val="22"/>
          <w:rtl/>
        </w:rPr>
      </w:pPr>
    </w:p>
    <w:p w14:paraId="47ADBBCD" w14:textId="77777777" w:rsidR="001A5757" w:rsidRPr="001A5757" w:rsidRDefault="001A5757" w:rsidP="001A5757">
      <w:pPr>
        <w:keepNext/>
        <w:rPr>
          <w:color w:val="000000"/>
          <w:sz w:val="22"/>
          <w:szCs w:val="22"/>
          <w:rtl/>
        </w:rPr>
      </w:pPr>
      <w:r w:rsidRPr="001A5757">
        <w:rPr>
          <w:color w:val="000000"/>
          <w:sz w:val="22"/>
          <w:szCs w:val="22"/>
          <w:rtl/>
        </w:rPr>
        <w:t>רונית בש 54678313-/</w:t>
      </w:r>
    </w:p>
    <w:p w14:paraId="6F0A7C84" w14:textId="77777777" w:rsidR="00596BC3" w:rsidRPr="003B0912" w:rsidRDefault="001A5757" w:rsidP="001A5757">
      <w:pPr>
        <w:rPr>
          <w:color w:val="0000FF"/>
          <w:u w:val="single"/>
        </w:rPr>
      </w:pPr>
      <w:r w:rsidRPr="001A5757">
        <w:rPr>
          <w:color w:val="000000"/>
          <w:u w:val="single"/>
          <w:rtl/>
        </w:rPr>
        <w:t>נוסח מסמך זה כפוף לשינויי ניסוח ועריכה</w:t>
      </w:r>
    </w:p>
    <w:sectPr w:rsidR="00596BC3" w:rsidRPr="003B0912" w:rsidSect="001A5757">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BB8EA" w14:textId="77777777" w:rsidR="00F07B90" w:rsidRPr="00C44246" w:rsidRDefault="00F07B90">
      <w:pPr>
        <w:rPr>
          <w:rFonts w:cs="Arial"/>
          <w:szCs w:val="20"/>
        </w:rPr>
      </w:pPr>
      <w:r>
        <w:separator/>
      </w:r>
    </w:p>
  </w:endnote>
  <w:endnote w:type="continuationSeparator" w:id="0">
    <w:p w14:paraId="1D232BFC" w14:textId="77777777" w:rsidR="00F07B90" w:rsidRPr="00C44246" w:rsidRDefault="00F07B9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99198" w14:textId="77777777" w:rsidR="001A5757" w:rsidRDefault="001A5757" w:rsidP="001A57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DB3278C" w14:textId="77777777" w:rsidR="00596BC3" w:rsidRPr="001A5757" w:rsidRDefault="001A5757" w:rsidP="001A5757">
    <w:pPr>
      <w:pStyle w:val="a4"/>
      <w:pBdr>
        <w:top w:val="single" w:sz="4" w:space="1" w:color="auto"/>
        <w:between w:val="single" w:sz="4" w:space="0" w:color="auto"/>
      </w:pBdr>
      <w:spacing w:after="60"/>
      <w:jc w:val="center"/>
      <w:rPr>
        <w:rFonts w:ascii="FrankRuehl" w:hAnsi="FrankRuehl" w:cs="FrankRuehl"/>
        <w:color w:val="000000"/>
      </w:rPr>
    </w:pPr>
    <w:r w:rsidRPr="001A57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E4DDA" w14:textId="77777777" w:rsidR="001A5757" w:rsidRDefault="001A5757" w:rsidP="001A57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CD71BE" w14:textId="77777777" w:rsidR="00596BC3" w:rsidRPr="001A5757" w:rsidRDefault="001A5757" w:rsidP="001A5757">
    <w:pPr>
      <w:pStyle w:val="a4"/>
      <w:pBdr>
        <w:top w:val="single" w:sz="4" w:space="1" w:color="auto"/>
        <w:between w:val="single" w:sz="4" w:space="0" w:color="auto"/>
      </w:pBdr>
      <w:spacing w:after="60"/>
      <w:jc w:val="center"/>
      <w:rPr>
        <w:rFonts w:ascii="FrankRuehl" w:hAnsi="FrankRuehl" w:cs="FrankRuehl"/>
        <w:color w:val="000000"/>
      </w:rPr>
    </w:pPr>
    <w:r w:rsidRPr="001A5757">
      <w:rPr>
        <w:rFonts w:ascii="FrankRuehl" w:hAnsi="FrankRuehl" w:cs="FrankRuehl"/>
        <w:color w:val="000000"/>
      </w:rPr>
      <w:pict w14:anchorId="27351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1ABD6" w14:textId="77777777" w:rsidR="00F07B90" w:rsidRPr="00C44246" w:rsidRDefault="00F07B90">
      <w:pPr>
        <w:rPr>
          <w:rFonts w:cs="Arial"/>
          <w:szCs w:val="20"/>
        </w:rPr>
      </w:pPr>
      <w:r>
        <w:separator/>
      </w:r>
    </w:p>
  </w:footnote>
  <w:footnote w:type="continuationSeparator" w:id="0">
    <w:p w14:paraId="08461B91" w14:textId="77777777" w:rsidR="00F07B90" w:rsidRPr="00C44246" w:rsidRDefault="00F07B9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4A128" w14:textId="77777777" w:rsidR="003B0912" w:rsidRPr="001A5757" w:rsidRDefault="001A5757" w:rsidP="001A575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30312-03-12</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D7A2A" w14:textId="77777777" w:rsidR="003B0912" w:rsidRPr="001A5757" w:rsidRDefault="001A5757" w:rsidP="001A575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30312-03-12</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6BC3"/>
    <w:rsid w:val="00102B7F"/>
    <w:rsid w:val="001A5757"/>
    <w:rsid w:val="003B0912"/>
    <w:rsid w:val="004033DE"/>
    <w:rsid w:val="00596BC3"/>
    <w:rsid w:val="00931EDE"/>
    <w:rsid w:val="00EA6AE9"/>
    <w:rsid w:val="00ED7C4F"/>
    <w:rsid w:val="00F07B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61C2D4"/>
  <w15:chartTrackingRefBased/>
  <w15:docId w15:val="{96F73ECB-A973-40D7-9FA0-82C636EB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6BC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96BC3"/>
    <w:pPr>
      <w:tabs>
        <w:tab w:val="center" w:pos="4153"/>
        <w:tab w:val="right" w:pos="8306"/>
      </w:tabs>
    </w:pPr>
  </w:style>
  <w:style w:type="paragraph" w:styleId="a4">
    <w:name w:val="footer"/>
    <w:basedOn w:val="a"/>
    <w:rsid w:val="00596BC3"/>
    <w:pPr>
      <w:tabs>
        <w:tab w:val="center" w:pos="4153"/>
        <w:tab w:val="right" w:pos="8306"/>
      </w:tabs>
    </w:pPr>
  </w:style>
  <w:style w:type="character" w:styleId="a5">
    <w:name w:val="page number"/>
    <w:basedOn w:val="a0"/>
    <w:rsid w:val="00596BC3"/>
  </w:style>
  <w:style w:type="character" w:customStyle="1" w:styleId="TimesNewRomanTimesNewRoman">
    <w:name w:val="סגנון (לטיני) Times New Roman (עברית ושפות אחרות) Times New Roman..."/>
    <w:basedOn w:val="a0"/>
    <w:rsid w:val="00596BC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96BC3"/>
    <w:rPr>
      <w:rFonts w:ascii="Times New Roman" w:eastAsia="Times New Roman" w:hAnsi="Times New Roman"/>
      <w:b/>
      <w:bCs/>
      <w:u w:val="single"/>
    </w:rPr>
  </w:style>
  <w:style w:type="character" w:styleId="a6">
    <w:name w:val="line number"/>
    <w:basedOn w:val="a0"/>
    <w:rsid w:val="00596BC3"/>
  </w:style>
  <w:style w:type="character" w:styleId="Hyperlink">
    <w:name w:val="Hyperlink"/>
    <w:basedOn w:val="a0"/>
    <w:rsid w:val="003B0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yperlink" Target="http://www.nevo.co.il/law_html/law01/073_002.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html/law01/P170_001.htm" TargetMode="External"/><Relationship Id="rId4" Type="http://schemas.openxmlformats.org/officeDocument/2006/relationships/footnotes" Target="footnotes.xml"/><Relationship Id="rId9" Type="http://schemas.openxmlformats.org/officeDocument/2006/relationships/hyperlink" Target="http://www.nevo.co.il/law_html/law01/073_002.ht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2734</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3932214</vt:i4>
      </vt:variant>
      <vt:variant>
        <vt:i4>15</vt:i4>
      </vt:variant>
      <vt:variant>
        <vt:i4>0</vt:i4>
      </vt:variant>
      <vt:variant>
        <vt:i4>5</vt:i4>
      </vt:variant>
      <vt:variant>
        <vt:lpwstr>http://www.nevo.co.il/law_html/law01/073_002.htm</vt:lpwstr>
      </vt:variant>
      <vt:variant>
        <vt:lpwstr/>
      </vt:variant>
      <vt:variant>
        <vt:i4>4849756</vt:i4>
      </vt:variant>
      <vt:variant>
        <vt:i4>12</vt:i4>
      </vt:variant>
      <vt:variant>
        <vt:i4>0</vt:i4>
      </vt:variant>
      <vt:variant>
        <vt:i4>5</vt:i4>
      </vt:variant>
      <vt:variant>
        <vt:lpwstr>http://www.nevo.co.il/law_html/law01/P170_001.htm</vt:lpwstr>
      </vt:variant>
      <vt:variant>
        <vt:lpwstr/>
      </vt:variant>
      <vt:variant>
        <vt:i4>3932214</vt:i4>
      </vt:variant>
      <vt:variant>
        <vt:i4>9</vt:i4>
      </vt:variant>
      <vt:variant>
        <vt:i4>0</vt:i4>
      </vt:variant>
      <vt:variant>
        <vt:i4>5</vt:i4>
      </vt:variant>
      <vt:variant>
        <vt:lpwstr>http://www.nevo.co.il/law_html/law01/073_002.htm</vt:lpwstr>
      </vt:variant>
      <vt:variant>
        <vt:lpwstr/>
      </vt:variant>
      <vt:variant>
        <vt:i4>3932214</vt:i4>
      </vt:variant>
      <vt:variant>
        <vt:i4>6</vt:i4>
      </vt:variant>
      <vt:variant>
        <vt:i4>0</vt:i4>
      </vt:variant>
      <vt:variant>
        <vt:i4>5</vt:i4>
      </vt:variant>
      <vt:variant>
        <vt:lpwstr>http://www.nevo.co.il/law_html/law01/073_002.htm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30312</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גל ירדן</vt:lpwstr>
  </property>
  <property fmtid="{D5CDD505-2E9C-101B-9397-08002B2CF9AE}" pid="11" name="JUDGE">
    <vt:lpwstr>רונית בש</vt:lpwstr>
  </property>
  <property fmtid="{D5CDD505-2E9C-101B-9397-08002B2CF9AE}" pid="12" name="CITY">
    <vt:lpwstr>עכו</vt:lpwstr>
  </property>
  <property fmtid="{D5CDD505-2E9C-101B-9397-08002B2CF9AE}" pid="13" name="DATE">
    <vt:lpwstr>20131119</vt:lpwstr>
  </property>
  <property fmtid="{D5CDD505-2E9C-101B-9397-08002B2CF9AE}" pid="14" name="TYPE_N_DATE">
    <vt:lpwstr>38020131119</vt:lpwstr>
  </property>
  <property fmtid="{D5CDD505-2E9C-101B-9397-08002B2CF9AE}" pid="15" name="WORDNUMPAGES">
    <vt:lpwstr>2</vt:lpwstr>
  </property>
  <property fmtid="{D5CDD505-2E9C-101B-9397-08002B2CF9AE}" pid="16" name="TYPE_ABS_DATE">
    <vt:lpwstr>380020131119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