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828B9" w:rsidRPr="00030BDF" w14:paraId="406CD877" w14:textId="77777777">
        <w:trPr>
          <w:trHeight w:hRule="exact" w:val="418"/>
          <w:jc w:val="center"/>
        </w:trPr>
        <w:tc>
          <w:tcPr>
            <w:tcW w:w="8720" w:type="dxa"/>
            <w:gridSpan w:val="3"/>
          </w:tcPr>
          <w:p w14:paraId="75B874FC" w14:textId="77777777" w:rsidR="000828B9" w:rsidRPr="00030BDF" w:rsidRDefault="00030BDF">
            <w:pPr>
              <w:pStyle w:val="a3"/>
              <w:tabs>
                <w:tab w:val="clear" w:pos="8306"/>
              </w:tabs>
              <w:jc w:val="center"/>
              <w:rPr>
                <w:rFonts w:ascii="Tahoma" w:hAnsi="Tahoma" w:cs="Tahoma"/>
                <w:b/>
                <w:bCs/>
                <w:color w:val="000080"/>
                <w:sz w:val="20"/>
                <w:szCs w:val="20"/>
                <w:rtl/>
              </w:rPr>
            </w:pPr>
            <w:r w:rsidRPr="00030BDF">
              <w:rPr>
                <w:rFonts w:ascii="Tahoma" w:hAnsi="Tahoma" w:cs="Tahoma"/>
                <w:b/>
                <w:bCs/>
                <w:color w:val="000080"/>
                <w:sz w:val="20"/>
                <w:szCs w:val="20"/>
                <w:rtl/>
              </w:rPr>
              <w:t>בית משפט השלום בעכו</w:t>
            </w:r>
          </w:p>
        </w:tc>
      </w:tr>
      <w:tr w:rsidR="000828B9" w:rsidRPr="00030BDF" w14:paraId="16030836" w14:textId="77777777">
        <w:trPr>
          <w:trHeight w:val="337"/>
          <w:jc w:val="center"/>
        </w:trPr>
        <w:tc>
          <w:tcPr>
            <w:tcW w:w="6396" w:type="dxa"/>
          </w:tcPr>
          <w:p w14:paraId="2AB91CE2" w14:textId="77777777" w:rsidR="000828B9" w:rsidRPr="00030BDF" w:rsidRDefault="00030BDF">
            <w:pPr>
              <w:rPr>
                <w:b/>
                <w:bCs/>
                <w:sz w:val="26"/>
                <w:szCs w:val="26"/>
                <w:rtl/>
              </w:rPr>
            </w:pPr>
            <w:r w:rsidRPr="00030BDF">
              <w:rPr>
                <w:b/>
                <w:bCs/>
                <w:sz w:val="26"/>
                <w:szCs w:val="26"/>
                <w:rtl/>
              </w:rPr>
              <w:t>ת"פ</w:t>
            </w:r>
            <w:r w:rsidRPr="00030BDF">
              <w:rPr>
                <w:rFonts w:hint="cs"/>
                <w:b/>
                <w:bCs/>
                <w:sz w:val="26"/>
                <w:szCs w:val="26"/>
                <w:rtl/>
              </w:rPr>
              <w:t xml:space="preserve"> </w:t>
            </w:r>
            <w:r w:rsidRPr="00030BDF">
              <w:rPr>
                <w:b/>
                <w:bCs/>
                <w:sz w:val="26"/>
                <w:szCs w:val="26"/>
                <w:rtl/>
              </w:rPr>
              <w:t>26743-04-12</w:t>
            </w:r>
            <w:r w:rsidRPr="00030BDF">
              <w:rPr>
                <w:rFonts w:hint="cs"/>
                <w:b/>
                <w:bCs/>
                <w:sz w:val="26"/>
                <w:szCs w:val="26"/>
                <w:rtl/>
              </w:rPr>
              <w:t xml:space="preserve"> </w:t>
            </w:r>
            <w:r w:rsidRPr="00030BDF">
              <w:rPr>
                <w:b/>
                <w:bCs/>
                <w:sz w:val="26"/>
                <w:szCs w:val="26"/>
                <w:rtl/>
              </w:rPr>
              <w:t>מדינת ישראל נ' יאסין</w:t>
            </w:r>
          </w:p>
          <w:p w14:paraId="1A95C0CD" w14:textId="77777777" w:rsidR="000828B9" w:rsidRPr="00030BDF" w:rsidRDefault="000828B9">
            <w:pPr>
              <w:rPr>
                <w:b/>
                <w:bCs/>
                <w:sz w:val="26"/>
                <w:szCs w:val="26"/>
                <w:rtl/>
              </w:rPr>
            </w:pPr>
          </w:p>
        </w:tc>
        <w:tc>
          <w:tcPr>
            <w:tcW w:w="236" w:type="dxa"/>
          </w:tcPr>
          <w:p w14:paraId="7E1242DF" w14:textId="77777777" w:rsidR="000828B9" w:rsidRPr="00030BDF" w:rsidRDefault="000828B9">
            <w:pPr>
              <w:pStyle w:val="a3"/>
              <w:jc w:val="right"/>
              <w:rPr>
                <w:b/>
                <w:bCs/>
                <w:sz w:val="26"/>
                <w:szCs w:val="26"/>
                <w:rtl/>
              </w:rPr>
            </w:pPr>
          </w:p>
        </w:tc>
        <w:tc>
          <w:tcPr>
            <w:tcW w:w="2088" w:type="dxa"/>
          </w:tcPr>
          <w:p w14:paraId="1D9C7361" w14:textId="77777777" w:rsidR="000828B9" w:rsidRPr="00030BDF" w:rsidRDefault="00030BDF">
            <w:pPr>
              <w:pStyle w:val="a3"/>
              <w:tabs>
                <w:tab w:val="clear" w:pos="4153"/>
              </w:tabs>
              <w:jc w:val="right"/>
              <w:rPr>
                <w:b/>
                <w:bCs/>
                <w:sz w:val="26"/>
                <w:szCs w:val="26"/>
                <w:rtl/>
              </w:rPr>
            </w:pPr>
            <w:r w:rsidRPr="00030BDF">
              <w:rPr>
                <w:b/>
                <w:bCs/>
                <w:sz w:val="26"/>
                <w:szCs w:val="26"/>
                <w:rtl/>
              </w:rPr>
              <w:t>18 דצמבר 2013</w:t>
            </w:r>
          </w:p>
        </w:tc>
      </w:tr>
    </w:tbl>
    <w:p w14:paraId="0D5ECD65" w14:textId="77777777" w:rsidR="000828B9" w:rsidRPr="00030BDF" w:rsidRDefault="000828B9">
      <w:pPr>
        <w:pStyle w:val="a3"/>
        <w:jc w:val="center"/>
        <w:rPr>
          <w:rFonts w:ascii="Tahoma" w:hAnsi="Tahoma" w:cs="Tahoma"/>
          <w:b/>
          <w:bCs/>
          <w:color w:val="000080"/>
          <w:sz w:val="20"/>
          <w:szCs w:val="20"/>
          <w:rtl/>
        </w:rPr>
      </w:pPr>
    </w:p>
    <w:p w14:paraId="08FA6400" w14:textId="77777777" w:rsidR="000828B9" w:rsidRPr="00030BDF" w:rsidRDefault="000828B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0828B9" w:rsidRPr="00030BDF" w14:paraId="575B723D" w14:textId="77777777">
        <w:trPr>
          <w:gridAfter w:val="1"/>
          <w:wAfter w:w="55" w:type="dxa"/>
        </w:trPr>
        <w:tc>
          <w:tcPr>
            <w:tcW w:w="8719" w:type="dxa"/>
            <w:gridSpan w:val="2"/>
          </w:tcPr>
          <w:p w14:paraId="08DB1258" w14:textId="77777777" w:rsidR="000828B9" w:rsidRPr="00030BDF" w:rsidRDefault="00030BDF">
            <w:pPr>
              <w:spacing w:line="360" w:lineRule="auto"/>
              <w:jc w:val="both"/>
              <w:rPr>
                <w:rFonts w:ascii="Times New Roman" w:eastAsia="Times New Roman" w:hAnsi="Times New Roman"/>
                <w:b/>
                <w:bCs/>
                <w:sz w:val="26"/>
                <w:szCs w:val="26"/>
                <w:rtl/>
              </w:rPr>
            </w:pPr>
            <w:r w:rsidRPr="00030BDF">
              <w:rPr>
                <w:rFonts w:ascii="Times New Roman" w:eastAsia="Times New Roman" w:hAnsi="Times New Roman" w:hint="cs"/>
                <w:b/>
                <w:bCs/>
                <w:sz w:val="26"/>
                <w:szCs w:val="26"/>
                <w:rtl/>
              </w:rPr>
              <w:t>בפני כב' השופטת רונית בש</w:t>
            </w:r>
            <w:r w:rsidRPr="00030BDF">
              <w:rPr>
                <w:rFonts w:ascii="Times New Roman" w:eastAsia="Times New Roman" w:hAnsi="Times New Roman" w:cs="Times New Roman" w:hint="cs"/>
                <w:rtl/>
              </w:rPr>
              <w:t>,</w:t>
            </w:r>
            <w:r w:rsidRPr="00030BDF">
              <w:rPr>
                <w:rStyle w:val="TimesNewRomanTimesNewRoman"/>
                <w:rFonts w:eastAsia="Times New Roman" w:hint="cs"/>
                <w:rtl/>
              </w:rPr>
              <w:t xml:space="preserve"> סגנית נשיא</w:t>
            </w:r>
            <w:r w:rsidRPr="00030BDF">
              <w:rPr>
                <w:rStyle w:val="TimesNewRomanTimesNewRoman"/>
                <w:rFonts w:eastAsia="Times New Roman"/>
                <w:rtl/>
              </w:rPr>
              <w:t xml:space="preserve">  </w:t>
            </w:r>
          </w:p>
        </w:tc>
      </w:tr>
      <w:tr w:rsidR="000828B9" w:rsidRPr="00030BDF" w14:paraId="7A775E61" w14:textId="77777777">
        <w:tc>
          <w:tcPr>
            <w:tcW w:w="2880" w:type="dxa"/>
          </w:tcPr>
          <w:p w14:paraId="6A3A77CF" w14:textId="77777777" w:rsidR="000828B9" w:rsidRPr="00030BDF" w:rsidRDefault="00030BDF">
            <w:pPr>
              <w:ind w:left="26"/>
              <w:rPr>
                <w:rFonts w:ascii="Times New Roman" w:eastAsia="Times New Roman" w:hAnsi="Times New Roman"/>
                <w:b/>
                <w:bCs/>
                <w:sz w:val="26"/>
                <w:szCs w:val="26"/>
                <w:rtl/>
              </w:rPr>
            </w:pPr>
            <w:bookmarkStart w:id="0" w:name="FirstAppellant"/>
            <w:bookmarkStart w:id="1" w:name="LastJudge"/>
            <w:bookmarkEnd w:id="1"/>
            <w:r w:rsidRPr="00030BDF">
              <w:rPr>
                <w:rFonts w:ascii="Times New Roman" w:eastAsia="Times New Roman" w:hAnsi="Times New Roman" w:hint="cs"/>
                <w:b/>
                <w:bCs/>
                <w:sz w:val="26"/>
                <w:szCs w:val="26"/>
                <w:rtl/>
              </w:rPr>
              <w:t>ה</w:t>
            </w:r>
            <w:r w:rsidRPr="00030BDF">
              <w:rPr>
                <w:rFonts w:ascii="Times New Roman" w:eastAsia="Times New Roman" w:hAnsi="Times New Roman" w:hint="cs"/>
                <w:rtl/>
              </w:rPr>
              <w:t>מאשימה</w:t>
            </w:r>
          </w:p>
        </w:tc>
        <w:tc>
          <w:tcPr>
            <w:tcW w:w="5922" w:type="dxa"/>
            <w:gridSpan w:val="2"/>
          </w:tcPr>
          <w:p w14:paraId="60131E62" w14:textId="77777777" w:rsidR="000828B9" w:rsidRPr="00030BDF" w:rsidRDefault="00030BDF">
            <w:pPr>
              <w:rPr>
                <w:rFonts w:ascii="Times New Roman" w:eastAsia="Times New Roman" w:hAnsi="Times New Roman"/>
                <w:b/>
                <w:bCs/>
                <w:sz w:val="26"/>
                <w:szCs w:val="26"/>
                <w:rtl/>
              </w:rPr>
            </w:pPr>
            <w:r w:rsidRPr="00030BDF">
              <w:rPr>
                <w:rFonts w:ascii="Times New Roman" w:eastAsia="Times New Roman" w:hAnsi="Times New Roman" w:hint="cs"/>
                <w:rtl/>
              </w:rPr>
              <w:t>מדינת ישראל</w:t>
            </w:r>
          </w:p>
          <w:p w14:paraId="58817BCD" w14:textId="77777777" w:rsidR="000828B9" w:rsidRPr="00030BDF" w:rsidRDefault="000828B9">
            <w:pPr>
              <w:rPr>
                <w:rFonts w:ascii="Times New Roman" w:eastAsia="Times New Roman" w:hAnsi="Times New Roman"/>
                <w:b/>
                <w:bCs/>
                <w:sz w:val="26"/>
                <w:szCs w:val="26"/>
                <w:rtl/>
              </w:rPr>
            </w:pPr>
          </w:p>
        </w:tc>
      </w:tr>
      <w:bookmarkEnd w:id="0"/>
      <w:tr w:rsidR="000828B9" w:rsidRPr="00030BDF" w14:paraId="514B101C" w14:textId="77777777">
        <w:tc>
          <w:tcPr>
            <w:tcW w:w="8802" w:type="dxa"/>
            <w:gridSpan w:val="3"/>
          </w:tcPr>
          <w:p w14:paraId="506CB98E" w14:textId="77777777" w:rsidR="000828B9" w:rsidRPr="00030BDF" w:rsidRDefault="000828B9">
            <w:pPr>
              <w:jc w:val="both"/>
              <w:rPr>
                <w:rFonts w:ascii="Arial" w:eastAsia="Times New Roman" w:hAnsi="Arial"/>
                <w:b/>
                <w:bCs/>
                <w:sz w:val="26"/>
                <w:szCs w:val="26"/>
                <w:rtl/>
              </w:rPr>
            </w:pPr>
          </w:p>
          <w:p w14:paraId="76176269" w14:textId="77777777" w:rsidR="000828B9" w:rsidRPr="00030BDF" w:rsidRDefault="00030BDF">
            <w:pPr>
              <w:jc w:val="center"/>
              <w:rPr>
                <w:rFonts w:ascii="Arial" w:eastAsia="Times New Roman" w:hAnsi="Arial"/>
                <w:b/>
                <w:bCs/>
                <w:sz w:val="26"/>
                <w:szCs w:val="26"/>
                <w:rtl/>
              </w:rPr>
            </w:pPr>
            <w:r w:rsidRPr="00030BDF">
              <w:rPr>
                <w:rFonts w:ascii="Arial" w:eastAsia="Times New Roman" w:hAnsi="Arial"/>
                <w:b/>
                <w:bCs/>
                <w:sz w:val="26"/>
                <w:szCs w:val="26"/>
                <w:rtl/>
              </w:rPr>
              <w:t>נגד</w:t>
            </w:r>
          </w:p>
          <w:p w14:paraId="7A275093" w14:textId="77777777" w:rsidR="000828B9" w:rsidRPr="00030BDF" w:rsidRDefault="000828B9">
            <w:pPr>
              <w:jc w:val="center"/>
              <w:rPr>
                <w:rFonts w:ascii="Arial" w:eastAsia="Times New Roman" w:hAnsi="Arial"/>
                <w:b/>
                <w:bCs/>
                <w:sz w:val="26"/>
                <w:szCs w:val="26"/>
              </w:rPr>
            </w:pPr>
          </w:p>
        </w:tc>
      </w:tr>
      <w:tr w:rsidR="000828B9" w:rsidRPr="00030BDF" w14:paraId="6A7A208B" w14:textId="77777777">
        <w:tc>
          <w:tcPr>
            <w:tcW w:w="2880" w:type="dxa"/>
          </w:tcPr>
          <w:p w14:paraId="47B5F3FD" w14:textId="77777777" w:rsidR="000828B9" w:rsidRPr="00030BDF" w:rsidRDefault="00030BDF">
            <w:pPr>
              <w:ind w:left="26"/>
              <w:rPr>
                <w:rFonts w:ascii="Times New Roman" w:eastAsia="Times New Roman" w:hAnsi="Times New Roman"/>
                <w:b/>
                <w:bCs/>
                <w:sz w:val="26"/>
                <w:szCs w:val="26"/>
                <w:rtl/>
              </w:rPr>
            </w:pPr>
            <w:r w:rsidRPr="00030BDF">
              <w:rPr>
                <w:rFonts w:ascii="Times New Roman" w:eastAsia="Times New Roman" w:hAnsi="Times New Roman" w:hint="cs"/>
                <w:b/>
                <w:bCs/>
                <w:sz w:val="26"/>
                <w:szCs w:val="26"/>
                <w:rtl/>
              </w:rPr>
              <w:t>ה</w:t>
            </w:r>
            <w:r w:rsidRPr="00030BDF">
              <w:rPr>
                <w:rFonts w:ascii="Times New Roman" w:eastAsia="Times New Roman" w:hAnsi="Times New Roman" w:hint="cs"/>
                <w:rtl/>
              </w:rPr>
              <w:t>נאשם</w:t>
            </w:r>
          </w:p>
        </w:tc>
        <w:tc>
          <w:tcPr>
            <w:tcW w:w="5922" w:type="dxa"/>
            <w:gridSpan w:val="2"/>
          </w:tcPr>
          <w:p w14:paraId="2A5E0761" w14:textId="77777777" w:rsidR="000828B9" w:rsidRPr="00030BDF" w:rsidRDefault="00030BDF">
            <w:pPr>
              <w:rPr>
                <w:rFonts w:ascii="Times New Roman" w:eastAsia="Times New Roman" w:hAnsi="Times New Roman"/>
                <w:b/>
                <w:bCs/>
                <w:sz w:val="26"/>
                <w:szCs w:val="26"/>
                <w:rtl/>
              </w:rPr>
            </w:pPr>
            <w:r w:rsidRPr="00030BDF">
              <w:rPr>
                <w:rFonts w:ascii="Times New Roman" w:eastAsia="Times New Roman" w:hAnsi="Times New Roman" w:hint="cs"/>
                <w:rtl/>
              </w:rPr>
              <w:t>סאבר יאסין</w:t>
            </w:r>
          </w:p>
          <w:p w14:paraId="744DDF3D" w14:textId="77777777" w:rsidR="000828B9" w:rsidRPr="00030BDF" w:rsidRDefault="000828B9">
            <w:pPr>
              <w:rPr>
                <w:rFonts w:ascii="Times New Roman" w:eastAsia="Times New Roman" w:hAnsi="Times New Roman"/>
                <w:b/>
                <w:bCs/>
                <w:sz w:val="26"/>
                <w:szCs w:val="26"/>
                <w:rtl/>
              </w:rPr>
            </w:pPr>
          </w:p>
        </w:tc>
      </w:tr>
    </w:tbl>
    <w:p w14:paraId="6A3F5839" w14:textId="77777777" w:rsidR="000828B9" w:rsidRPr="00030BDF" w:rsidRDefault="00030BDF">
      <w:pPr>
        <w:spacing w:line="360" w:lineRule="auto"/>
        <w:jc w:val="both"/>
        <w:rPr>
          <w:sz w:val="6"/>
          <w:szCs w:val="6"/>
          <w:rtl/>
        </w:rPr>
      </w:pPr>
      <w:r w:rsidRPr="00030BDF">
        <w:rPr>
          <w:sz w:val="6"/>
          <w:szCs w:val="6"/>
          <w:rtl/>
        </w:rPr>
        <w:t>&lt;#2#&gt;</w:t>
      </w:r>
    </w:p>
    <w:p w14:paraId="1B2879D8" w14:textId="77777777" w:rsidR="000828B9" w:rsidRPr="00030BDF" w:rsidRDefault="00030BDF">
      <w:pPr>
        <w:pStyle w:val="12"/>
        <w:rPr>
          <w:u w:val="none"/>
          <w:rtl/>
        </w:rPr>
      </w:pPr>
      <w:r w:rsidRPr="00030BDF">
        <w:rPr>
          <w:rFonts w:hint="cs"/>
          <w:u w:val="none"/>
          <w:rtl/>
        </w:rPr>
        <w:t>נוכחים:</w:t>
      </w:r>
    </w:p>
    <w:p w14:paraId="7AD725F6" w14:textId="77777777" w:rsidR="000828B9" w:rsidRPr="00030BDF" w:rsidRDefault="00030BDF">
      <w:pPr>
        <w:pStyle w:val="12"/>
        <w:rPr>
          <w:b w:val="0"/>
          <w:bCs w:val="0"/>
          <w:u w:val="none"/>
          <w:rtl/>
        </w:rPr>
      </w:pPr>
      <w:bookmarkStart w:id="2" w:name="FirstLawyer"/>
      <w:r w:rsidRPr="00030BDF">
        <w:rPr>
          <w:rFonts w:hint="cs"/>
          <w:b w:val="0"/>
          <w:bCs w:val="0"/>
          <w:u w:val="none"/>
          <w:rtl/>
        </w:rPr>
        <w:t>ב"כ</w:t>
      </w:r>
      <w:bookmarkEnd w:id="2"/>
      <w:r w:rsidRPr="00030BDF">
        <w:rPr>
          <w:rFonts w:hint="cs"/>
          <w:b w:val="0"/>
          <w:bCs w:val="0"/>
          <w:u w:val="none"/>
          <w:rtl/>
        </w:rPr>
        <w:t xml:space="preserve"> המאשימה- עו"ד נעמה סולומון </w:t>
      </w:r>
    </w:p>
    <w:p w14:paraId="2AD84E0C" w14:textId="77777777" w:rsidR="000828B9" w:rsidRPr="00030BDF" w:rsidRDefault="00030BDF">
      <w:pPr>
        <w:pStyle w:val="12"/>
        <w:rPr>
          <w:b w:val="0"/>
          <w:bCs w:val="0"/>
          <w:u w:val="none"/>
          <w:rtl/>
        </w:rPr>
      </w:pPr>
      <w:r w:rsidRPr="00030BDF">
        <w:rPr>
          <w:rFonts w:hint="cs"/>
          <w:b w:val="0"/>
          <w:bCs w:val="0"/>
          <w:u w:val="none"/>
          <w:rtl/>
        </w:rPr>
        <w:t xml:space="preserve">הנאשם </w:t>
      </w:r>
      <w:r w:rsidRPr="00030BDF">
        <w:rPr>
          <w:b w:val="0"/>
          <w:bCs w:val="0"/>
          <w:u w:val="none"/>
          <w:rtl/>
        </w:rPr>
        <w:t>–</w:t>
      </w:r>
      <w:r w:rsidRPr="00030BDF">
        <w:rPr>
          <w:rFonts w:hint="cs"/>
          <w:b w:val="0"/>
          <w:bCs w:val="0"/>
          <w:u w:val="none"/>
          <w:rtl/>
        </w:rPr>
        <w:t xml:space="preserve"> נוכח</w:t>
      </w:r>
    </w:p>
    <w:p w14:paraId="4736E99E" w14:textId="77777777" w:rsidR="000828B9" w:rsidRPr="00030BDF" w:rsidRDefault="00030BDF">
      <w:pPr>
        <w:pStyle w:val="12"/>
        <w:rPr>
          <w:b w:val="0"/>
          <w:bCs w:val="0"/>
          <w:u w:val="none"/>
          <w:rtl/>
        </w:rPr>
      </w:pPr>
      <w:r w:rsidRPr="00030BDF">
        <w:rPr>
          <w:rFonts w:hint="cs"/>
          <w:b w:val="0"/>
          <w:bCs w:val="0"/>
          <w:u w:val="none"/>
          <w:rtl/>
        </w:rPr>
        <w:t xml:space="preserve">הסנגור </w:t>
      </w:r>
      <w:r w:rsidRPr="00030BDF">
        <w:rPr>
          <w:b w:val="0"/>
          <w:bCs w:val="0"/>
          <w:u w:val="none"/>
          <w:rtl/>
        </w:rPr>
        <w:t>–</w:t>
      </w:r>
      <w:r w:rsidRPr="00030BDF">
        <w:rPr>
          <w:rFonts w:hint="cs"/>
          <w:b w:val="0"/>
          <w:bCs w:val="0"/>
          <w:u w:val="none"/>
          <w:rtl/>
        </w:rPr>
        <w:t xml:space="preserve"> עו"ד פאדי שרקאווי</w:t>
      </w:r>
    </w:p>
    <w:p w14:paraId="20AD2246" w14:textId="77777777" w:rsidR="000828B9" w:rsidRPr="00030BDF" w:rsidRDefault="00030BDF">
      <w:pPr>
        <w:pStyle w:val="12"/>
        <w:rPr>
          <w:b w:val="0"/>
          <w:bCs w:val="0"/>
          <w:u w:val="none"/>
          <w:rtl/>
        </w:rPr>
      </w:pPr>
      <w:r w:rsidRPr="00030BDF">
        <w:rPr>
          <w:rFonts w:hint="cs"/>
          <w:b w:val="0"/>
          <w:bCs w:val="0"/>
          <w:u w:val="none"/>
          <w:rtl/>
        </w:rPr>
        <w:t>ק.המבחן, הגב' מנאל אבו שרקי</w:t>
      </w:r>
    </w:p>
    <w:p w14:paraId="2D08A309" w14:textId="77777777" w:rsidR="0012347D" w:rsidRDefault="0012347D">
      <w:pPr>
        <w:spacing w:line="360" w:lineRule="auto"/>
        <w:jc w:val="center"/>
        <w:rPr>
          <w:rFonts w:ascii="Arial" w:hAnsi="Arial"/>
          <w:color w:val="FF0000"/>
          <w:sz w:val="28"/>
          <w:rtl/>
        </w:rPr>
      </w:pPr>
      <w:bookmarkStart w:id="3" w:name="LawTable"/>
    </w:p>
    <w:p w14:paraId="3F634E4F" w14:textId="77777777" w:rsidR="0012347D" w:rsidRPr="0012347D" w:rsidRDefault="0012347D" w:rsidP="0012347D">
      <w:pPr>
        <w:spacing w:after="120" w:line="240" w:lineRule="exact"/>
        <w:ind w:left="283" w:hanging="283"/>
        <w:jc w:val="both"/>
        <w:rPr>
          <w:rFonts w:ascii="FrankRuehl" w:hAnsi="FrankRuehl" w:cs="FrankRuehl"/>
          <w:color w:val="FF0000"/>
          <w:rtl/>
        </w:rPr>
      </w:pPr>
      <w:r w:rsidRPr="0012347D">
        <w:rPr>
          <w:rFonts w:ascii="FrankRuehl" w:hAnsi="FrankRuehl" w:cs="FrankRuehl"/>
          <w:color w:val="FF0000"/>
          <w:rtl/>
        </w:rPr>
        <w:t xml:space="preserve">חקיקה שאוזכרה: </w:t>
      </w:r>
    </w:p>
    <w:p w14:paraId="5FC015D2" w14:textId="77777777" w:rsidR="0012347D" w:rsidRPr="0012347D" w:rsidRDefault="0012347D" w:rsidP="0012347D">
      <w:pPr>
        <w:spacing w:after="120" w:line="240" w:lineRule="exact"/>
        <w:ind w:left="283" w:hanging="283"/>
        <w:jc w:val="both"/>
        <w:rPr>
          <w:rFonts w:ascii="FrankRuehl" w:hAnsi="FrankRuehl" w:cs="FrankRuehl"/>
          <w:rtl/>
        </w:rPr>
      </w:pPr>
      <w:hyperlink r:id="rId6" w:history="1">
        <w:r w:rsidRPr="0012347D">
          <w:rPr>
            <w:rFonts w:ascii="FrankRuehl" w:hAnsi="FrankRuehl" w:cs="FrankRuehl"/>
            <w:color w:val="0000FF"/>
            <w:u w:val="single"/>
            <w:rtl/>
          </w:rPr>
          <w:t>פקודת הסמים המסוכנים [נוסח חדש], תשל"ג-1973</w:t>
        </w:r>
      </w:hyperlink>
      <w:r w:rsidRPr="0012347D">
        <w:rPr>
          <w:rFonts w:ascii="FrankRuehl" w:hAnsi="FrankRuehl" w:cs="FrankRuehl"/>
          <w:rtl/>
        </w:rPr>
        <w:t xml:space="preserve"> סע'  </w:t>
      </w:r>
      <w:hyperlink r:id="rId7" w:history="1">
        <w:r w:rsidRPr="0012347D">
          <w:rPr>
            <w:rFonts w:ascii="FrankRuehl" w:hAnsi="FrankRuehl" w:cs="FrankRuehl"/>
            <w:color w:val="0000FF"/>
            <w:u w:val="single"/>
            <w:rtl/>
          </w:rPr>
          <w:t>7 (א)</w:t>
        </w:r>
      </w:hyperlink>
      <w:r w:rsidRPr="0012347D">
        <w:rPr>
          <w:rFonts w:ascii="FrankRuehl" w:hAnsi="FrankRuehl" w:cs="FrankRuehl"/>
          <w:rtl/>
        </w:rPr>
        <w:t xml:space="preserve">, </w:t>
      </w:r>
      <w:hyperlink r:id="rId8" w:history="1">
        <w:r w:rsidRPr="0012347D">
          <w:rPr>
            <w:rFonts w:ascii="FrankRuehl" w:hAnsi="FrankRuehl" w:cs="FrankRuehl"/>
            <w:color w:val="0000FF"/>
            <w:u w:val="single"/>
            <w:rtl/>
          </w:rPr>
          <w:t>(ג)</w:t>
        </w:r>
      </w:hyperlink>
    </w:p>
    <w:p w14:paraId="6712136C" w14:textId="77777777" w:rsidR="0012347D" w:rsidRPr="0012347D" w:rsidRDefault="0012347D">
      <w:pPr>
        <w:spacing w:line="360" w:lineRule="auto"/>
        <w:jc w:val="center"/>
        <w:rPr>
          <w:rFonts w:ascii="Arial" w:hAnsi="Arial"/>
          <w:b/>
          <w:color w:val="FF0000"/>
          <w:sz w:val="28"/>
          <w:rtl/>
        </w:rPr>
      </w:pPr>
      <w:bookmarkStart w:id="4" w:name="LawTable_End"/>
      <w:bookmarkEnd w:id="4"/>
    </w:p>
    <w:bookmarkEnd w:id="3"/>
    <w:p w14:paraId="3B7FF2EC" w14:textId="77777777" w:rsidR="000828B9" w:rsidRPr="00030BDF" w:rsidRDefault="00030BDF">
      <w:pPr>
        <w:spacing w:line="360" w:lineRule="auto"/>
        <w:jc w:val="center"/>
        <w:rPr>
          <w:rFonts w:ascii="Arial" w:hAnsi="Arial"/>
          <w:b/>
          <w:bCs/>
          <w:sz w:val="28"/>
          <w:szCs w:val="28"/>
          <w:rtl/>
        </w:rPr>
      </w:pPr>
      <w:r w:rsidRPr="00030BDF">
        <w:rPr>
          <w:rFonts w:ascii="Arial" w:hAnsi="Arial"/>
          <w:b/>
          <w:color w:val="FF0000"/>
          <w:sz w:val="28"/>
          <w:rtl/>
        </w:rPr>
        <w:t>במסמך זה הושמטו פרוטוקולים</w:t>
      </w:r>
    </w:p>
    <w:p w14:paraId="369715A9" w14:textId="77777777" w:rsidR="00030BDF" w:rsidRPr="00030BDF" w:rsidRDefault="00030BDF">
      <w:pPr>
        <w:spacing w:line="360" w:lineRule="auto"/>
        <w:jc w:val="center"/>
        <w:rPr>
          <w:rFonts w:ascii="Arial" w:hAnsi="Arial"/>
          <w:b/>
          <w:bCs/>
          <w:sz w:val="28"/>
          <w:szCs w:val="28"/>
          <w:rtl/>
        </w:rPr>
      </w:pPr>
    </w:p>
    <w:p w14:paraId="5D26CAA3" w14:textId="77777777" w:rsidR="00030BDF" w:rsidRPr="00030BDF" w:rsidRDefault="00030BDF" w:rsidP="00030BDF">
      <w:pPr>
        <w:spacing w:line="360" w:lineRule="auto"/>
        <w:jc w:val="center"/>
        <w:rPr>
          <w:rFonts w:ascii="Arial" w:hAnsi="Arial"/>
          <w:b/>
          <w:bCs/>
          <w:sz w:val="28"/>
          <w:szCs w:val="28"/>
          <w:u w:val="single"/>
          <w:rtl/>
        </w:rPr>
      </w:pPr>
      <w:bookmarkStart w:id="5" w:name="PsakDin"/>
      <w:r w:rsidRPr="00030BDF">
        <w:rPr>
          <w:rFonts w:ascii="Arial" w:hAnsi="Arial"/>
          <w:b/>
          <w:bCs/>
          <w:sz w:val="28"/>
          <w:szCs w:val="28"/>
          <w:u w:val="single"/>
          <w:rtl/>
        </w:rPr>
        <w:t>גזר דין</w:t>
      </w:r>
    </w:p>
    <w:p w14:paraId="3438ABAD" w14:textId="77777777" w:rsidR="000828B9" w:rsidRDefault="00030BDF">
      <w:pPr>
        <w:spacing w:line="360" w:lineRule="auto"/>
        <w:jc w:val="both"/>
        <w:rPr>
          <w:rtl/>
        </w:rPr>
      </w:pPr>
      <w:bookmarkStart w:id="6" w:name="ABSTRACT_START"/>
      <w:bookmarkEnd w:id="5"/>
      <w:bookmarkEnd w:id="6"/>
      <w:r>
        <w:rPr>
          <w:rFonts w:hint="cs"/>
          <w:sz w:val="28"/>
          <w:rtl/>
        </w:rPr>
        <w:t xml:space="preserve">הנאשם הורשע בעבירה של </w:t>
      </w:r>
      <w:r>
        <w:rPr>
          <w:rFonts w:hint="cs"/>
          <w:rtl/>
        </w:rPr>
        <w:t xml:space="preserve">החזקת סם מסוכן לצריכה עצמית, לפי </w:t>
      </w:r>
      <w:hyperlink r:id="rId9" w:history="1">
        <w:r w:rsidR="0012347D" w:rsidRPr="0012347D">
          <w:rPr>
            <w:color w:val="0000FF"/>
            <w:u w:val="single"/>
            <w:rtl/>
          </w:rPr>
          <w:t>סעיף 7 (א)</w:t>
        </w:r>
      </w:hyperlink>
      <w:r>
        <w:rPr>
          <w:rFonts w:hint="cs"/>
          <w:rtl/>
        </w:rPr>
        <w:t xml:space="preserve"> + </w:t>
      </w:r>
      <w:hyperlink r:id="rId10" w:history="1">
        <w:r w:rsidR="0012347D" w:rsidRPr="0012347D">
          <w:rPr>
            <w:color w:val="0000FF"/>
            <w:u w:val="single"/>
            <w:rtl/>
          </w:rPr>
          <w:t>(ג)</w:t>
        </w:r>
      </w:hyperlink>
      <w:r>
        <w:rPr>
          <w:rFonts w:hint="cs"/>
          <w:rtl/>
        </w:rPr>
        <w:t xml:space="preserve"> סיפא ל</w:t>
      </w:r>
      <w:hyperlink r:id="rId11" w:history="1">
        <w:r w:rsidRPr="00030BDF">
          <w:rPr>
            <w:color w:val="0000FF"/>
            <w:u w:val="single"/>
            <w:rtl/>
          </w:rPr>
          <w:t>פקודת הסמים המסוכנים</w:t>
        </w:r>
      </w:hyperlink>
      <w:r>
        <w:rPr>
          <w:rFonts w:hint="cs"/>
          <w:rtl/>
        </w:rPr>
        <w:t xml:space="preserve"> [נוסח חדש], תשל"ג - 1973. </w:t>
      </w:r>
    </w:p>
    <w:p w14:paraId="7D1EEB3A" w14:textId="77777777" w:rsidR="000828B9" w:rsidRDefault="000828B9">
      <w:pPr>
        <w:spacing w:line="360" w:lineRule="auto"/>
        <w:jc w:val="both"/>
        <w:rPr>
          <w:sz w:val="28"/>
          <w:rtl/>
        </w:rPr>
      </w:pPr>
      <w:bookmarkStart w:id="7" w:name="ABSTRACT_END"/>
      <w:bookmarkEnd w:id="7"/>
    </w:p>
    <w:p w14:paraId="2633190B" w14:textId="77777777" w:rsidR="000828B9" w:rsidRDefault="00030BDF">
      <w:pPr>
        <w:spacing w:line="360" w:lineRule="auto"/>
        <w:jc w:val="both"/>
        <w:rPr>
          <w:sz w:val="28"/>
          <w:rtl/>
        </w:rPr>
      </w:pPr>
      <w:r>
        <w:rPr>
          <w:rFonts w:hint="cs"/>
          <w:sz w:val="28"/>
          <w:rtl/>
        </w:rPr>
        <w:t xml:space="preserve">הנאשם הודה בהזדמנות הראשונה. </w:t>
      </w:r>
    </w:p>
    <w:p w14:paraId="11546FF9" w14:textId="77777777" w:rsidR="000828B9" w:rsidRDefault="000828B9">
      <w:pPr>
        <w:spacing w:line="360" w:lineRule="auto"/>
        <w:jc w:val="both"/>
        <w:rPr>
          <w:sz w:val="28"/>
          <w:rtl/>
        </w:rPr>
      </w:pPr>
    </w:p>
    <w:p w14:paraId="6F58670A" w14:textId="77777777" w:rsidR="000828B9" w:rsidRDefault="00030BDF">
      <w:pPr>
        <w:spacing w:line="360" w:lineRule="auto"/>
        <w:jc w:val="both"/>
        <w:rPr>
          <w:sz w:val="28"/>
          <w:rtl/>
        </w:rPr>
      </w:pPr>
      <w:r>
        <w:rPr>
          <w:rFonts w:hint="cs"/>
          <w:sz w:val="28"/>
          <w:rtl/>
        </w:rPr>
        <w:t xml:space="preserve">בהתחשב באמור לעיל, בהתחשב בתמונה המצטיירת מתסקיר שרות המבחן לגבי שיקומו של הנאשם, אשר היה מכור לסמים, ולאחר ששקלתי את טיעוני ב"כ הצדדים בפניי,  כמו גם את מהות העבירה בה הורשע הנאשם, הנני מחליטה לאמץ את הסדר הטיעון אשר אינו נוגד את תקנת הציבור והינו עומד במתחם הסבירות. </w:t>
      </w:r>
    </w:p>
    <w:p w14:paraId="2D75E4B1" w14:textId="77777777" w:rsidR="000828B9" w:rsidRDefault="000828B9">
      <w:pPr>
        <w:spacing w:line="360" w:lineRule="auto"/>
        <w:jc w:val="both"/>
        <w:rPr>
          <w:sz w:val="28"/>
          <w:rtl/>
        </w:rPr>
      </w:pPr>
    </w:p>
    <w:p w14:paraId="1ED33019" w14:textId="77777777" w:rsidR="000828B9" w:rsidRDefault="00030BDF">
      <w:pPr>
        <w:spacing w:line="360" w:lineRule="auto"/>
        <w:jc w:val="both"/>
        <w:rPr>
          <w:sz w:val="28"/>
          <w:rtl/>
        </w:rPr>
      </w:pPr>
      <w:r>
        <w:rPr>
          <w:rFonts w:hint="cs"/>
          <w:sz w:val="28"/>
          <w:rtl/>
        </w:rPr>
        <w:t>הנני מורה על הארכת (חידוש) המאסר על תנאי בן ה-4 חודשים שהושת על הנאשם ב</w:t>
      </w:r>
      <w:hyperlink r:id="rId12" w:history="1">
        <w:r w:rsidRPr="00030BDF">
          <w:rPr>
            <w:color w:val="0000FF"/>
            <w:sz w:val="28"/>
            <w:u w:val="single"/>
            <w:rtl/>
          </w:rPr>
          <w:t>ת.פ.</w:t>
        </w:r>
        <w:r w:rsidRPr="00030BDF">
          <w:rPr>
            <w:color w:val="0000FF"/>
            <w:sz w:val="28"/>
            <w:u w:val="single"/>
            <w:rtl/>
          </w:rPr>
          <w:cr/>
          <w:t xml:space="preserve"> 14751-01-09</w:t>
        </w:r>
      </w:hyperlink>
      <w:r>
        <w:rPr>
          <w:rFonts w:hint="cs"/>
          <w:sz w:val="28"/>
          <w:rtl/>
        </w:rPr>
        <w:t xml:space="preserve">, זאת לשנתיים. </w:t>
      </w:r>
    </w:p>
    <w:p w14:paraId="26E8E1BC" w14:textId="77777777" w:rsidR="000828B9" w:rsidRDefault="000828B9">
      <w:pPr>
        <w:spacing w:line="360" w:lineRule="auto"/>
        <w:jc w:val="both"/>
        <w:rPr>
          <w:sz w:val="28"/>
          <w:rtl/>
        </w:rPr>
      </w:pPr>
    </w:p>
    <w:p w14:paraId="4F28BB0B" w14:textId="77777777" w:rsidR="000828B9" w:rsidRDefault="00030BDF">
      <w:pPr>
        <w:spacing w:line="360" w:lineRule="auto"/>
        <w:jc w:val="both"/>
        <w:rPr>
          <w:sz w:val="28"/>
          <w:rtl/>
        </w:rPr>
      </w:pPr>
      <w:r>
        <w:rPr>
          <w:rFonts w:hint="cs"/>
          <w:sz w:val="28"/>
          <w:rtl/>
        </w:rPr>
        <w:t xml:space="preserve">כמו כן, אני דנה את הנאשם לתשלום קנס בסך    500 ש"ח או     5   ימי מאסר. </w:t>
      </w:r>
    </w:p>
    <w:p w14:paraId="689C755A" w14:textId="77777777" w:rsidR="000828B9" w:rsidRDefault="000828B9">
      <w:pPr>
        <w:spacing w:line="360" w:lineRule="auto"/>
        <w:jc w:val="both"/>
        <w:rPr>
          <w:sz w:val="28"/>
          <w:rtl/>
        </w:rPr>
      </w:pPr>
    </w:p>
    <w:p w14:paraId="554EEE29" w14:textId="77777777" w:rsidR="000828B9" w:rsidRDefault="00030BDF">
      <w:pPr>
        <w:spacing w:line="360" w:lineRule="auto"/>
        <w:jc w:val="both"/>
        <w:rPr>
          <w:sz w:val="28"/>
          <w:rtl/>
        </w:rPr>
      </w:pPr>
      <w:r>
        <w:rPr>
          <w:rFonts w:hint="cs"/>
          <w:sz w:val="28"/>
          <w:rtl/>
        </w:rPr>
        <w:t xml:space="preserve">הקנס ישולם ב -  2   תשלומים חודשיים רצופים ושווים בסך 250 ₪ כל אחד, החל מיום 19/1/14 ואילך. </w:t>
      </w:r>
    </w:p>
    <w:p w14:paraId="50138D62" w14:textId="77777777" w:rsidR="000828B9" w:rsidRDefault="000828B9">
      <w:pPr>
        <w:spacing w:line="360" w:lineRule="auto"/>
        <w:jc w:val="both"/>
        <w:rPr>
          <w:sz w:val="28"/>
          <w:rtl/>
        </w:rPr>
      </w:pPr>
    </w:p>
    <w:p w14:paraId="1923D76C" w14:textId="77777777" w:rsidR="000828B9" w:rsidRDefault="00030BDF">
      <w:pPr>
        <w:spacing w:line="360" w:lineRule="auto"/>
        <w:jc w:val="both"/>
        <w:rPr>
          <w:sz w:val="28"/>
          <w:rtl/>
        </w:rPr>
      </w:pPr>
      <w:r>
        <w:rPr>
          <w:rFonts w:hint="cs"/>
          <w:sz w:val="28"/>
          <w:rtl/>
        </w:rPr>
        <w:t xml:space="preserve">בד בבד, הנני מטילה על הנאשם צו מבחן למשך 12 חודש, כמבוקש וכמתואר בתסקיר שרות המבחן. </w:t>
      </w:r>
    </w:p>
    <w:p w14:paraId="0F0C1684" w14:textId="77777777" w:rsidR="000828B9" w:rsidRDefault="000828B9">
      <w:pPr>
        <w:spacing w:line="360" w:lineRule="auto"/>
        <w:jc w:val="both"/>
        <w:rPr>
          <w:sz w:val="28"/>
          <w:rtl/>
        </w:rPr>
      </w:pPr>
    </w:p>
    <w:p w14:paraId="5DC875FB" w14:textId="77777777" w:rsidR="000828B9" w:rsidRDefault="00030BDF">
      <w:pPr>
        <w:spacing w:line="360" w:lineRule="auto"/>
        <w:jc w:val="both"/>
        <w:rPr>
          <w:sz w:val="28"/>
          <w:rtl/>
        </w:rPr>
      </w:pPr>
      <w:r>
        <w:rPr>
          <w:rFonts w:hint="cs"/>
          <w:sz w:val="28"/>
          <w:rtl/>
        </w:rPr>
        <w:t xml:space="preserve">הריני להזהיר את הנאשם כי במידה ויפר הנאשם את צו המבחן, או יבצע עבירה נוספת בתקופת המבחן והצו יופקע, יהיה צפוי לגזירת דינו מחדש בהתאם. </w:t>
      </w:r>
    </w:p>
    <w:p w14:paraId="6E630894" w14:textId="77777777" w:rsidR="000828B9" w:rsidRDefault="000828B9">
      <w:pPr>
        <w:spacing w:line="360" w:lineRule="auto"/>
        <w:jc w:val="both"/>
        <w:rPr>
          <w:sz w:val="28"/>
          <w:rtl/>
        </w:rPr>
      </w:pPr>
    </w:p>
    <w:p w14:paraId="684D1345" w14:textId="77777777" w:rsidR="000828B9" w:rsidRDefault="00030BDF">
      <w:pPr>
        <w:spacing w:line="360" w:lineRule="auto"/>
        <w:jc w:val="both"/>
        <w:rPr>
          <w:b/>
          <w:bCs/>
          <w:sz w:val="28"/>
          <w:u w:val="single"/>
          <w:rtl/>
        </w:rPr>
      </w:pPr>
      <w:r>
        <w:rPr>
          <w:rFonts w:hint="cs"/>
          <w:b/>
          <w:bCs/>
          <w:sz w:val="28"/>
          <w:u w:val="single"/>
          <w:rtl/>
        </w:rPr>
        <w:t xml:space="preserve">הנני מורה על פסילת הנאשם מלקבל ולהחזיק רישיון נהיגה לתקופה של 6 חודשים. </w:t>
      </w:r>
    </w:p>
    <w:p w14:paraId="6FE9217E" w14:textId="77777777" w:rsidR="000828B9" w:rsidRDefault="000828B9">
      <w:pPr>
        <w:spacing w:line="360" w:lineRule="auto"/>
        <w:jc w:val="both"/>
        <w:rPr>
          <w:sz w:val="28"/>
          <w:rtl/>
        </w:rPr>
      </w:pPr>
    </w:p>
    <w:p w14:paraId="5DB6E066" w14:textId="77777777" w:rsidR="000828B9" w:rsidRDefault="00030BDF">
      <w:pPr>
        <w:spacing w:line="360" w:lineRule="auto"/>
        <w:jc w:val="both"/>
        <w:rPr>
          <w:b/>
          <w:bCs/>
          <w:sz w:val="28"/>
          <w:u w:val="single"/>
          <w:rtl/>
        </w:rPr>
      </w:pPr>
      <w:r>
        <w:rPr>
          <w:rFonts w:hint="cs"/>
          <w:b/>
          <w:bCs/>
          <w:sz w:val="28"/>
          <w:u w:val="single"/>
          <w:rtl/>
        </w:rPr>
        <w:t xml:space="preserve">הנאשם יפקיד את רישיון הנהיגה שלו במזכירות ביהמ"ש עד לשעה 11:00 היום. </w:t>
      </w:r>
    </w:p>
    <w:p w14:paraId="4BCB8C2F" w14:textId="77777777" w:rsidR="000828B9" w:rsidRDefault="000828B9">
      <w:pPr>
        <w:spacing w:line="360" w:lineRule="auto"/>
        <w:jc w:val="both"/>
        <w:rPr>
          <w:sz w:val="28"/>
          <w:rtl/>
        </w:rPr>
      </w:pPr>
    </w:p>
    <w:p w14:paraId="5ACDCCD3" w14:textId="77777777" w:rsidR="000828B9" w:rsidRDefault="00030BDF">
      <w:pPr>
        <w:spacing w:line="360" w:lineRule="auto"/>
        <w:jc w:val="both"/>
        <w:rPr>
          <w:sz w:val="28"/>
          <w:rtl/>
        </w:rPr>
      </w:pPr>
      <w:r>
        <w:rPr>
          <w:rFonts w:hint="cs"/>
          <w:sz w:val="28"/>
          <w:rtl/>
        </w:rPr>
        <w:t xml:space="preserve">ניתן בזה צו להשמדת המוצג- סמים. </w:t>
      </w:r>
    </w:p>
    <w:p w14:paraId="2437AE1E" w14:textId="77777777" w:rsidR="000828B9" w:rsidRDefault="000828B9">
      <w:pPr>
        <w:spacing w:line="360" w:lineRule="auto"/>
        <w:jc w:val="both"/>
        <w:rPr>
          <w:sz w:val="28"/>
          <w:rtl/>
        </w:rPr>
      </w:pPr>
    </w:p>
    <w:p w14:paraId="071F8B38" w14:textId="77777777" w:rsidR="000828B9" w:rsidRDefault="00030BDF">
      <w:pPr>
        <w:spacing w:line="360" w:lineRule="auto"/>
        <w:jc w:val="both"/>
        <w:rPr>
          <w:b/>
          <w:bCs/>
          <w:sz w:val="28"/>
        </w:rPr>
      </w:pPr>
      <w:r>
        <w:rPr>
          <w:rFonts w:hint="cs"/>
          <w:b/>
          <w:bCs/>
          <w:sz w:val="28"/>
          <w:rtl/>
        </w:rPr>
        <w:t xml:space="preserve">זכות ערעור תוך 45 יום. </w:t>
      </w:r>
    </w:p>
    <w:p w14:paraId="602CA069" w14:textId="77777777" w:rsidR="000828B9" w:rsidRDefault="00030BDF">
      <w:pPr>
        <w:spacing w:line="360" w:lineRule="auto"/>
        <w:jc w:val="both"/>
        <w:rPr>
          <w:sz w:val="6"/>
          <w:szCs w:val="6"/>
          <w:rtl/>
        </w:rPr>
      </w:pPr>
      <w:bookmarkStart w:id="8" w:name="_GoBack"/>
      <w:bookmarkEnd w:id="8"/>
      <w:r>
        <w:rPr>
          <w:sz w:val="6"/>
          <w:szCs w:val="6"/>
          <w:rtl/>
        </w:rPr>
        <w:t>&lt;#4#&gt;</w:t>
      </w:r>
    </w:p>
    <w:p w14:paraId="2B12B769" w14:textId="77777777" w:rsidR="000828B9" w:rsidRDefault="00030BDF">
      <w:pPr>
        <w:jc w:val="right"/>
        <w:rPr>
          <w:rtl/>
        </w:rPr>
      </w:pPr>
      <w:r w:rsidRPr="00030BDF">
        <w:rPr>
          <w:b/>
          <w:bCs/>
          <w:color w:val="FFFFFF"/>
          <w:sz w:val="2"/>
          <w:szCs w:val="2"/>
          <w:rtl/>
        </w:rPr>
        <w:t>5129371</w:t>
      </w:r>
      <w:r>
        <w:rPr>
          <w:b/>
          <w:bCs/>
          <w:rtl/>
        </w:rPr>
        <w:t xml:space="preserve">ניתנה והודעה היום ט"ו טבת תשע"ד, 18/12/2013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0828B9" w14:paraId="59159D60" w14:textId="77777777">
        <w:trPr>
          <w:trHeight w:val="364"/>
          <w:jc w:val="right"/>
        </w:trPr>
        <w:tc>
          <w:tcPr>
            <w:tcW w:w="4786" w:type="dxa"/>
          </w:tcPr>
          <w:p w14:paraId="0812F3C4" w14:textId="77777777" w:rsidR="000828B9" w:rsidRPr="00030BDF" w:rsidRDefault="00030BDF">
            <w:pPr>
              <w:jc w:val="center"/>
              <w:rPr>
                <w:rFonts w:ascii="Times New Roman" w:eastAsia="Times New Roman" w:hAnsi="Times New Roman" w:cs="Times New Roman"/>
                <w:color w:val="FFFFFF"/>
                <w:sz w:val="2"/>
                <w:szCs w:val="2"/>
              </w:rPr>
            </w:pPr>
            <w:r w:rsidRPr="00030BDF">
              <w:rPr>
                <w:rFonts w:ascii="Times New Roman" w:eastAsia="Times New Roman" w:hAnsi="Times New Roman" w:cs="Times New Roman"/>
                <w:color w:val="FFFFFF"/>
                <w:sz w:val="2"/>
                <w:szCs w:val="2"/>
                <w:rtl/>
              </w:rPr>
              <w:t>54678313</w:t>
            </w:r>
          </w:p>
          <w:p w14:paraId="5A1E57A8" w14:textId="77777777" w:rsidR="000828B9" w:rsidRDefault="000828B9">
            <w:pPr>
              <w:jc w:val="center"/>
              <w:rPr>
                <w:rFonts w:ascii="Times New Roman" w:eastAsia="Times New Roman" w:hAnsi="Times New Roman" w:cs="Times New Roman"/>
                <w:rtl/>
              </w:rPr>
            </w:pPr>
          </w:p>
        </w:tc>
      </w:tr>
      <w:tr w:rsidR="000828B9" w14:paraId="12F9D0CB" w14:textId="77777777">
        <w:trPr>
          <w:trHeight w:val="415"/>
          <w:jc w:val="right"/>
        </w:trPr>
        <w:tc>
          <w:tcPr>
            <w:tcW w:w="4786" w:type="dxa"/>
          </w:tcPr>
          <w:p w14:paraId="2D434172" w14:textId="77777777" w:rsidR="000828B9" w:rsidRDefault="00030BDF">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08327687" w14:textId="77777777" w:rsidR="000828B9" w:rsidRDefault="00030BDF">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14CBB49F" w14:textId="77777777" w:rsidR="000828B9" w:rsidRDefault="000828B9">
      <w:pPr>
        <w:jc w:val="right"/>
        <w:rPr>
          <w:rtl/>
        </w:rPr>
      </w:pPr>
    </w:p>
    <w:p w14:paraId="65DCE611" w14:textId="77777777" w:rsidR="000828B9" w:rsidRDefault="000828B9">
      <w:pPr>
        <w:jc w:val="center"/>
        <w:rPr>
          <w:rtl/>
        </w:rPr>
      </w:pPr>
    </w:p>
    <w:p w14:paraId="6672FDC1" w14:textId="77777777" w:rsidR="000828B9" w:rsidRDefault="000828B9">
      <w:pPr>
        <w:spacing w:line="360" w:lineRule="auto"/>
        <w:jc w:val="center"/>
        <w:rPr>
          <w:rtl/>
        </w:rPr>
      </w:pPr>
    </w:p>
    <w:p w14:paraId="647DBE50" w14:textId="77777777" w:rsidR="000828B9" w:rsidRDefault="00030BDF">
      <w:pPr>
        <w:spacing w:line="360" w:lineRule="auto"/>
        <w:jc w:val="both"/>
        <w:rPr>
          <w:rtl/>
        </w:rPr>
      </w:pPr>
      <w:r>
        <w:rPr>
          <w:rtl/>
        </w:rPr>
        <w:t xml:space="preserve"> </w:t>
      </w:r>
    </w:p>
    <w:p w14:paraId="46FADDCD" w14:textId="77777777" w:rsidR="00030BDF" w:rsidRPr="00030BDF" w:rsidRDefault="00030BDF" w:rsidP="00030BDF">
      <w:pPr>
        <w:keepNext/>
        <w:rPr>
          <w:color w:val="000000"/>
          <w:sz w:val="22"/>
          <w:szCs w:val="22"/>
          <w:rtl/>
        </w:rPr>
      </w:pPr>
    </w:p>
    <w:p w14:paraId="211BDA0A" w14:textId="77777777" w:rsidR="00030BDF" w:rsidRPr="00030BDF" w:rsidRDefault="00030BDF" w:rsidP="00030BDF">
      <w:pPr>
        <w:keepNext/>
        <w:rPr>
          <w:color w:val="000000"/>
          <w:sz w:val="22"/>
          <w:szCs w:val="22"/>
          <w:rtl/>
        </w:rPr>
      </w:pPr>
      <w:r w:rsidRPr="00030BDF">
        <w:rPr>
          <w:color w:val="000000"/>
          <w:sz w:val="22"/>
          <w:szCs w:val="22"/>
          <w:rtl/>
        </w:rPr>
        <w:t>רונית בש 54678313</w:t>
      </w:r>
    </w:p>
    <w:p w14:paraId="44887FEF" w14:textId="77777777" w:rsidR="00030BDF" w:rsidRDefault="00030BDF" w:rsidP="00030BDF">
      <w:r w:rsidRPr="00030BDF">
        <w:rPr>
          <w:color w:val="000000"/>
          <w:rtl/>
        </w:rPr>
        <w:t>נוסח מסמך זה כפוף לשינויי ניסוח ועריכה</w:t>
      </w:r>
    </w:p>
    <w:p w14:paraId="43A0C68C" w14:textId="77777777" w:rsidR="00030BDF" w:rsidRDefault="00030BDF" w:rsidP="00030BDF">
      <w:pPr>
        <w:rPr>
          <w:rtl/>
        </w:rPr>
      </w:pPr>
    </w:p>
    <w:p w14:paraId="09EDB0B8" w14:textId="77777777" w:rsidR="00030BDF" w:rsidRDefault="00030BDF" w:rsidP="00030BDF">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EA13DBC" w14:textId="77777777" w:rsidR="000828B9" w:rsidRPr="00030BDF" w:rsidRDefault="000828B9" w:rsidP="00030BDF">
      <w:pPr>
        <w:jc w:val="center"/>
        <w:rPr>
          <w:color w:val="0000FF"/>
          <w:u w:val="single"/>
        </w:rPr>
      </w:pPr>
    </w:p>
    <w:sectPr w:rsidR="000828B9" w:rsidRPr="00030BDF" w:rsidSect="00030BDF">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51CEA" w14:textId="77777777" w:rsidR="00116E27" w:rsidRPr="00F230F8" w:rsidRDefault="00116E27">
      <w:pPr>
        <w:rPr>
          <w:rFonts w:cs="Arial"/>
          <w:szCs w:val="20"/>
        </w:rPr>
      </w:pPr>
      <w:r>
        <w:separator/>
      </w:r>
    </w:p>
  </w:endnote>
  <w:endnote w:type="continuationSeparator" w:id="0">
    <w:p w14:paraId="507E8859" w14:textId="77777777" w:rsidR="00116E27" w:rsidRPr="00F230F8" w:rsidRDefault="00116E2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5ECDF" w14:textId="77777777" w:rsidR="00030BDF" w:rsidRDefault="00030BDF" w:rsidP="00030B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C7CEC2B" w14:textId="77777777" w:rsidR="000828B9" w:rsidRPr="00030BDF" w:rsidRDefault="00030BDF" w:rsidP="00030BDF">
    <w:pPr>
      <w:pStyle w:val="a4"/>
      <w:pBdr>
        <w:top w:val="single" w:sz="4" w:space="1" w:color="auto"/>
        <w:between w:val="single" w:sz="4" w:space="0" w:color="auto"/>
      </w:pBdr>
      <w:spacing w:after="60"/>
      <w:jc w:val="center"/>
      <w:rPr>
        <w:rFonts w:ascii="FrankRuehl" w:hAnsi="FrankRuehl" w:cs="FrankRuehl"/>
        <w:color w:val="000000"/>
      </w:rPr>
    </w:pPr>
    <w:r w:rsidRPr="00030B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005D" w14:textId="77777777" w:rsidR="00030BDF" w:rsidRDefault="00030BDF" w:rsidP="00030B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7496">
      <w:rPr>
        <w:rFonts w:ascii="FrankRuehl" w:hAnsi="FrankRuehl" w:cs="FrankRuehl"/>
        <w:noProof/>
        <w:rtl/>
      </w:rPr>
      <w:t>1</w:t>
    </w:r>
    <w:r>
      <w:rPr>
        <w:rFonts w:ascii="FrankRuehl" w:hAnsi="FrankRuehl" w:cs="FrankRuehl"/>
        <w:rtl/>
      </w:rPr>
      <w:fldChar w:fldCharType="end"/>
    </w:r>
  </w:p>
  <w:p w14:paraId="7AB5D7A2" w14:textId="77777777" w:rsidR="000828B9" w:rsidRPr="00030BDF" w:rsidRDefault="00030BDF" w:rsidP="00030BDF">
    <w:pPr>
      <w:pStyle w:val="a4"/>
      <w:pBdr>
        <w:top w:val="single" w:sz="4" w:space="1" w:color="auto"/>
        <w:between w:val="single" w:sz="4" w:space="0" w:color="auto"/>
      </w:pBdr>
      <w:spacing w:after="60"/>
      <w:jc w:val="center"/>
      <w:rPr>
        <w:rFonts w:ascii="FrankRuehl" w:hAnsi="FrankRuehl" w:cs="FrankRuehl"/>
        <w:color w:val="000000"/>
      </w:rPr>
    </w:pPr>
    <w:r w:rsidRPr="00030BDF">
      <w:rPr>
        <w:rFonts w:ascii="FrankRuehl" w:hAnsi="FrankRuehl" w:cs="FrankRuehl"/>
        <w:color w:val="000000"/>
      </w:rPr>
      <w:pict w14:anchorId="58E0A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BB083" w14:textId="77777777" w:rsidR="00116E27" w:rsidRPr="00F230F8" w:rsidRDefault="00116E27">
      <w:pPr>
        <w:rPr>
          <w:rFonts w:cs="Arial"/>
          <w:szCs w:val="20"/>
        </w:rPr>
      </w:pPr>
      <w:r>
        <w:separator/>
      </w:r>
    </w:p>
  </w:footnote>
  <w:footnote w:type="continuationSeparator" w:id="0">
    <w:p w14:paraId="00865912" w14:textId="77777777" w:rsidR="00116E27" w:rsidRPr="00F230F8" w:rsidRDefault="00116E2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6A8E5" w14:textId="77777777" w:rsidR="00030BDF" w:rsidRPr="00030BDF" w:rsidRDefault="00030BDF" w:rsidP="00030B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26743-04-12</w:t>
    </w:r>
    <w:r>
      <w:rPr>
        <w:color w:val="000000"/>
        <w:sz w:val="22"/>
        <w:szCs w:val="22"/>
        <w:rtl/>
      </w:rPr>
      <w:tab/>
      <w:t xml:space="preserve"> מדינת ישראל נ' סאבר יאסין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A092D" w14:textId="77777777" w:rsidR="00030BDF" w:rsidRPr="00030BDF" w:rsidRDefault="00030BDF" w:rsidP="00030B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26743-04-12</w:t>
    </w:r>
    <w:r>
      <w:rPr>
        <w:color w:val="000000"/>
        <w:sz w:val="22"/>
        <w:szCs w:val="22"/>
        <w:rtl/>
      </w:rPr>
      <w:tab/>
      <w:t xml:space="preserve"> מדינת ישראל נ' סאבר יאסין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28B9"/>
    <w:rsid w:val="00030BDF"/>
    <w:rsid w:val="000828B9"/>
    <w:rsid w:val="00116E27"/>
    <w:rsid w:val="0012347D"/>
    <w:rsid w:val="00821F97"/>
    <w:rsid w:val="00A87496"/>
    <w:rsid w:val="00C00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785C3A"/>
  <w15:chartTrackingRefBased/>
  <w15:docId w15:val="{C71A1B88-AABD-43C3-8482-CCB456E3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28B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28B9"/>
    <w:pPr>
      <w:tabs>
        <w:tab w:val="center" w:pos="4153"/>
        <w:tab w:val="right" w:pos="8306"/>
      </w:tabs>
    </w:pPr>
  </w:style>
  <w:style w:type="paragraph" w:styleId="a4">
    <w:name w:val="footer"/>
    <w:basedOn w:val="a"/>
    <w:rsid w:val="000828B9"/>
    <w:pPr>
      <w:tabs>
        <w:tab w:val="center" w:pos="4153"/>
        <w:tab w:val="right" w:pos="8306"/>
      </w:tabs>
    </w:pPr>
  </w:style>
  <w:style w:type="character" w:styleId="a5">
    <w:name w:val="page number"/>
    <w:basedOn w:val="a0"/>
    <w:rsid w:val="000828B9"/>
  </w:style>
  <w:style w:type="character" w:customStyle="1" w:styleId="TimesNewRomanTimesNewRoman">
    <w:name w:val="סגנון (לטיני) Times New Roman (עברית ושפות אחרות) Times New Roman..."/>
    <w:basedOn w:val="a0"/>
    <w:rsid w:val="000828B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828B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0828B9"/>
    <w:pPr>
      <w:spacing w:line="360" w:lineRule="auto"/>
      <w:jc w:val="both"/>
    </w:pPr>
    <w:rPr>
      <w:rFonts w:ascii="Times New Roman" w:eastAsia="Times New Roman" w:hAnsi="Times New Roman"/>
    </w:rPr>
  </w:style>
  <w:style w:type="character" w:styleId="a6">
    <w:name w:val="line number"/>
    <w:basedOn w:val="a0"/>
    <w:rsid w:val="000828B9"/>
  </w:style>
  <w:style w:type="character" w:styleId="Hyperlink">
    <w:name w:val="Hyperlink"/>
    <w:basedOn w:val="a0"/>
    <w:rsid w:val="00030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inks/psika/?NEWPROC=&#1514;&#1508;&amp;NEWPARTA=14751&amp;NEWPARTB=01&amp;NEWPARTC=09"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97715679</vt:i4>
      </vt:variant>
      <vt:variant>
        <vt:i4>18</vt:i4>
      </vt:variant>
      <vt:variant>
        <vt:i4>0</vt:i4>
      </vt:variant>
      <vt:variant>
        <vt:i4>5</vt:i4>
      </vt:variant>
      <vt:variant>
        <vt:lpwstr>http://www.nevo.co.il/links/psika/?NEWPROC=תפ&amp;NEWPARTA=14751&amp;NEWPARTB=01&amp;NEWPARTC=09</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26743</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סאבר יאסין</vt:lpwstr>
  </property>
  <property fmtid="{D5CDD505-2E9C-101B-9397-08002B2CF9AE}" pid="10" name="LAWYER">
    <vt:lpwstr>נעמה סולומון</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20131218</vt:lpwstr>
  </property>
  <property fmtid="{D5CDD505-2E9C-101B-9397-08002B2CF9AE}" pid="14" name="TYPE_N_DATE">
    <vt:lpwstr>38020131218</vt:lpwstr>
  </property>
  <property fmtid="{D5CDD505-2E9C-101B-9397-08002B2CF9AE}" pid="15" name="WORDNUMPAGES">
    <vt:lpwstr>2</vt:lpwstr>
  </property>
  <property fmtid="{D5CDD505-2E9C-101B-9397-08002B2CF9AE}" pid="16" name="TYPE_ABS_DATE">
    <vt:lpwstr>380020131218</vt:lpwstr>
  </property>
  <property fmtid="{D5CDD505-2E9C-101B-9397-08002B2CF9AE}" pid="17" name="ISABSTRACT">
    <vt:lpwstr>Y</vt:lpwstr>
  </property>
  <property fmtid="{D5CDD505-2E9C-101B-9397-08002B2CF9AE}" pid="18" name="LAWLISTTMP1">
    <vt:lpwstr>4216/007.a;007.c</vt:lpwstr>
  </property>
</Properties>
</file>