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8102C" w14:textId="77777777" w:rsidR="00E5520D" w:rsidRDefault="00E5520D" w:rsidP="00E55C53">
      <w:pPr>
        <w:pStyle w:val="a3"/>
        <w:rPr>
          <w:rtl/>
        </w:rPr>
      </w:pPr>
      <w:bookmarkStart w:id="0" w:name="LastJudge"/>
      <w:bookmarkStart w:id="1" w:name="LawTable"/>
      <w:bookmarkEnd w:id="1"/>
    </w:p>
    <w:tbl>
      <w:tblPr>
        <w:bidiVisual/>
        <w:tblW w:w="0" w:type="auto"/>
        <w:jc w:val="center"/>
        <w:tblLook w:val="0000" w:firstRow="0" w:lastRow="0" w:firstColumn="0" w:lastColumn="0" w:noHBand="0" w:noVBand="0"/>
      </w:tblPr>
      <w:tblGrid>
        <w:gridCol w:w="5056"/>
        <w:gridCol w:w="3665"/>
      </w:tblGrid>
      <w:tr w:rsidR="00FA76B6" w:rsidRPr="00E55C53" w14:paraId="18CBBD9B" w14:textId="77777777" w:rsidTr="00E5520D">
        <w:trPr>
          <w:trHeight w:hRule="exact" w:val="418"/>
          <w:jc w:val="center"/>
        </w:trPr>
        <w:tc>
          <w:tcPr>
            <w:tcW w:w="8721" w:type="dxa"/>
            <w:gridSpan w:val="2"/>
          </w:tcPr>
          <w:p w14:paraId="18E15D7A" w14:textId="77777777" w:rsidR="00FA76B6" w:rsidRPr="00E55C53" w:rsidRDefault="00FA76B6" w:rsidP="00BC1E99">
            <w:pPr>
              <w:pStyle w:val="a3"/>
              <w:jc w:val="center"/>
              <w:rPr>
                <w:rFonts w:ascii="Tahoma" w:hAnsi="Tahoma"/>
                <w:color w:val="000080"/>
                <w:sz w:val="32"/>
                <w:szCs w:val="32"/>
                <w:rtl/>
              </w:rPr>
            </w:pPr>
            <w:bookmarkStart w:id="2" w:name="LawTable_End"/>
            <w:bookmarkEnd w:id="2"/>
            <w:r w:rsidRPr="00E55C53">
              <w:rPr>
                <w:rFonts w:ascii="Tahoma" w:hAnsi="Tahoma"/>
                <w:b/>
                <w:bCs/>
                <w:color w:val="000080"/>
                <w:sz w:val="32"/>
                <w:szCs w:val="32"/>
                <w:rtl/>
              </w:rPr>
              <w:t>בית משפט השלום בתל אביב - יפו</w:t>
            </w:r>
          </w:p>
        </w:tc>
      </w:tr>
      <w:tr w:rsidR="00FA76B6" w:rsidRPr="00E55C53" w14:paraId="7E0D49D1" w14:textId="77777777" w:rsidTr="00E5520D">
        <w:trPr>
          <w:trHeight w:val="337"/>
          <w:jc w:val="center"/>
        </w:trPr>
        <w:tc>
          <w:tcPr>
            <w:tcW w:w="5056" w:type="dxa"/>
          </w:tcPr>
          <w:p w14:paraId="5B35A432" w14:textId="77777777" w:rsidR="00FA76B6" w:rsidRPr="00E55C53" w:rsidRDefault="00FA76B6" w:rsidP="00BC1E99">
            <w:pPr>
              <w:rPr>
                <w:sz w:val="26"/>
                <w:szCs w:val="26"/>
                <w:rtl/>
              </w:rPr>
            </w:pPr>
            <w:r w:rsidRPr="00E55C53">
              <w:rPr>
                <w:sz w:val="26"/>
                <w:szCs w:val="26"/>
                <w:rtl/>
              </w:rPr>
              <w:t>ת"פ</w:t>
            </w:r>
            <w:r w:rsidRPr="00E55C53">
              <w:rPr>
                <w:rFonts w:hint="cs"/>
                <w:sz w:val="26"/>
                <w:szCs w:val="26"/>
                <w:rtl/>
              </w:rPr>
              <w:t xml:space="preserve"> </w:t>
            </w:r>
            <w:r w:rsidRPr="00E55C53">
              <w:rPr>
                <w:sz w:val="26"/>
                <w:szCs w:val="26"/>
                <w:rtl/>
              </w:rPr>
              <w:t>31798-04-12</w:t>
            </w:r>
            <w:r w:rsidRPr="00E55C53">
              <w:rPr>
                <w:rFonts w:hint="cs"/>
                <w:sz w:val="26"/>
                <w:szCs w:val="26"/>
                <w:rtl/>
              </w:rPr>
              <w:t xml:space="preserve"> </w:t>
            </w:r>
            <w:r w:rsidRPr="00E55C53">
              <w:rPr>
                <w:sz w:val="26"/>
                <w:szCs w:val="26"/>
                <w:rtl/>
              </w:rPr>
              <w:t>מדינת ישראל נ' זומרפילד</w:t>
            </w:r>
          </w:p>
          <w:p w14:paraId="33E8F78B" w14:textId="77777777" w:rsidR="00FA76B6" w:rsidRPr="00E55C53" w:rsidRDefault="00FA76B6" w:rsidP="00BC1E99">
            <w:pPr>
              <w:pStyle w:val="a3"/>
              <w:rPr>
                <w:rFonts w:cs="FrankRuehl"/>
                <w:sz w:val="28"/>
                <w:szCs w:val="28"/>
                <w:rtl/>
              </w:rPr>
            </w:pPr>
          </w:p>
        </w:tc>
        <w:tc>
          <w:tcPr>
            <w:tcW w:w="3665" w:type="dxa"/>
          </w:tcPr>
          <w:p w14:paraId="0B6D601F" w14:textId="77777777" w:rsidR="00FA76B6" w:rsidRPr="00E55C53" w:rsidRDefault="00FA76B6" w:rsidP="00BC1E99">
            <w:pPr>
              <w:pStyle w:val="a3"/>
              <w:jc w:val="right"/>
              <w:rPr>
                <w:rFonts w:cs="FrankRuehl"/>
                <w:sz w:val="28"/>
                <w:szCs w:val="28"/>
                <w:rtl/>
              </w:rPr>
            </w:pPr>
          </w:p>
        </w:tc>
      </w:tr>
    </w:tbl>
    <w:p w14:paraId="5ED5DED8" w14:textId="77777777" w:rsidR="00FA76B6" w:rsidRPr="00E55C53" w:rsidRDefault="00FA76B6" w:rsidP="00FA76B6">
      <w:pPr>
        <w:pStyle w:val="a3"/>
        <w:rPr>
          <w:rtl/>
        </w:rPr>
      </w:pPr>
      <w:r w:rsidRPr="00E55C53">
        <w:rPr>
          <w:rFonts w:hint="cs"/>
          <w:rtl/>
        </w:rPr>
        <w:t xml:space="preserve"> </w:t>
      </w:r>
    </w:p>
    <w:p w14:paraId="4DD2F17D" w14:textId="77777777" w:rsidR="00FA76B6" w:rsidRPr="00E55C53" w:rsidRDefault="00FA76B6" w:rsidP="00FA76B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5"/>
        <w:gridCol w:w="3360"/>
      </w:tblGrid>
      <w:tr w:rsidR="00FA76B6" w:rsidRPr="00E55C53" w14:paraId="53CAB030" w14:textId="77777777" w:rsidTr="00FA76B6">
        <w:trPr>
          <w:trHeight w:val="295"/>
          <w:jc w:val="center"/>
        </w:trPr>
        <w:tc>
          <w:tcPr>
            <w:tcW w:w="598" w:type="dxa"/>
            <w:tcBorders>
              <w:top w:val="nil"/>
              <w:left w:val="nil"/>
              <w:bottom w:val="nil"/>
              <w:right w:val="nil"/>
            </w:tcBorders>
            <w:shd w:val="clear" w:color="auto" w:fill="auto"/>
          </w:tcPr>
          <w:p w14:paraId="30872D44" w14:textId="77777777" w:rsidR="00FA76B6" w:rsidRPr="00E55C53" w:rsidRDefault="00FA76B6" w:rsidP="00FA76B6">
            <w:pPr>
              <w:jc w:val="both"/>
              <w:rPr>
                <w:rFonts w:ascii="Arial" w:hAnsi="Arial"/>
                <w:b/>
                <w:bCs/>
                <w:sz w:val="26"/>
                <w:szCs w:val="26"/>
              </w:rPr>
            </w:pPr>
            <w:r w:rsidRPr="00E55C53">
              <w:rPr>
                <w:rFonts w:ascii="Arial" w:hAnsi="Arial" w:hint="cs"/>
                <w:b/>
                <w:bCs/>
                <w:sz w:val="26"/>
                <w:szCs w:val="26"/>
                <w:rtl/>
              </w:rPr>
              <w:t>ל</w:t>
            </w:r>
            <w:r w:rsidRPr="00E55C53">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4CE04FE9" w14:textId="77777777" w:rsidR="00FA76B6" w:rsidRPr="00E55C53" w:rsidRDefault="00FA76B6" w:rsidP="00BC1E99">
            <w:pPr>
              <w:rPr>
                <w:rFonts w:ascii="Arial" w:hAnsi="Arial"/>
                <w:b/>
                <w:bCs/>
                <w:sz w:val="26"/>
                <w:szCs w:val="26"/>
                <w:rtl/>
              </w:rPr>
            </w:pPr>
            <w:r w:rsidRPr="00E55C53">
              <w:rPr>
                <w:rFonts w:ascii="Arial" w:hAnsi="Arial" w:hint="cs"/>
                <w:b/>
                <w:bCs/>
                <w:sz w:val="26"/>
                <w:szCs w:val="26"/>
                <w:rtl/>
              </w:rPr>
              <w:t>כבוד ה</w:t>
            </w:r>
            <w:r w:rsidRPr="00E55C53">
              <w:rPr>
                <w:rFonts w:ascii="Arial" w:hAnsi="Arial"/>
                <w:b/>
                <w:bCs/>
                <w:sz w:val="26"/>
                <w:szCs w:val="26"/>
                <w:rtl/>
              </w:rPr>
              <w:t>שופטת</w:t>
            </w:r>
            <w:r w:rsidRPr="00E55C53">
              <w:rPr>
                <w:rFonts w:ascii="Arial" w:hAnsi="Arial" w:hint="cs"/>
                <w:b/>
                <w:bCs/>
                <w:sz w:val="26"/>
                <w:szCs w:val="26"/>
                <w:rtl/>
              </w:rPr>
              <w:t xml:space="preserve">  </w:t>
            </w:r>
            <w:r w:rsidRPr="00E55C53">
              <w:rPr>
                <w:rFonts w:ascii="Arial" w:hAnsi="Arial"/>
                <w:b/>
                <w:bCs/>
                <w:sz w:val="26"/>
                <w:szCs w:val="26"/>
                <w:rtl/>
              </w:rPr>
              <w:t>יעל פרדלסקי</w:t>
            </w:r>
          </w:p>
          <w:p w14:paraId="54667F0D" w14:textId="77777777" w:rsidR="00FA76B6" w:rsidRPr="00E55C53" w:rsidRDefault="00FA76B6" w:rsidP="00BC1E99">
            <w:pPr>
              <w:rPr>
                <w:sz w:val="26"/>
                <w:szCs w:val="26"/>
                <w:rtl/>
              </w:rPr>
            </w:pPr>
          </w:p>
          <w:p w14:paraId="7B24F4A7" w14:textId="77777777" w:rsidR="00FA76B6" w:rsidRPr="00E55C53" w:rsidRDefault="00FA76B6" w:rsidP="00FA76B6">
            <w:pPr>
              <w:jc w:val="both"/>
              <w:rPr>
                <w:rFonts w:ascii="Arial" w:hAnsi="Arial"/>
                <w:sz w:val="26"/>
                <w:szCs w:val="26"/>
              </w:rPr>
            </w:pPr>
          </w:p>
        </w:tc>
      </w:tr>
      <w:tr w:rsidR="00FA76B6" w:rsidRPr="00E55C53" w14:paraId="29A8268D" w14:textId="77777777" w:rsidTr="00FA76B6">
        <w:trPr>
          <w:trHeight w:val="355"/>
          <w:jc w:val="center"/>
        </w:trPr>
        <w:tc>
          <w:tcPr>
            <w:tcW w:w="598" w:type="dxa"/>
            <w:tcBorders>
              <w:top w:val="nil"/>
              <w:left w:val="nil"/>
              <w:bottom w:val="nil"/>
              <w:right w:val="nil"/>
            </w:tcBorders>
            <w:shd w:val="clear" w:color="auto" w:fill="auto"/>
          </w:tcPr>
          <w:p w14:paraId="21D615A7" w14:textId="77777777" w:rsidR="00FA76B6" w:rsidRPr="00E55C53" w:rsidRDefault="00FA76B6" w:rsidP="00FA76B6">
            <w:pPr>
              <w:jc w:val="both"/>
              <w:rPr>
                <w:rFonts w:ascii="Arial" w:hAnsi="Arial"/>
                <w:b/>
                <w:bCs/>
                <w:sz w:val="26"/>
                <w:szCs w:val="26"/>
              </w:rPr>
            </w:pPr>
            <w:bookmarkStart w:id="3" w:name="FirstAppellant"/>
            <w:r w:rsidRPr="00E55C53">
              <w:rPr>
                <w:rFonts w:ascii="Arial" w:hAnsi="Arial" w:hint="cs"/>
                <w:sz w:val="26"/>
                <w:szCs w:val="26"/>
                <w:rtl/>
              </w:rPr>
              <w:t>ה</w:t>
            </w:r>
            <w:r w:rsidRPr="00E55C53">
              <w:rPr>
                <w:rFonts w:ascii="Arial" w:hAnsi="Arial"/>
                <w:sz w:val="26"/>
                <w:szCs w:val="26"/>
                <w:rtl/>
              </w:rPr>
              <w:t>מאשימה</w:t>
            </w:r>
          </w:p>
        </w:tc>
        <w:tc>
          <w:tcPr>
            <w:tcW w:w="4565" w:type="dxa"/>
            <w:tcBorders>
              <w:top w:val="nil"/>
              <w:left w:val="nil"/>
              <w:bottom w:val="nil"/>
              <w:right w:val="nil"/>
            </w:tcBorders>
            <w:shd w:val="clear" w:color="auto" w:fill="auto"/>
          </w:tcPr>
          <w:p w14:paraId="2D0976F2" w14:textId="77777777" w:rsidR="00FA76B6" w:rsidRPr="00E55C53" w:rsidRDefault="00FA76B6" w:rsidP="00BC1E99">
            <w:pPr>
              <w:rPr>
                <w:sz w:val="26"/>
                <w:szCs w:val="26"/>
                <w:rtl/>
              </w:rPr>
            </w:pPr>
            <w:r w:rsidRPr="00E55C53">
              <w:rPr>
                <w:rFonts w:ascii="Arial" w:hAnsi="Arial"/>
                <w:sz w:val="26"/>
                <w:szCs w:val="26"/>
                <w:rtl/>
              </w:rPr>
              <w:t>מדינת ישראל</w:t>
            </w:r>
          </w:p>
          <w:p w14:paraId="5F24DC22" w14:textId="77777777" w:rsidR="00FA76B6" w:rsidRPr="00E55C53" w:rsidRDefault="00FA76B6" w:rsidP="00BC1E99">
            <w:pPr>
              <w:rPr>
                <w:sz w:val="26"/>
                <w:szCs w:val="26"/>
              </w:rPr>
            </w:pPr>
            <w:r w:rsidRPr="00E55C53">
              <w:rPr>
                <w:rFonts w:hint="cs"/>
                <w:sz w:val="26"/>
                <w:szCs w:val="26"/>
                <w:rtl/>
              </w:rPr>
              <w:t xml:space="preserve"> </w:t>
            </w:r>
          </w:p>
        </w:tc>
        <w:tc>
          <w:tcPr>
            <w:tcW w:w="3657" w:type="dxa"/>
            <w:tcBorders>
              <w:top w:val="nil"/>
              <w:left w:val="nil"/>
              <w:bottom w:val="nil"/>
              <w:right w:val="nil"/>
            </w:tcBorders>
            <w:shd w:val="clear" w:color="auto" w:fill="auto"/>
          </w:tcPr>
          <w:p w14:paraId="241DE35D" w14:textId="77777777" w:rsidR="00FA76B6" w:rsidRPr="00E55C53" w:rsidRDefault="00FA76B6" w:rsidP="00FA76B6">
            <w:pPr>
              <w:jc w:val="both"/>
              <w:rPr>
                <w:rFonts w:ascii="Arial" w:hAnsi="Arial"/>
                <w:sz w:val="26"/>
                <w:szCs w:val="26"/>
              </w:rPr>
            </w:pPr>
          </w:p>
        </w:tc>
      </w:tr>
      <w:bookmarkEnd w:id="3"/>
      <w:tr w:rsidR="00FA76B6" w:rsidRPr="00E55C53" w14:paraId="360CACEA" w14:textId="77777777" w:rsidTr="00FA76B6">
        <w:trPr>
          <w:trHeight w:val="355"/>
          <w:jc w:val="center"/>
        </w:trPr>
        <w:tc>
          <w:tcPr>
            <w:tcW w:w="598" w:type="dxa"/>
            <w:tcBorders>
              <w:top w:val="nil"/>
              <w:left w:val="nil"/>
              <w:bottom w:val="nil"/>
              <w:right w:val="nil"/>
            </w:tcBorders>
            <w:shd w:val="clear" w:color="auto" w:fill="auto"/>
          </w:tcPr>
          <w:p w14:paraId="32DBB8CE" w14:textId="77777777" w:rsidR="00FA76B6" w:rsidRPr="00E55C53" w:rsidRDefault="00FA76B6" w:rsidP="00FA76B6">
            <w:pPr>
              <w:jc w:val="both"/>
              <w:rPr>
                <w:rFonts w:ascii="Arial" w:hAnsi="Arial"/>
                <w:sz w:val="26"/>
                <w:szCs w:val="26"/>
                <w:rtl/>
              </w:rPr>
            </w:pPr>
          </w:p>
        </w:tc>
        <w:tc>
          <w:tcPr>
            <w:tcW w:w="4565" w:type="dxa"/>
            <w:tcBorders>
              <w:top w:val="nil"/>
              <w:left w:val="nil"/>
              <w:bottom w:val="nil"/>
              <w:right w:val="nil"/>
            </w:tcBorders>
            <w:shd w:val="clear" w:color="auto" w:fill="auto"/>
          </w:tcPr>
          <w:p w14:paraId="324D788D" w14:textId="77777777" w:rsidR="00FA76B6" w:rsidRPr="00E55C53" w:rsidRDefault="00FA76B6" w:rsidP="00BC1E99">
            <w:pPr>
              <w:rPr>
                <w:rFonts w:ascii="Arial" w:hAnsi="Arial"/>
                <w:sz w:val="26"/>
                <w:szCs w:val="26"/>
                <w:rtl/>
              </w:rPr>
            </w:pPr>
          </w:p>
        </w:tc>
        <w:tc>
          <w:tcPr>
            <w:tcW w:w="3657" w:type="dxa"/>
            <w:tcBorders>
              <w:top w:val="nil"/>
              <w:left w:val="nil"/>
              <w:bottom w:val="nil"/>
              <w:right w:val="nil"/>
            </w:tcBorders>
            <w:shd w:val="clear" w:color="auto" w:fill="auto"/>
          </w:tcPr>
          <w:p w14:paraId="61167829" w14:textId="77777777" w:rsidR="00FA76B6" w:rsidRPr="00E55C53" w:rsidRDefault="00FA76B6" w:rsidP="00FA76B6">
            <w:pPr>
              <w:jc w:val="right"/>
              <w:rPr>
                <w:rFonts w:ascii="Arial" w:hAnsi="Arial"/>
                <w:sz w:val="26"/>
                <w:szCs w:val="26"/>
                <w:rtl/>
              </w:rPr>
            </w:pPr>
          </w:p>
        </w:tc>
      </w:tr>
      <w:tr w:rsidR="00FA76B6" w:rsidRPr="00E55C53" w14:paraId="0BBAED5D" w14:textId="77777777" w:rsidTr="00FA76B6">
        <w:trPr>
          <w:trHeight w:val="355"/>
          <w:jc w:val="center"/>
        </w:trPr>
        <w:tc>
          <w:tcPr>
            <w:tcW w:w="598" w:type="dxa"/>
            <w:tcBorders>
              <w:top w:val="nil"/>
              <w:left w:val="nil"/>
              <w:bottom w:val="nil"/>
              <w:right w:val="nil"/>
            </w:tcBorders>
            <w:shd w:val="clear" w:color="auto" w:fill="auto"/>
          </w:tcPr>
          <w:p w14:paraId="1F5255B1" w14:textId="77777777" w:rsidR="00FA76B6" w:rsidRPr="00E55C53" w:rsidRDefault="00FA76B6" w:rsidP="00FA76B6">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34AE221F" w14:textId="77777777" w:rsidR="00FA76B6" w:rsidRPr="00E55C53" w:rsidRDefault="00FA76B6" w:rsidP="00FA76B6">
            <w:pPr>
              <w:jc w:val="center"/>
              <w:rPr>
                <w:rFonts w:ascii="Arial" w:hAnsi="Arial"/>
                <w:b/>
                <w:bCs/>
                <w:sz w:val="26"/>
                <w:szCs w:val="26"/>
                <w:rtl/>
              </w:rPr>
            </w:pPr>
          </w:p>
          <w:p w14:paraId="175FC94B" w14:textId="77777777" w:rsidR="00FA76B6" w:rsidRPr="00E55C53" w:rsidRDefault="00FA76B6" w:rsidP="00FA76B6">
            <w:pPr>
              <w:jc w:val="center"/>
              <w:rPr>
                <w:rFonts w:ascii="Arial" w:hAnsi="Arial"/>
                <w:b/>
                <w:bCs/>
                <w:sz w:val="26"/>
                <w:szCs w:val="26"/>
                <w:rtl/>
              </w:rPr>
            </w:pPr>
            <w:r w:rsidRPr="00E55C53">
              <w:rPr>
                <w:rFonts w:ascii="Arial" w:hAnsi="Arial"/>
                <w:b/>
                <w:bCs/>
                <w:sz w:val="26"/>
                <w:szCs w:val="26"/>
                <w:rtl/>
              </w:rPr>
              <w:t>נגד</w:t>
            </w:r>
          </w:p>
          <w:p w14:paraId="50BA0767" w14:textId="77777777" w:rsidR="00FA76B6" w:rsidRPr="00E55C53" w:rsidRDefault="00FA76B6" w:rsidP="00FA76B6">
            <w:pPr>
              <w:jc w:val="both"/>
              <w:rPr>
                <w:rFonts w:ascii="Arial" w:hAnsi="Arial"/>
                <w:sz w:val="26"/>
                <w:szCs w:val="26"/>
              </w:rPr>
            </w:pPr>
          </w:p>
        </w:tc>
      </w:tr>
      <w:tr w:rsidR="00FA76B6" w:rsidRPr="00E55C53" w14:paraId="31E35BA3" w14:textId="77777777" w:rsidTr="00FA76B6">
        <w:trPr>
          <w:trHeight w:val="355"/>
          <w:jc w:val="center"/>
        </w:trPr>
        <w:tc>
          <w:tcPr>
            <w:tcW w:w="598" w:type="dxa"/>
            <w:tcBorders>
              <w:top w:val="nil"/>
              <w:left w:val="nil"/>
              <w:bottom w:val="nil"/>
              <w:right w:val="nil"/>
            </w:tcBorders>
            <w:shd w:val="clear" w:color="auto" w:fill="auto"/>
          </w:tcPr>
          <w:p w14:paraId="1D30AE54" w14:textId="77777777" w:rsidR="00FA76B6" w:rsidRPr="00E55C53" w:rsidRDefault="00FA76B6" w:rsidP="00BC1E99">
            <w:pPr>
              <w:rPr>
                <w:rFonts w:ascii="Arial" w:hAnsi="Arial"/>
                <w:sz w:val="26"/>
                <w:szCs w:val="26"/>
                <w:rtl/>
              </w:rPr>
            </w:pPr>
            <w:r w:rsidRPr="00E55C53">
              <w:rPr>
                <w:rFonts w:ascii="Arial" w:hAnsi="Arial" w:hint="cs"/>
                <w:sz w:val="26"/>
                <w:szCs w:val="26"/>
                <w:rtl/>
              </w:rPr>
              <w:t>ה</w:t>
            </w:r>
            <w:r w:rsidRPr="00E55C53">
              <w:rPr>
                <w:rFonts w:ascii="Arial" w:hAnsi="Arial"/>
                <w:sz w:val="26"/>
                <w:szCs w:val="26"/>
                <w:rtl/>
              </w:rPr>
              <w:t>נאש</w:t>
            </w:r>
            <w:r w:rsidRPr="00E55C53">
              <w:rPr>
                <w:rFonts w:ascii="Arial" w:hAnsi="Arial" w:hint="cs"/>
                <w:sz w:val="26"/>
                <w:szCs w:val="26"/>
                <w:rtl/>
              </w:rPr>
              <w:t>ם</w:t>
            </w:r>
          </w:p>
        </w:tc>
        <w:tc>
          <w:tcPr>
            <w:tcW w:w="4565" w:type="dxa"/>
            <w:tcBorders>
              <w:top w:val="nil"/>
              <w:left w:val="nil"/>
              <w:bottom w:val="nil"/>
              <w:right w:val="nil"/>
            </w:tcBorders>
            <w:shd w:val="clear" w:color="auto" w:fill="auto"/>
          </w:tcPr>
          <w:p w14:paraId="6F9C8010" w14:textId="77777777" w:rsidR="00FA76B6" w:rsidRPr="00E55C53" w:rsidRDefault="00FA76B6" w:rsidP="00BC1E99">
            <w:pPr>
              <w:rPr>
                <w:sz w:val="26"/>
                <w:szCs w:val="26"/>
                <w:rtl/>
              </w:rPr>
            </w:pPr>
            <w:r w:rsidRPr="00E55C53">
              <w:rPr>
                <w:rFonts w:ascii="Arial" w:hAnsi="Arial"/>
                <w:sz w:val="26"/>
                <w:szCs w:val="26"/>
                <w:rtl/>
              </w:rPr>
              <w:t>דוד ארתור זומרפילד</w:t>
            </w:r>
          </w:p>
          <w:p w14:paraId="61E9E4D0" w14:textId="77777777" w:rsidR="00FA76B6" w:rsidRPr="00E55C53" w:rsidRDefault="00FA76B6" w:rsidP="00BC1E99">
            <w:pPr>
              <w:rPr>
                <w:sz w:val="26"/>
                <w:szCs w:val="26"/>
                <w:rtl/>
              </w:rPr>
            </w:pPr>
            <w:r w:rsidRPr="00E55C53">
              <w:rPr>
                <w:rFonts w:hint="cs"/>
                <w:sz w:val="26"/>
                <w:szCs w:val="26"/>
                <w:rtl/>
              </w:rPr>
              <w:t xml:space="preserve"> </w:t>
            </w:r>
          </w:p>
        </w:tc>
        <w:tc>
          <w:tcPr>
            <w:tcW w:w="3657" w:type="dxa"/>
            <w:tcBorders>
              <w:top w:val="nil"/>
              <w:left w:val="nil"/>
              <w:bottom w:val="nil"/>
              <w:right w:val="nil"/>
            </w:tcBorders>
            <w:shd w:val="clear" w:color="auto" w:fill="auto"/>
          </w:tcPr>
          <w:p w14:paraId="64FBFB44" w14:textId="77777777" w:rsidR="00FA76B6" w:rsidRPr="00E55C53" w:rsidRDefault="00FA76B6" w:rsidP="00FA76B6">
            <w:pPr>
              <w:jc w:val="right"/>
              <w:rPr>
                <w:rFonts w:ascii="Arial" w:hAnsi="Arial"/>
                <w:sz w:val="26"/>
                <w:szCs w:val="26"/>
              </w:rPr>
            </w:pPr>
          </w:p>
        </w:tc>
      </w:tr>
      <w:tr w:rsidR="00FA76B6" w:rsidRPr="00E55C53" w14:paraId="0DBBFF13" w14:textId="77777777" w:rsidTr="00FA76B6">
        <w:trPr>
          <w:trHeight w:val="355"/>
          <w:jc w:val="center"/>
        </w:trPr>
        <w:tc>
          <w:tcPr>
            <w:tcW w:w="598" w:type="dxa"/>
            <w:tcBorders>
              <w:top w:val="nil"/>
              <w:left w:val="nil"/>
              <w:bottom w:val="nil"/>
              <w:right w:val="nil"/>
            </w:tcBorders>
            <w:shd w:val="clear" w:color="auto" w:fill="auto"/>
          </w:tcPr>
          <w:p w14:paraId="7A3F4052" w14:textId="77777777" w:rsidR="00FA76B6" w:rsidRPr="00E55C53" w:rsidRDefault="00FA76B6" w:rsidP="00FA76B6">
            <w:pPr>
              <w:jc w:val="both"/>
              <w:rPr>
                <w:rFonts w:ascii="Arial" w:hAnsi="Arial"/>
                <w:sz w:val="26"/>
                <w:szCs w:val="26"/>
                <w:rtl/>
              </w:rPr>
            </w:pPr>
          </w:p>
        </w:tc>
        <w:tc>
          <w:tcPr>
            <w:tcW w:w="4565" w:type="dxa"/>
            <w:tcBorders>
              <w:top w:val="nil"/>
              <w:left w:val="nil"/>
              <w:bottom w:val="nil"/>
              <w:right w:val="nil"/>
            </w:tcBorders>
            <w:shd w:val="clear" w:color="auto" w:fill="auto"/>
          </w:tcPr>
          <w:p w14:paraId="67938E43" w14:textId="77777777" w:rsidR="00FA76B6" w:rsidRPr="00E55C53" w:rsidRDefault="00FA76B6" w:rsidP="00BC1E99">
            <w:pPr>
              <w:rPr>
                <w:rFonts w:ascii="Arial" w:hAnsi="Arial"/>
                <w:sz w:val="26"/>
                <w:szCs w:val="26"/>
              </w:rPr>
            </w:pPr>
          </w:p>
        </w:tc>
        <w:tc>
          <w:tcPr>
            <w:tcW w:w="3657" w:type="dxa"/>
            <w:tcBorders>
              <w:top w:val="nil"/>
              <w:left w:val="nil"/>
              <w:bottom w:val="nil"/>
              <w:right w:val="nil"/>
            </w:tcBorders>
            <w:shd w:val="clear" w:color="auto" w:fill="auto"/>
          </w:tcPr>
          <w:p w14:paraId="22C57F93" w14:textId="77777777" w:rsidR="00FA76B6" w:rsidRPr="00E55C53" w:rsidRDefault="00FA76B6" w:rsidP="00FA76B6">
            <w:pPr>
              <w:jc w:val="right"/>
              <w:rPr>
                <w:rFonts w:ascii="Arial" w:hAnsi="Arial"/>
                <w:sz w:val="26"/>
                <w:szCs w:val="26"/>
              </w:rPr>
            </w:pPr>
          </w:p>
        </w:tc>
      </w:tr>
    </w:tbl>
    <w:p w14:paraId="0035391F" w14:textId="77777777" w:rsidR="00FA76B6" w:rsidRPr="00E55C53" w:rsidRDefault="00FA76B6" w:rsidP="00FA76B6">
      <w:pPr>
        <w:rPr>
          <w:rtl/>
        </w:rPr>
      </w:pPr>
    </w:p>
    <w:p w14:paraId="14DD1D1A" w14:textId="77777777" w:rsidR="00FA76B6" w:rsidRPr="00E55C53" w:rsidRDefault="00FA76B6" w:rsidP="00FA76B6">
      <w:pPr>
        <w:pStyle w:val="12"/>
        <w:rPr>
          <w:u w:val="none"/>
        </w:rPr>
      </w:pPr>
      <w:r w:rsidRPr="00E55C53">
        <w:rPr>
          <w:rFonts w:hint="cs"/>
          <w:u w:val="none"/>
          <w:rtl/>
        </w:rPr>
        <w:t>נוכחים:</w:t>
      </w:r>
    </w:p>
    <w:p w14:paraId="01B222D3" w14:textId="77777777" w:rsidR="00FA76B6" w:rsidRPr="00E55C53" w:rsidRDefault="00FA76B6" w:rsidP="00FA76B6">
      <w:pPr>
        <w:pStyle w:val="12"/>
        <w:rPr>
          <w:b w:val="0"/>
          <w:bCs w:val="0"/>
          <w:u w:val="none"/>
        </w:rPr>
      </w:pPr>
      <w:bookmarkStart w:id="4" w:name="FirstLawyer"/>
      <w:r w:rsidRPr="00E55C53">
        <w:rPr>
          <w:rFonts w:hint="cs"/>
          <w:b w:val="0"/>
          <w:bCs w:val="0"/>
          <w:u w:val="none"/>
          <w:rtl/>
        </w:rPr>
        <w:t>ב"כ</w:t>
      </w:r>
      <w:bookmarkEnd w:id="4"/>
      <w:r w:rsidRPr="00E55C53">
        <w:rPr>
          <w:rFonts w:hint="cs"/>
          <w:b w:val="0"/>
          <w:bCs w:val="0"/>
          <w:u w:val="none"/>
          <w:rtl/>
        </w:rPr>
        <w:t xml:space="preserve"> המאשימה – עו"ד אנה גולדנהירש</w:t>
      </w:r>
    </w:p>
    <w:p w14:paraId="29EEB939" w14:textId="77777777" w:rsidR="00FA76B6" w:rsidRPr="00E55C53" w:rsidRDefault="00FA76B6" w:rsidP="00FA76B6">
      <w:pPr>
        <w:pStyle w:val="12"/>
        <w:rPr>
          <w:b w:val="0"/>
          <w:bCs w:val="0"/>
          <w:u w:val="none"/>
          <w:rtl/>
        </w:rPr>
      </w:pPr>
      <w:r w:rsidRPr="00E55C53">
        <w:rPr>
          <w:rFonts w:hint="cs"/>
          <w:b w:val="0"/>
          <w:bCs w:val="0"/>
          <w:u w:val="none"/>
          <w:rtl/>
        </w:rPr>
        <w:t>ב"כ הנאשם – עו"ד דניאל וייס</w:t>
      </w:r>
    </w:p>
    <w:p w14:paraId="46449110" w14:textId="77777777" w:rsidR="00FA76B6" w:rsidRPr="00E55C53" w:rsidRDefault="00FA76B6" w:rsidP="00FA76B6">
      <w:pPr>
        <w:rPr>
          <w:rtl/>
        </w:rPr>
      </w:pPr>
      <w:r w:rsidRPr="00E55C53">
        <w:rPr>
          <w:rFonts w:hint="cs"/>
          <w:rtl/>
        </w:rPr>
        <w:t>הנאשם - בעצמו</w:t>
      </w:r>
    </w:p>
    <w:p w14:paraId="4F7DEF29" w14:textId="77777777" w:rsidR="00E5520D" w:rsidRPr="00E5520D" w:rsidRDefault="00E5520D" w:rsidP="00E5520D">
      <w:pPr>
        <w:pStyle w:val="a3"/>
        <w:spacing w:after="120" w:line="240" w:lineRule="exact"/>
        <w:ind w:left="283" w:hanging="283"/>
        <w:jc w:val="both"/>
        <w:rPr>
          <w:rFonts w:ascii="FrankRuehl" w:hAnsi="FrankRuehl" w:cs="FrankRuehl"/>
          <w:rtl/>
        </w:rPr>
      </w:pPr>
    </w:p>
    <w:p w14:paraId="2D4CE00C" w14:textId="77777777" w:rsidR="00E5520D" w:rsidRPr="00E5520D" w:rsidRDefault="00E5520D" w:rsidP="00E5520D">
      <w:pPr>
        <w:pStyle w:val="a3"/>
        <w:spacing w:after="120" w:line="240" w:lineRule="exact"/>
        <w:ind w:left="283" w:hanging="283"/>
        <w:jc w:val="both"/>
        <w:rPr>
          <w:rFonts w:ascii="FrankRuehl" w:hAnsi="FrankRuehl" w:cs="FrankRuehl"/>
          <w:rtl/>
        </w:rPr>
      </w:pPr>
      <w:r w:rsidRPr="00E5520D">
        <w:rPr>
          <w:rFonts w:ascii="FrankRuehl" w:hAnsi="FrankRuehl" w:cs="FrankRuehl"/>
          <w:rtl/>
        </w:rPr>
        <w:t xml:space="preserve">חקיקה שאוזכרה: </w:t>
      </w:r>
    </w:p>
    <w:p w14:paraId="793BF244" w14:textId="77777777" w:rsidR="00E5520D" w:rsidRPr="00E5520D" w:rsidRDefault="00E5520D" w:rsidP="00E5520D">
      <w:pPr>
        <w:pStyle w:val="a3"/>
        <w:spacing w:after="120" w:line="240" w:lineRule="exact"/>
        <w:ind w:left="283" w:hanging="283"/>
        <w:jc w:val="both"/>
        <w:rPr>
          <w:rFonts w:ascii="FrankRuehl" w:hAnsi="FrankRuehl" w:cs="FrankRuehl"/>
          <w:rtl/>
        </w:rPr>
      </w:pPr>
      <w:hyperlink r:id="rId7" w:history="1">
        <w:r w:rsidRPr="00E5520D">
          <w:rPr>
            <w:rFonts w:ascii="FrankRuehl" w:hAnsi="FrankRuehl" w:cs="FrankRuehl"/>
            <w:color w:val="0000FF"/>
            <w:u w:val="single"/>
            <w:rtl/>
          </w:rPr>
          <w:t>פקודת הסמים המסוכנים [נוסח חדש], תשל"ג-1973</w:t>
        </w:r>
      </w:hyperlink>
      <w:r w:rsidRPr="00E5520D">
        <w:rPr>
          <w:rFonts w:ascii="FrankRuehl" w:hAnsi="FrankRuehl" w:cs="FrankRuehl"/>
          <w:rtl/>
        </w:rPr>
        <w:t xml:space="preserve">: סע'  </w:t>
      </w:r>
      <w:hyperlink r:id="rId8" w:history="1">
        <w:r w:rsidRPr="00E5520D">
          <w:rPr>
            <w:rFonts w:ascii="FrankRuehl" w:hAnsi="FrankRuehl" w:cs="FrankRuehl"/>
            <w:color w:val="0000FF"/>
            <w:u w:val="single"/>
            <w:rtl/>
          </w:rPr>
          <w:t>6</w:t>
        </w:r>
      </w:hyperlink>
      <w:r w:rsidRPr="00E5520D">
        <w:rPr>
          <w:rFonts w:ascii="FrankRuehl" w:hAnsi="FrankRuehl" w:cs="FrankRuehl"/>
          <w:rtl/>
        </w:rPr>
        <w:t xml:space="preserve">, </w:t>
      </w:r>
      <w:hyperlink r:id="rId9" w:history="1">
        <w:r w:rsidRPr="00E5520D">
          <w:rPr>
            <w:rFonts w:ascii="FrankRuehl" w:hAnsi="FrankRuehl" w:cs="FrankRuehl"/>
            <w:color w:val="0000FF"/>
            <w:u w:val="single"/>
            <w:rtl/>
          </w:rPr>
          <w:t>7.א.</w:t>
        </w:r>
      </w:hyperlink>
      <w:r w:rsidRPr="00E5520D">
        <w:rPr>
          <w:rFonts w:ascii="FrankRuehl" w:hAnsi="FrankRuehl" w:cs="FrankRuehl"/>
          <w:rtl/>
        </w:rPr>
        <w:t xml:space="preserve">, </w:t>
      </w:r>
      <w:hyperlink r:id="rId10" w:history="1">
        <w:r w:rsidRPr="00E5520D">
          <w:rPr>
            <w:rFonts w:ascii="FrankRuehl" w:hAnsi="FrankRuehl" w:cs="FrankRuehl"/>
            <w:color w:val="0000FF"/>
            <w:u w:val="single"/>
            <w:rtl/>
          </w:rPr>
          <w:t>7.ג</w:t>
        </w:r>
      </w:hyperlink>
      <w:r w:rsidRPr="00E5520D">
        <w:rPr>
          <w:rFonts w:ascii="FrankRuehl" w:hAnsi="FrankRuehl" w:cs="FrankRuehl"/>
          <w:rtl/>
        </w:rPr>
        <w:t xml:space="preserve">, </w:t>
      </w:r>
      <w:hyperlink r:id="rId11" w:history="1">
        <w:r w:rsidRPr="00E5520D">
          <w:rPr>
            <w:rFonts w:ascii="FrankRuehl" w:hAnsi="FrankRuehl" w:cs="FrankRuehl"/>
            <w:color w:val="0000FF"/>
            <w:u w:val="single"/>
            <w:rtl/>
          </w:rPr>
          <w:t>10</w:t>
        </w:r>
      </w:hyperlink>
    </w:p>
    <w:p w14:paraId="0BCA069A" w14:textId="77777777" w:rsidR="00E5520D" w:rsidRPr="00E5520D" w:rsidRDefault="00E5520D" w:rsidP="00E5520D">
      <w:pPr>
        <w:pStyle w:val="a3"/>
        <w:spacing w:after="120" w:line="240" w:lineRule="exact"/>
        <w:ind w:left="283" w:hanging="283"/>
        <w:jc w:val="both"/>
        <w:rPr>
          <w:rFonts w:ascii="FrankRuehl" w:hAnsi="FrankRuehl" w:cs="FrankRuehl"/>
          <w:rtl/>
        </w:rPr>
      </w:pPr>
      <w:hyperlink r:id="rId12" w:history="1">
        <w:r w:rsidRPr="00E5520D">
          <w:rPr>
            <w:rFonts w:ascii="FrankRuehl" w:hAnsi="FrankRuehl" w:cs="FrankRuehl"/>
            <w:color w:val="0000FF"/>
            <w:u w:val="single"/>
            <w:rtl/>
          </w:rPr>
          <w:t>חוק העונשין, תשל"ז-1977</w:t>
        </w:r>
      </w:hyperlink>
    </w:p>
    <w:p w14:paraId="606C0B00" w14:textId="77777777" w:rsidR="00FA76B6" w:rsidRPr="00E55C53" w:rsidRDefault="00FA76B6" w:rsidP="00FA76B6"/>
    <w:tbl>
      <w:tblPr>
        <w:bidiVisual/>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FA76B6" w:rsidRPr="00E55C53" w14:paraId="05941B30" w14:textId="77777777" w:rsidTr="00FA76B6">
        <w:trPr>
          <w:trHeight w:val="355"/>
          <w:jc w:val="center"/>
        </w:trPr>
        <w:tc>
          <w:tcPr>
            <w:tcW w:w="9214" w:type="dxa"/>
            <w:tcBorders>
              <w:top w:val="nil"/>
              <w:left w:val="nil"/>
              <w:bottom w:val="nil"/>
              <w:right w:val="nil"/>
            </w:tcBorders>
            <w:shd w:val="clear" w:color="auto" w:fill="auto"/>
          </w:tcPr>
          <w:p w14:paraId="2BEEDCA9" w14:textId="77777777" w:rsidR="00FA76B6" w:rsidRPr="00E55C53" w:rsidRDefault="00FA76B6" w:rsidP="00FA76B6">
            <w:pPr>
              <w:jc w:val="center"/>
              <w:rPr>
                <w:rFonts w:ascii="Arial" w:hAnsi="Arial"/>
                <w:sz w:val="28"/>
                <w:szCs w:val="28"/>
                <w:rtl/>
              </w:rPr>
            </w:pPr>
            <w:bookmarkStart w:id="5" w:name="PsakDin"/>
            <w:r w:rsidRPr="00E55C53">
              <w:rPr>
                <w:rFonts w:ascii="Arial" w:hAnsi="Arial" w:hint="cs"/>
                <w:b/>
                <w:bCs/>
                <w:sz w:val="28"/>
                <w:szCs w:val="28"/>
                <w:rtl/>
              </w:rPr>
              <w:t xml:space="preserve">גזר דין </w:t>
            </w:r>
            <w:bookmarkEnd w:id="5"/>
            <w:r w:rsidRPr="00E55C53">
              <w:rPr>
                <w:rFonts w:ascii="Arial" w:hAnsi="Arial" w:hint="cs"/>
                <w:b/>
                <w:bCs/>
                <w:sz w:val="28"/>
                <w:szCs w:val="28"/>
                <w:rtl/>
              </w:rPr>
              <w:t xml:space="preserve">חדש לאור הפקעת השל"צ </w:t>
            </w:r>
          </w:p>
        </w:tc>
      </w:tr>
    </w:tbl>
    <w:p w14:paraId="1DE3A11C" w14:textId="77777777" w:rsidR="00FA76B6" w:rsidRPr="00E55C53" w:rsidRDefault="00FA76B6" w:rsidP="00FA76B6">
      <w:pPr>
        <w:spacing w:line="360" w:lineRule="auto"/>
        <w:jc w:val="center"/>
        <w:rPr>
          <w:rFonts w:ascii="Arial" w:hAnsi="Arial"/>
          <w:b/>
          <w:bCs/>
          <w:sz w:val="28"/>
          <w:szCs w:val="28"/>
          <w:rtl/>
        </w:rPr>
      </w:pPr>
    </w:p>
    <w:p w14:paraId="40A86A24" w14:textId="77777777" w:rsidR="00FA76B6" w:rsidRPr="00E55C53" w:rsidRDefault="00FA76B6" w:rsidP="00FA76B6">
      <w:pPr>
        <w:numPr>
          <w:ilvl w:val="0"/>
          <w:numId w:val="1"/>
        </w:numPr>
        <w:spacing w:after="160" w:line="360" w:lineRule="auto"/>
        <w:contextualSpacing/>
        <w:jc w:val="both"/>
        <w:rPr>
          <w:rFonts w:ascii="Calibri" w:hAnsi="Calibri"/>
          <w:rtl/>
        </w:rPr>
      </w:pPr>
      <w:r w:rsidRPr="00E55C53">
        <w:rPr>
          <w:rFonts w:hint="cs"/>
          <w:rtl/>
        </w:rPr>
        <w:t xml:space="preserve">ביום 10.4.13 הציגו הצדדים הסדר טיעון לפיו הנאשם יודה במיוחס לו בכתב אישום מתוקן,  יורשע ויופנה בטרם הטיעונים לעונש לתסקיר שירות מבחן. המאשימה תעתור להטיל על הנאשם 4 חודשי מאסר שירוצו בדרך של עבודות שירות, בכפוף לחוות דעת של הממונה על עבודות שירות, מאסר על תנאי וקנס וב"כ הנאשם יטען חופשי  לעונש. </w:t>
      </w:r>
    </w:p>
    <w:p w14:paraId="17FCBF0C" w14:textId="77777777" w:rsidR="00FA76B6" w:rsidRPr="00FA76B6" w:rsidRDefault="00FA76B6" w:rsidP="00FA76B6">
      <w:pPr>
        <w:numPr>
          <w:ilvl w:val="0"/>
          <w:numId w:val="1"/>
        </w:numPr>
        <w:spacing w:after="160" w:line="360" w:lineRule="auto"/>
        <w:contextualSpacing/>
        <w:jc w:val="both"/>
        <w:rPr>
          <w:rFonts w:ascii="Calibri" w:hAnsi="Calibri"/>
        </w:rPr>
      </w:pPr>
      <w:bookmarkStart w:id="6" w:name="ABSTRACT_START"/>
      <w:bookmarkEnd w:id="0"/>
      <w:bookmarkEnd w:id="6"/>
      <w:r>
        <w:rPr>
          <w:rFonts w:hint="cs"/>
          <w:rtl/>
        </w:rPr>
        <w:t xml:space="preserve">במסגרת הסדר טיעון הורשע הנאשם על פי הודאתו בעובדות כתב אישום מתוקן, </w:t>
      </w:r>
      <w:r w:rsidRPr="00FA76B6">
        <w:rPr>
          <w:rFonts w:ascii="Calibri" w:hAnsi="Calibri" w:hint="cs"/>
          <w:rtl/>
        </w:rPr>
        <w:t xml:space="preserve">בביצוע עבירה של החזקת כלים להכנת סם שלא לצריכה עצמית, עבירה לפי </w:t>
      </w:r>
      <w:hyperlink r:id="rId13" w:history="1">
        <w:r w:rsidR="00E5520D" w:rsidRPr="00E5520D">
          <w:rPr>
            <w:rFonts w:ascii="Calibri" w:hAnsi="Calibri" w:hint="eastAsia"/>
            <w:color w:val="0000FF"/>
            <w:u w:val="single"/>
            <w:rtl/>
          </w:rPr>
          <w:t>סעיף</w:t>
        </w:r>
        <w:r w:rsidR="00E5520D" w:rsidRPr="00E5520D">
          <w:rPr>
            <w:rFonts w:ascii="Calibri" w:hAnsi="Calibri"/>
            <w:color w:val="0000FF"/>
            <w:u w:val="single"/>
            <w:rtl/>
          </w:rPr>
          <w:t xml:space="preserve"> 10</w:t>
        </w:r>
      </w:hyperlink>
      <w:r w:rsidRPr="00FA76B6">
        <w:rPr>
          <w:rFonts w:ascii="Calibri" w:hAnsi="Calibri" w:hint="cs"/>
          <w:rtl/>
        </w:rPr>
        <w:t xml:space="preserve"> רישא ל</w:t>
      </w:r>
      <w:hyperlink r:id="rId14" w:history="1">
        <w:r w:rsidR="00E55C53" w:rsidRPr="00E55C53">
          <w:rPr>
            <w:rFonts w:ascii="Calibri" w:hAnsi="Calibri" w:hint="eastAsia"/>
            <w:color w:val="0000FF"/>
            <w:u w:val="single"/>
            <w:rtl/>
          </w:rPr>
          <w:t>פקודת</w:t>
        </w:r>
        <w:r w:rsidR="00E55C53" w:rsidRPr="00E55C53">
          <w:rPr>
            <w:rFonts w:ascii="Calibri" w:hAnsi="Calibri"/>
            <w:color w:val="0000FF"/>
            <w:u w:val="single"/>
            <w:rtl/>
          </w:rPr>
          <w:t xml:space="preserve"> </w:t>
        </w:r>
        <w:r w:rsidR="00E55C53" w:rsidRPr="00E55C53">
          <w:rPr>
            <w:rFonts w:ascii="Calibri" w:hAnsi="Calibri" w:hint="eastAsia"/>
            <w:color w:val="0000FF"/>
            <w:u w:val="single"/>
            <w:rtl/>
          </w:rPr>
          <w:t>הסמים</w:t>
        </w:r>
        <w:r w:rsidR="00E55C53" w:rsidRPr="00E55C53">
          <w:rPr>
            <w:rFonts w:ascii="Calibri" w:hAnsi="Calibri"/>
            <w:color w:val="0000FF"/>
            <w:u w:val="single"/>
            <w:rtl/>
          </w:rPr>
          <w:t xml:space="preserve"> </w:t>
        </w:r>
        <w:r w:rsidR="00E55C53" w:rsidRPr="00E55C53">
          <w:rPr>
            <w:rFonts w:ascii="Calibri" w:hAnsi="Calibri" w:hint="eastAsia"/>
            <w:color w:val="0000FF"/>
            <w:u w:val="single"/>
            <w:rtl/>
          </w:rPr>
          <w:t>המסוכנים</w:t>
        </w:r>
      </w:hyperlink>
      <w:r w:rsidRPr="00FA76B6">
        <w:rPr>
          <w:rFonts w:ascii="Calibri" w:hAnsi="Calibri" w:hint="cs"/>
          <w:rtl/>
        </w:rPr>
        <w:t xml:space="preserve"> [נוסח חדש], התשל"ג- 1973 (להלן: </w:t>
      </w:r>
      <w:r w:rsidRPr="00FA76B6">
        <w:rPr>
          <w:rFonts w:ascii="Calibri" w:hAnsi="Calibri" w:hint="cs"/>
          <w:b/>
          <w:bCs/>
          <w:rtl/>
        </w:rPr>
        <w:t>"הפקודה"),</w:t>
      </w:r>
      <w:r w:rsidRPr="00FA76B6">
        <w:rPr>
          <w:rFonts w:ascii="Calibri" w:hAnsi="Calibri" w:hint="cs"/>
          <w:rtl/>
        </w:rPr>
        <w:t xml:space="preserve"> בעבירה של גידול, ייצור והכנת סם מסוכן, עבירה לפי </w:t>
      </w:r>
      <w:hyperlink r:id="rId15" w:history="1">
        <w:r w:rsidR="00E5520D" w:rsidRPr="00E5520D">
          <w:rPr>
            <w:rFonts w:ascii="Calibri" w:hAnsi="Calibri" w:hint="eastAsia"/>
            <w:color w:val="0000FF"/>
            <w:u w:val="single"/>
            <w:rtl/>
          </w:rPr>
          <w:t>סעיף</w:t>
        </w:r>
        <w:r w:rsidR="00E5520D" w:rsidRPr="00E5520D">
          <w:rPr>
            <w:rFonts w:ascii="Calibri" w:hAnsi="Calibri"/>
            <w:color w:val="0000FF"/>
            <w:u w:val="single"/>
            <w:rtl/>
          </w:rPr>
          <w:t xml:space="preserve"> 6</w:t>
        </w:r>
      </w:hyperlink>
      <w:r w:rsidRPr="00FA76B6">
        <w:rPr>
          <w:rFonts w:ascii="Calibri" w:hAnsi="Calibri" w:hint="cs"/>
          <w:rtl/>
        </w:rPr>
        <w:t xml:space="preserve"> לפקודה, ובעבירה של החזקת סם מסוכן לצריכה עצמית, עבירה לפי </w:t>
      </w:r>
      <w:hyperlink r:id="rId16" w:history="1">
        <w:r w:rsidR="00E5520D" w:rsidRPr="00E5520D">
          <w:rPr>
            <w:rFonts w:ascii="Calibri" w:hAnsi="Calibri" w:hint="eastAsia"/>
            <w:color w:val="0000FF"/>
            <w:u w:val="single"/>
            <w:rtl/>
          </w:rPr>
          <w:t>סעיף</w:t>
        </w:r>
        <w:r w:rsidR="00E5520D" w:rsidRPr="00E5520D">
          <w:rPr>
            <w:rFonts w:ascii="Calibri" w:hAnsi="Calibri"/>
            <w:color w:val="0000FF"/>
            <w:u w:val="single"/>
            <w:rtl/>
          </w:rPr>
          <w:t xml:space="preserve"> 7(</w:t>
        </w:r>
        <w:r w:rsidR="00E5520D" w:rsidRPr="00E5520D">
          <w:rPr>
            <w:rFonts w:ascii="Calibri" w:hAnsi="Calibri" w:hint="eastAsia"/>
            <w:color w:val="0000FF"/>
            <w:u w:val="single"/>
            <w:rtl/>
          </w:rPr>
          <w:t>א</w:t>
        </w:r>
        <w:r w:rsidR="00E5520D" w:rsidRPr="00E5520D">
          <w:rPr>
            <w:rFonts w:ascii="Calibri" w:hAnsi="Calibri"/>
            <w:color w:val="0000FF"/>
            <w:u w:val="single"/>
            <w:rtl/>
          </w:rPr>
          <w:t>)+(</w:t>
        </w:r>
        <w:r w:rsidR="00E5520D" w:rsidRPr="00E5520D">
          <w:rPr>
            <w:rFonts w:ascii="Calibri" w:hAnsi="Calibri" w:hint="eastAsia"/>
            <w:color w:val="0000FF"/>
            <w:u w:val="single"/>
            <w:rtl/>
          </w:rPr>
          <w:t>ג</w:t>
        </w:r>
        <w:r w:rsidR="00E5520D" w:rsidRPr="00E5520D">
          <w:rPr>
            <w:rFonts w:ascii="Calibri" w:hAnsi="Calibri"/>
            <w:color w:val="0000FF"/>
            <w:u w:val="single"/>
            <w:rtl/>
          </w:rPr>
          <w:t>)</w:t>
        </w:r>
      </w:hyperlink>
      <w:r w:rsidRPr="00FA76B6">
        <w:rPr>
          <w:rFonts w:ascii="Calibri" w:hAnsi="Calibri" w:hint="cs"/>
          <w:rtl/>
        </w:rPr>
        <w:t xml:space="preserve"> סיפא לפקודה  והופנה לקבלת תסקיר שירות מבחן בטרם הטיעונים לעונש.</w:t>
      </w:r>
    </w:p>
    <w:p w14:paraId="5639EC46" w14:textId="77777777" w:rsidR="00FA76B6" w:rsidRDefault="00FA76B6" w:rsidP="00FA76B6">
      <w:pPr>
        <w:numPr>
          <w:ilvl w:val="0"/>
          <w:numId w:val="1"/>
        </w:numPr>
        <w:spacing w:after="160" w:line="360" w:lineRule="auto"/>
        <w:contextualSpacing/>
        <w:jc w:val="both"/>
      </w:pPr>
      <w:bookmarkStart w:id="7" w:name="ABSTRACT_END"/>
      <w:bookmarkEnd w:id="7"/>
      <w:r>
        <w:rPr>
          <w:rFonts w:hint="cs"/>
          <w:rtl/>
        </w:rPr>
        <w:lastRenderedPageBreak/>
        <w:t>מעובדות כתב האישום המתוקן בהן הודה הנאשם עולה, כי ביום 15.4.12 בשעה 13:30 לערך, נעצר הנאשם על ידי שוטרים ברחוב דיזינגוף בתל אביב, לאחר שיצא מחנות "הידרו שופ". בנסיבות אלה החזיק הנאשם בתיק גב שנשא עמו 3 בקבוקים של חומרי דישון וסם מסוכן מסוג קנבוס, במשקל 0.18 גרם נטו, לצריכה עצמית ושלא כדין. בהמשך למתואר לעיל, נערך חיפוש בביתו של הנאשם ברעננה. בחדר האמבטיה שבחדר השינה של הנאשם (להלן:</w:t>
      </w:r>
      <w:r>
        <w:rPr>
          <w:rFonts w:hint="cs"/>
          <w:b/>
          <w:bCs/>
          <w:rtl/>
        </w:rPr>
        <w:t xml:space="preserve"> "המעבדה</w:t>
      </w:r>
      <w:r>
        <w:rPr>
          <w:rFonts w:hint="cs"/>
          <w:rtl/>
        </w:rPr>
        <w:t xml:space="preserve">")  נתפס שתיל קנבוס במשקל 0.17 גרם נטו שגידל הנאשם. עוד עולה  מעובדות כתב האישום המתוקן כי הנאשם החזיק ב"מעבדה" מבחר כלים,  ציוד ועזרים שיש בהם כדי למנף את תהליך גידול הסמים כדוגמת: גופי תאורה, 3 שנאי חשמל, 18 אדניות, 3 מנורות עטופות בשרוול כסף, 2 מחשבי מד טמפרטורה ומפוח. בנוסף, נתפסה בשידה בארון הבגדים של הנאשם, קופסה ,שהכילה שתלי סם מסוכן מסוג קנבוס במשקל נטו של 15.965 גרם, לצריכה עצמית ושלא כדין. </w:t>
      </w:r>
    </w:p>
    <w:p w14:paraId="072A2D1F" w14:textId="77777777" w:rsidR="00FA76B6" w:rsidRDefault="00FA76B6" w:rsidP="00FA76B6">
      <w:pPr>
        <w:numPr>
          <w:ilvl w:val="0"/>
          <w:numId w:val="1"/>
        </w:numPr>
        <w:spacing w:after="160" w:line="360" w:lineRule="auto"/>
        <w:contextualSpacing/>
        <w:jc w:val="both"/>
        <w:rPr>
          <w:rFonts w:ascii="David" w:hAnsi="David"/>
        </w:rPr>
      </w:pPr>
      <w:r>
        <w:rPr>
          <w:rFonts w:hint="cs"/>
          <w:rtl/>
        </w:rPr>
        <w:t>ביום 21.1.14 לאחר ששקלתי את מכלול השיקולים כשלנגד עיני תיקון 113 ל</w:t>
      </w:r>
      <w:hyperlink r:id="rId17" w:history="1">
        <w:r w:rsidR="00E55C53" w:rsidRPr="00E55C53">
          <w:rPr>
            <w:color w:val="0000FF"/>
            <w:u w:val="single"/>
            <w:rtl/>
          </w:rPr>
          <w:t>חוק העונשין</w:t>
        </w:r>
      </w:hyperlink>
      <w:r>
        <w:rPr>
          <w:rFonts w:hint="cs"/>
          <w:rtl/>
        </w:rPr>
        <w:t>,  נעתרתי לעתירת ב"כ הנאשם ולהמלצת שירות מבחן וגזרתי על הנאשם מאסר על תנאי קנס, התחייבות,  צו מבחן ו-400 שעות של"צ.</w:t>
      </w:r>
    </w:p>
    <w:p w14:paraId="7811C31E" w14:textId="77777777" w:rsidR="00FA76B6" w:rsidRDefault="00FA76B6" w:rsidP="00FA76B6">
      <w:pPr>
        <w:numPr>
          <w:ilvl w:val="0"/>
          <w:numId w:val="1"/>
        </w:numPr>
        <w:spacing w:after="160" w:line="360" w:lineRule="auto"/>
        <w:contextualSpacing/>
        <w:jc w:val="both"/>
      </w:pPr>
      <w:r>
        <w:rPr>
          <w:rFonts w:hint="cs"/>
          <w:rtl/>
        </w:rPr>
        <w:t xml:space="preserve">ביום 18.3.15 ביקש שירות מבחן להאריך את צו השל"צ ונעתרתי לבקשה. בהמשך עתר שירות מבחן מספר פעמים להפקיע את צו השל"צ ולהטיל על הנאשם ענישה חילופית, זאת לאחר שהנאשם ביצע 100 שעות של"צ בלבד במרוצת השנים שחלפו מאז מתן גזר הדין ועל אף ההזדמנויות הרבות  שבית משפט נתן לו. ביום  14.9.17 הפקעתי את צו השל"צ. </w:t>
      </w:r>
    </w:p>
    <w:p w14:paraId="5C775354" w14:textId="77777777" w:rsidR="00FA76B6" w:rsidRDefault="00FA76B6" w:rsidP="00FA76B6">
      <w:pPr>
        <w:spacing w:after="160" w:line="360" w:lineRule="auto"/>
        <w:contextualSpacing/>
        <w:jc w:val="both"/>
      </w:pPr>
    </w:p>
    <w:p w14:paraId="68C49A0D" w14:textId="77777777" w:rsidR="00FA76B6" w:rsidRDefault="00FA76B6" w:rsidP="00FA76B6">
      <w:pPr>
        <w:numPr>
          <w:ilvl w:val="0"/>
          <w:numId w:val="1"/>
        </w:numPr>
        <w:spacing w:after="160" w:line="360" w:lineRule="auto"/>
        <w:contextualSpacing/>
        <w:jc w:val="both"/>
      </w:pPr>
      <w:r>
        <w:rPr>
          <w:rFonts w:hint="cs"/>
          <w:b/>
          <w:bCs/>
          <w:rtl/>
        </w:rPr>
        <w:t>תמצית טיעוני ב"כ הצדדים לעונש  חילופי שיוטל על הנאשם</w:t>
      </w:r>
      <w:r>
        <w:rPr>
          <w:rFonts w:hint="cs"/>
          <w:rtl/>
        </w:rPr>
        <w:t>:</w:t>
      </w:r>
    </w:p>
    <w:p w14:paraId="5956CB13" w14:textId="77777777" w:rsidR="00FA76B6" w:rsidRDefault="00FA76B6" w:rsidP="00FA76B6">
      <w:pPr>
        <w:spacing w:after="160" w:line="360" w:lineRule="auto"/>
        <w:ind w:left="720"/>
        <w:jc w:val="both"/>
        <w:rPr>
          <w:b/>
          <w:bCs/>
          <w:u w:val="single"/>
        </w:rPr>
      </w:pPr>
      <w:r>
        <w:rPr>
          <w:rFonts w:hint="cs"/>
          <w:rtl/>
        </w:rPr>
        <w:t xml:space="preserve">ב"כ המאשימה טען כי הנאשם ביצע עבירות חמורות שפגעו בשלום הציבור, בבריאותו  ובערכים המוגנים של מיגור נגע הסמים. עוד טען כי הנאשם לא שיתף פעולה עם שירות מבחן על אף ההזדמנויות הרבות שבית משפט  נתן לו ועל אף הענישה המקלה . בנוסף טען כי  מתחם העונש ההולם נע בין מאסר בפועל שניתן לרצותו בעבודות שירות ועד ל- 8 חודשי מאסר בפועל. בהתחשב בהסדר הטיעון ולאור אי התייצבות הנאשם בפני הממונה על עבודות שירות,     עתר להטיל על הנאשם  4 חודשי מאסר מאחורי סורג ובריח כעונש חילופי לשל"צ שהופקע. </w:t>
      </w:r>
      <w:r>
        <w:rPr>
          <w:rFonts w:hint="cs"/>
          <w:b/>
          <w:bCs/>
          <w:u w:val="single"/>
          <w:rtl/>
        </w:rPr>
        <w:t xml:space="preserve"> </w:t>
      </w:r>
    </w:p>
    <w:p w14:paraId="71B97662" w14:textId="77777777" w:rsidR="00FA76B6" w:rsidRDefault="00FA76B6" w:rsidP="00FA76B6">
      <w:pPr>
        <w:spacing w:line="360" w:lineRule="auto"/>
        <w:ind w:left="720"/>
        <w:jc w:val="both"/>
        <w:rPr>
          <w:rtl/>
        </w:rPr>
      </w:pPr>
      <w:r>
        <w:rPr>
          <w:rFonts w:hint="cs"/>
          <w:rtl/>
        </w:rPr>
        <w:t xml:space="preserve">ב"כ הנאשם עתר להטיל על הנאשם מאסר על תנאי, קנס ופיצוי ולחילופין עתר להטיל על הנאשם עונש מאסר שירוצה בעבודות שירות. ב"כ הנאשם טען כי אינו מקל ראש בהתנהלות של הנאשם.  לדבריו הנאשם ביצע 140 שעות של"צ ולא 100 שעות של"צ כטענת שירות מבחן, כשלא השלים את  עבודות של"צ מסיבות שאינן תלויות בו. עוד טען כי יש  להתחשב בחלוף הזמן, בכך שלא נפתחו לנאשם תיקים חדשים ושלו כתב האישום היה מוגש היום  היו מייחסים לנאשם עבירות של החזקת סם מסוכן לצריכה עצמית לאור שינוי מדיניות. בנוסף, עתר להתחשב בנאשם שהינו אב חד הורי אשר מטפל במסירות בילדיו ובהם קטין  </w:t>
      </w:r>
      <w:r>
        <w:rPr>
          <w:rFonts w:hint="cs"/>
          <w:rtl/>
        </w:rPr>
        <w:lastRenderedPageBreak/>
        <w:t>הסובל מבעיות בריאותיות, אשר מטעמי צנעת הפרט לא אפרטם, ובכך שהנאשם לא עובד.</w:t>
      </w:r>
      <w:r>
        <w:rPr>
          <w:rFonts w:hint="cs"/>
          <w:rtl/>
        </w:rPr>
        <w:br/>
      </w:r>
    </w:p>
    <w:p w14:paraId="72FF8FAD" w14:textId="77777777" w:rsidR="00FA76B6" w:rsidRDefault="00FA76B6" w:rsidP="00FA76B6">
      <w:pPr>
        <w:numPr>
          <w:ilvl w:val="0"/>
          <w:numId w:val="1"/>
        </w:numPr>
        <w:spacing w:line="360" w:lineRule="auto"/>
        <w:jc w:val="both"/>
        <w:rPr>
          <w:rtl/>
        </w:rPr>
      </w:pPr>
      <w:r>
        <w:rPr>
          <w:rFonts w:hint="cs"/>
          <w:rtl/>
        </w:rPr>
        <w:t>הנאשם עתר לבית משפט שלא להטיל עליו מאסר בפועל. לחילופין עתר ליתן לו הזדמנות  נוספת ולהפנותו שוב לממונה על עבודות שירות.</w:t>
      </w:r>
    </w:p>
    <w:p w14:paraId="5137C646" w14:textId="77777777" w:rsidR="00FA76B6" w:rsidRDefault="00FA76B6" w:rsidP="00FA76B6">
      <w:pPr>
        <w:spacing w:line="360" w:lineRule="auto"/>
        <w:ind w:left="720"/>
        <w:contextualSpacing/>
        <w:jc w:val="both"/>
      </w:pPr>
    </w:p>
    <w:p w14:paraId="63BE50F5" w14:textId="77777777" w:rsidR="00FA76B6" w:rsidRDefault="00FA76B6" w:rsidP="00FA76B6">
      <w:pPr>
        <w:numPr>
          <w:ilvl w:val="0"/>
          <w:numId w:val="1"/>
        </w:numPr>
        <w:spacing w:line="360" w:lineRule="auto"/>
        <w:jc w:val="both"/>
      </w:pPr>
      <w:r>
        <w:rPr>
          <w:rFonts w:hint="cs"/>
          <w:rtl/>
        </w:rPr>
        <w:t>לאחר ששקלתי את טיעוני ב"כ הצדדים ואת דברי הנאשם, דחיתי את מתן גזר הדין והפניתי את הנאשם לממונה על עבודות שירות. מחוות דעת של הממונה על עבודות שירות עולה כי הנאשם אינו מתאים לבצע עבודות שירות וזאת על פי המלצה של הרופא המטפל בו וטענת הנאשם כי אינו יכול לעבוד.</w:t>
      </w:r>
    </w:p>
    <w:p w14:paraId="1734A591" w14:textId="77777777" w:rsidR="00FA76B6" w:rsidRDefault="00FA76B6" w:rsidP="00FA76B6">
      <w:pPr>
        <w:spacing w:after="160" w:line="256" w:lineRule="auto"/>
        <w:ind w:left="720"/>
        <w:contextualSpacing/>
      </w:pPr>
    </w:p>
    <w:p w14:paraId="59C067FE" w14:textId="77777777" w:rsidR="00FA76B6" w:rsidRDefault="00FA76B6" w:rsidP="00FA76B6">
      <w:pPr>
        <w:numPr>
          <w:ilvl w:val="0"/>
          <w:numId w:val="1"/>
        </w:numPr>
        <w:spacing w:line="360" w:lineRule="auto"/>
        <w:jc w:val="both"/>
        <w:rPr>
          <w:rtl/>
        </w:rPr>
      </w:pPr>
      <w:r>
        <w:rPr>
          <w:rFonts w:hint="cs"/>
          <w:rtl/>
        </w:rPr>
        <w:t xml:space="preserve">הערך המוגן אשר נפגע כתוצאה מביצוע העבירות ע"י הנאשם, הינו פגיעה בחברה  מפני נזקים ארוכי טווח שעלולים להיגרם כתוצאה משימוש בסמים. מתחם העונש ההולם בהתחשב בנסיבות ביצוע העבירות, סוג הסם המסוכן, כמות הסם המסוכן והפסיקה נע בין מאסר על תנאי ושל"צ  לבין מספר חודשי מאסר בפועל.   </w:t>
      </w:r>
    </w:p>
    <w:p w14:paraId="45625D94" w14:textId="77777777" w:rsidR="00FA76B6" w:rsidRDefault="00FA76B6" w:rsidP="00FA76B6">
      <w:pPr>
        <w:spacing w:after="160" w:line="256" w:lineRule="auto"/>
        <w:ind w:left="720"/>
        <w:contextualSpacing/>
      </w:pPr>
    </w:p>
    <w:p w14:paraId="69ACDC97" w14:textId="77777777" w:rsidR="00FA76B6" w:rsidRDefault="00FA76B6" w:rsidP="00FA76B6">
      <w:pPr>
        <w:numPr>
          <w:ilvl w:val="0"/>
          <w:numId w:val="1"/>
        </w:numPr>
        <w:spacing w:line="360" w:lineRule="auto"/>
        <w:jc w:val="both"/>
        <w:rPr>
          <w:rtl/>
        </w:rPr>
      </w:pPr>
      <w:r>
        <w:rPr>
          <w:rFonts w:hint="cs"/>
          <w:rtl/>
        </w:rPr>
        <w:t xml:space="preserve">בבואי  לגזור את עונשו החילופי של הנאשם, עמדו לנגד עיני, בנוסף להסדר הטיעון, העובדה כי הנאשם ביצע 100 שעות של"צ  בלבד על  אף ההזדמנויות הרבות שנתתי לו. כן עמדו לנגד עיני חלוף הזמן, העובדה כי לא נפתחו לנאשם תיקים חדשים ונסיבותיו האישיות. </w:t>
      </w:r>
    </w:p>
    <w:p w14:paraId="2797874A" w14:textId="77777777" w:rsidR="00FA76B6" w:rsidRDefault="00FA76B6" w:rsidP="00FA76B6">
      <w:pPr>
        <w:spacing w:after="160" w:line="256" w:lineRule="auto"/>
        <w:ind w:left="720"/>
        <w:contextualSpacing/>
      </w:pPr>
    </w:p>
    <w:p w14:paraId="7B2DF413" w14:textId="77777777" w:rsidR="00FA76B6" w:rsidRDefault="00FA76B6" w:rsidP="00FA76B6">
      <w:pPr>
        <w:numPr>
          <w:ilvl w:val="0"/>
          <w:numId w:val="1"/>
        </w:numPr>
        <w:spacing w:line="360" w:lineRule="auto"/>
        <w:ind w:left="360"/>
        <w:contextualSpacing/>
        <w:jc w:val="both"/>
        <w:rPr>
          <w:rtl/>
        </w:rPr>
      </w:pPr>
      <w:r>
        <w:rPr>
          <w:rFonts w:hint="cs"/>
          <w:rtl/>
        </w:rPr>
        <w:t xml:space="preserve">לאחר ששקלתי את מכלול השיקולים החלטתי להטיל על הנאשם 2 חודשי מאסר. עוד החלטתי כי הנאשם יחל לרצות את עונש המאסר בפועל ביום 1.1.18, על מנת לאפשר לנאשם לפנות לממונה על עבודות שירות בבקשה לבחון התאמתו לעבודה המתאימה למצבו הרפואי.  </w:t>
      </w:r>
    </w:p>
    <w:p w14:paraId="2CF98712" w14:textId="77777777" w:rsidR="00FA76B6" w:rsidRDefault="00FA76B6" w:rsidP="00FA76B6">
      <w:pPr>
        <w:spacing w:line="360" w:lineRule="auto"/>
        <w:jc w:val="both"/>
        <w:rPr>
          <w:rtl/>
        </w:rPr>
      </w:pPr>
    </w:p>
    <w:p w14:paraId="7BBF9547" w14:textId="77777777" w:rsidR="00FA76B6" w:rsidRDefault="00FA76B6" w:rsidP="00FA76B6">
      <w:pPr>
        <w:spacing w:line="360" w:lineRule="auto"/>
        <w:jc w:val="both"/>
        <w:rPr>
          <w:rtl/>
        </w:rPr>
      </w:pPr>
      <w:r>
        <w:rPr>
          <w:rFonts w:hint="cs"/>
          <w:rtl/>
        </w:rPr>
        <w:t xml:space="preserve"> מובהר כי באם ימצא הנאשם כשיר לעבודות שירות, אאפשר לנאשם  להגיש בקשה  לבית משפט  לקביעת דיון נוסף.</w:t>
      </w:r>
    </w:p>
    <w:p w14:paraId="7FCEB987" w14:textId="77777777" w:rsidR="00FA76B6" w:rsidRDefault="00FA76B6" w:rsidP="00FA76B6">
      <w:pPr>
        <w:spacing w:line="360" w:lineRule="auto"/>
        <w:jc w:val="both"/>
        <w:rPr>
          <w:rtl/>
        </w:rPr>
      </w:pPr>
    </w:p>
    <w:p w14:paraId="38B0703F" w14:textId="77777777" w:rsidR="00FA76B6" w:rsidRPr="00FA76B6" w:rsidRDefault="00FA76B6" w:rsidP="00FA76B6">
      <w:pPr>
        <w:autoSpaceDE w:val="0"/>
        <w:autoSpaceDN w:val="0"/>
        <w:adjustRightInd w:val="0"/>
        <w:spacing w:after="160" w:line="360" w:lineRule="auto"/>
        <w:jc w:val="both"/>
        <w:rPr>
          <w:rFonts w:ascii="Calibri" w:hAnsi="Calibri"/>
          <w:rtl/>
        </w:rPr>
      </w:pPr>
      <w:r>
        <w:rPr>
          <w:rFonts w:hint="cs"/>
          <w:rtl/>
        </w:rPr>
        <w:t xml:space="preserve">מובהר לנאשם כי בהעדר החלטה אחרת עליו להתייצב </w:t>
      </w:r>
      <w:r w:rsidRPr="00FA76B6">
        <w:rPr>
          <w:rFonts w:ascii="Calibri" w:hAnsi="Calibri" w:hint="cs"/>
          <w:rtl/>
        </w:rPr>
        <w:t xml:space="preserve">לריצוי מאסרו בימ"ר ניצן ביום 1.1.18 עד השעה 10:00, או במתקן כליאה אחר על פי החלטת שב"ס, כשברשותו תעודת זהות. </w:t>
      </w:r>
    </w:p>
    <w:p w14:paraId="63CEF2A2" w14:textId="77777777" w:rsidR="00FA76B6" w:rsidRDefault="00FA76B6" w:rsidP="00FA76B6">
      <w:pPr>
        <w:spacing w:line="360" w:lineRule="auto"/>
        <w:jc w:val="both"/>
        <w:rPr>
          <w:rFonts w:ascii="David" w:hAnsi="David"/>
          <w:rtl/>
        </w:rPr>
      </w:pPr>
      <w:r w:rsidRPr="00FA76B6">
        <w:rPr>
          <w:rFonts w:ascii="Calibri" w:hAnsi="Calibri" w:hint="cs"/>
          <w:rtl/>
        </w:rPr>
        <w:t>על הנאשם לתאם את כניסתו למאסר, כולל האפשרות למיון מוקדם, עם ענף אבחון ומיון של שב"ס, טלפונים: 08-9787377, 08-9787336.</w:t>
      </w:r>
    </w:p>
    <w:p w14:paraId="153F1136" w14:textId="77777777" w:rsidR="00FA76B6" w:rsidRDefault="00FA76B6" w:rsidP="00FA76B6">
      <w:pPr>
        <w:spacing w:line="360" w:lineRule="auto"/>
        <w:jc w:val="both"/>
        <w:rPr>
          <w:rtl/>
        </w:rPr>
      </w:pPr>
      <w:r>
        <w:rPr>
          <w:rFonts w:hint="cs"/>
          <w:rtl/>
        </w:rPr>
        <w:t xml:space="preserve">   </w:t>
      </w:r>
    </w:p>
    <w:p w14:paraId="2F840EB9" w14:textId="77777777" w:rsidR="00FA76B6" w:rsidRDefault="00FA76B6" w:rsidP="00FA76B6">
      <w:pPr>
        <w:spacing w:line="360" w:lineRule="auto"/>
        <w:jc w:val="both"/>
        <w:rPr>
          <w:b/>
          <w:bCs/>
          <w:rtl/>
        </w:rPr>
      </w:pPr>
      <w:r>
        <w:rPr>
          <w:rFonts w:hint="cs"/>
          <w:b/>
          <w:bCs/>
          <w:rtl/>
        </w:rPr>
        <w:t>זכות ערעור תוך 45 יום לבית המשפט המחוזי.</w:t>
      </w:r>
    </w:p>
    <w:p w14:paraId="78359B55" w14:textId="77777777" w:rsidR="00FA76B6" w:rsidRDefault="00FA76B6" w:rsidP="00FA76B6">
      <w:pPr>
        <w:spacing w:line="360" w:lineRule="auto"/>
        <w:jc w:val="both"/>
        <w:rPr>
          <w:b/>
          <w:bCs/>
          <w:rtl/>
        </w:rPr>
      </w:pPr>
      <w:r>
        <w:rPr>
          <w:rFonts w:hint="cs"/>
          <w:b/>
          <w:bCs/>
          <w:rtl/>
        </w:rPr>
        <w:t xml:space="preserve"> </w:t>
      </w:r>
    </w:p>
    <w:p w14:paraId="3B94FAB3" w14:textId="77777777" w:rsidR="00FA76B6" w:rsidRDefault="00FA76B6" w:rsidP="00FA76B6">
      <w:pPr>
        <w:spacing w:line="360" w:lineRule="auto"/>
        <w:jc w:val="both"/>
        <w:rPr>
          <w:b/>
          <w:bCs/>
          <w:rtl/>
        </w:rPr>
      </w:pPr>
      <w:r>
        <w:rPr>
          <w:rFonts w:hint="cs"/>
          <w:b/>
          <w:bCs/>
          <w:rtl/>
        </w:rPr>
        <w:t xml:space="preserve">מזכירות תשלח עותק  של גזר הדין  לשב"ס, לממונה על עבודות שירות ולשירות המבחן. </w:t>
      </w:r>
    </w:p>
    <w:p w14:paraId="5D627161" w14:textId="77777777" w:rsidR="00FA76B6" w:rsidRPr="00FA76B6" w:rsidRDefault="00FA76B6" w:rsidP="00FA76B6">
      <w:pPr>
        <w:spacing w:after="160" w:line="256" w:lineRule="auto"/>
        <w:rPr>
          <w:rFonts w:ascii="Calibri" w:hAnsi="Calibri"/>
          <w:sz w:val="6"/>
          <w:szCs w:val="6"/>
          <w:rtl/>
        </w:rPr>
      </w:pPr>
      <w:r w:rsidRPr="00FA76B6">
        <w:rPr>
          <w:rFonts w:ascii="Calibri" w:hAnsi="Calibri" w:hint="cs"/>
          <w:sz w:val="6"/>
          <w:szCs w:val="6"/>
          <w:rtl/>
        </w:rPr>
        <w:t>&lt;#3#&gt;</w:t>
      </w:r>
    </w:p>
    <w:p w14:paraId="24A4739A" w14:textId="77777777" w:rsidR="00FA76B6" w:rsidRDefault="00FA76B6" w:rsidP="00FA76B6">
      <w:pPr>
        <w:jc w:val="right"/>
        <w:rPr>
          <w:rFonts w:ascii="David" w:eastAsia="David" w:hAnsi="David"/>
        </w:rPr>
      </w:pPr>
    </w:p>
    <w:p w14:paraId="53F39ADC" w14:textId="77777777" w:rsidR="00FA76B6" w:rsidRDefault="00FA76B6" w:rsidP="00FA76B6">
      <w:pPr>
        <w:spacing w:line="360" w:lineRule="auto"/>
        <w:rPr>
          <w:rtl/>
        </w:rPr>
      </w:pPr>
      <w:r>
        <w:rPr>
          <w:rFonts w:hint="cs"/>
          <w:b/>
          <w:bCs/>
          <w:rtl/>
        </w:rPr>
        <w:t xml:space="preserve">ניתנה והודעה היום ט"ז חשוון תשע"ח, </w:t>
      </w:r>
      <w:r>
        <w:rPr>
          <w:rFonts w:hint="cs"/>
          <w:b/>
          <w:bCs/>
        </w:rPr>
        <w:t>05/11/2017</w:t>
      </w:r>
      <w:r>
        <w:rPr>
          <w:rFonts w:hint="cs"/>
          <w:b/>
          <w:bCs/>
          <w:rtl/>
        </w:rPr>
        <w:t xml:space="preserve"> במעמד הנוכחים.</w:t>
      </w:r>
    </w:p>
    <w:p w14:paraId="4388C170" w14:textId="77777777" w:rsidR="00FA76B6" w:rsidRPr="00B05847" w:rsidRDefault="00FA76B6" w:rsidP="00FA76B6">
      <w:pPr>
        <w:spacing w:line="360" w:lineRule="auto"/>
        <w:rPr>
          <w:rtl/>
        </w:rPr>
      </w:pPr>
    </w:p>
    <w:p w14:paraId="7071C585" w14:textId="77777777" w:rsidR="00FA76B6" w:rsidRPr="00B05847" w:rsidRDefault="00FA76B6" w:rsidP="00FA76B6">
      <w:pPr>
        <w:spacing w:line="360" w:lineRule="auto"/>
        <w:rPr>
          <w:rtl/>
        </w:rPr>
      </w:pPr>
    </w:p>
    <w:p w14:paraId="57B3655E" w14:textId="77777777" w:rsidR="00FA76B6" w:rsidRPr="00B05847" w:rsidRDefault="00FA76B6" w:rsidP="00FA76B6">
      <w:pPr>
        <w:spacing w:line="360" w:lineRule="auto"/>
        <w:rPr>
          <w:rtl/>
        </w:rPr>
      </w:pPr>
    </w:p>
    <w:p w14:paraId="1844B047" w14:textId="77777777" w:rsidR="00FA76B6" w:rsidRPr="00B05847" w:rsidRDefault="00FA76B6" w:rsidP="00FA76B6">
      <w:pPr>
        <w:spacing w:line="360" w:lineRule="auto"/>
        <w:rPr>
          <w:rtl/>
        </w:rPr>
      </w:pPr>
    </w:p>
    <w:p w14:paraId="1E2B4134" w14:textId="77777777" w:rsidR="00FA76B6" w:rsidRPr="00B05847" w:rsidRDefault="00FA76B6" w:rsidP="00FA76B6">
      <w:pPr>
        <w:rPr>
          <w:rtl/>
        </w:rPr>
      </w:pPr>
    </w:p>
    <w:p w14:paraId="7C711E36" w14:textId="77777777" w:rsidR="00FA76B6" w:rsidRPr="00B05847" w:rsidRDefault="00FA76B6" w:rsidP="00FA76B6">
      <w:pPr>
        <w:rPr>
          <w:rtl/>
        </w:rPr>
      </w:pPr>
    </w:p>
    <w:p w14:paraId="1AA0F1E9" w14:textId="77777777" w:rsidR="00FA76B6" w:rsidRPr="00B05847" w:rsidRDefault="00FA76B6" w:rsidP="00FA76B6">
      <w:pPr>
        <w:rPr>
          <w:rtl/>
        </w:rPr>
      </w:pPr>
    </w:p>
    <w:p w14:paraId="2B6D2786" w14:textId="77777777" w:rsidR="00FA76B6" w:rsidRPr="00E55C53" w:rsidRDefault="00E55C53" w:rsidP="00FA76B6">
      <w:pPr>
        <w:rPr>
          <w:color w:val="FFFFFF"/>
          <w:sz w:val="2"/>
          <w:szCs w:val="2"/>
          <w:rtl/>
        </w:rPr>
      </w:pPr>
      <w:r w:rsidRPr="00E55C53">
        <w:rPr>
          <w:color w:val="FFFFFF"/>
          <w:sz w:val="2"/>
          <w:szCs w:val="2"/>
          <w:rtl/>
        </w:rPr>
        <w:t>5129371</w:t>
      </w:r>
    </w:p>
    <w:p w14:paraId="15921C25" w14:textId="77777777" w:rsidR="00FA76B6" w:rsidRPr="00250B83" w:rsidRDefault="00E55C53" w:rsidP="00FA76B6">
      <w:pPr>
        <w:rPr>
          <w:rtl/>
        </w:rPr>
      </w:pPr>
      <w:r w:rsidRPr="00E55C53">
        <w:rPr>
          <w:rFonts w:ascii="Arial" w:hAnsi="Arial"/>
          <w:color w:val="FFFFFF"/>
          <w:sz w:val="2"/>
          <w:szCs w:val="2"/>
          <w:rtl/>
        </w:rPr>
        <w:t>54678313</w:t>
      </w:r>
      <w:r>
        <w:rPr>
          <w:rFonts w:ascii="Arial" w:hAnsi="Arial"/>
          <w:rtl/>
        </w:rPr>
        <w:t xml:space="preserve">ניתן היום,  ט"ז חשוון תשע"ח, 05 נובמבר 2017, בהעדר הצדדים. </w:t>
      </w:r>
    </w:p>
    <w:p w14:paraId="214E7077" w14:textId="77777777" w:rsidR="00FA76B6" w:rsidRPr="00250B83" w:rsidRDefault="00FA76B6" w:rsidP="00FA76B6">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93D4179" w14:textId="77777777" w:rsidR="00FA76B6" w:rsidRPr="00250B83" w:rsidRDefault="00FA76B6" w:rsidP="00FA76B6">
      <w:pPr>
        <w:jc w:val="center"/>
        <w:rPr>
          <w:rFonts w:ascii="Arial" w:hAnsi="Arial"/>
          <w:rtl/>
        </w:rPr>
      </w:pPr>
    </w:p>
    <w:p w14:paraId="1E059A4C" w14:textId="77777777" w:rsidR="00FA76B6" w:rsidRPr="00250B83" w:rsidRDefault="00FA76B6" w:rsidP="00FA76B6">
      <w:pPr>
        <w:rPr>
          <w:rtl/>
        </w:rPr>
      </w:pPr>
    </w:p>
    <w:p w14:paraId="57FD1932" w14:textId="77777777" w:rsidR="00FA76B6" w:rsidRPr="00E5520D" w:rsidRDefault="00E5520D" w:rsidP="00FA76B6">
      <w:pPr>
        <w:pStyle w:val="a3"/>
        <w:jc w:val="center"/>
        <w:rPr>
          <w:color w:val="FFFFFF"/>
          <w:sz w:val="2"/>
          <w:szCs w:val="2"/>
          <w:rtl/>
        </w:rPr>
      </w:pPr>
      <w:r w:rsidRPr="00E5520D">
        <w:rPr>
          <w:color w:val="FFFFFF"/>
          <w:sz w:val="2"/>
          <w:szCs w:val="2"/>
          <w:rtl/>
        </w:rPr>
        <w:t>5129371</w:t>
      </w:r>
    </w:p>
    <w:p w14:paraId="23BC66DC" w14:textId="77777777" w:rsidR="002D7B2F" w:rsidRPr="00E5520D" w:rsidRDefault="00E5520D" w:rsidP="00E55C53">
      <w:pPr>
        <w:keepNext/>
        <w:rPr>
          <w:rFonts w:ascii="David" w:hAnsi="David" w:hint="cs"/>
          <w:color w:val="FFFFFF"/>
          <w:sz w:val="2"/>
          <w:szCs w:val="2"/>
          <w:rtl/>
        </w:rPr>
      </w:pPr>
      <w:r w:rsidRPr="00E5520D">
        <w:rPr>
          <w:rFonts w:ascii="David" w:hAnsi="David"/>
          <w:color w:val="FFFFFF"/>
          <w:sz w:val="2"/>
          <w:szCs w:val="2"/>
          <w:rtl/>
        </w:rPr>
        <w:t>54678313</w:t>
      </w:r>
    </w:p>
    <w:p w14:paraId="0DC2DBA5" w14:textId="77777777" w:rsidR="00E55C53" w:rsidRPr="00E55C53" w:rsidRDefault="00E55C53" w:rsidP="00E55C53">
      <w:pPr>
        <w:keepNext/>
        <w:rPr>
          <w:rFonts w:ascii="David" w:hAnsi="David"/>
          <w:color w:val="000000"/>
          <w:sz w:val="22"/>
          <w:szCs w:val="22"/>
          <w:rtl/>
        </w:rPr>
      </w:pPr>
      <w:r w:rsidRPr="00E55C53">
        <w:rPr>
          <w:rFonts w:ascii="David" w:hAnsi="David"/>
          <w:color w:val="000000"/>
          <w:sz w:val="22"/>
          <w:szCs w:val="22"/>
          <w:rtl/>
        </w:rPr>
        <w:t>יעל פרדלסקי 54678313</w:t>
      </w:r>
    </w:p>
    <w:p w14:paraId="0770F4A1" w14:textId="77777777" w:rsidR="00E55C53" w:rsidRDefault="00E55C53" w:rsidP="00E55C53">
      <w:r w:rsidRPr="00E55C53">
        <w:rPr>
          <w:color w:val="000000"/>
          <w:rtl/>
        </w:rPr>
        <w:t>נוסח מסמך זה כפוף לשינויי ניסוח ועריכה</w:t>
      </w:r>
    </w:p>
    <w:p w14:paraId="136573FF" w14:textId="77777777" w:rsidR="00E55C53" w:rsidRDefault="00E55C53" w:rsidP="00E55C53">
      <w:pPr>
        <w:rPr>
          <w:rtl/>
        </w:rPr>
      </w:pPr>
    </w:p>
    <w:p w14:paraId="361FB742" w14:textId="77777777" w:rsidR="00E55C53" w:rsidRDefault="00E55C53" w:rsidP="00E55C53">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r w:rsidR="006C3F17">
        <w:rPr>
          <w:rFonts w:hint="cs"/>
          <w:color w:val="0000FF"/>
          <w:u w:val="single"/>
          <w:rtl/>
        </w:rPr>
        <w:t xml:space="preserve"> </w:t>
      </w:r>
    </w:p>
    <w:p w14:paraId="79C62C99" w14:textId="77777777" w:rsidR="00E5520D" w:rsidRPr="00E5520D" w:rsidRDefault="00E5520D" w:rsidP="00E5520D">
      <w:pPr>
        <w:keepNext/>
        <w:rPr>
          <w:rFonts w:ascii="David" w:hAnsi="David" w:hint="cs"/>
          <w:color w:val="000000"/>
          <w:sz w:val="22"/>
          <w:szCs w:val="22"/>
          <w:rtl/>
        </w:rPr>
      </w:pPr>
    </w:p>
    <w:sectPr w:rsidR="00E5520D" w:rsidRPr="00E5520D" w:rsidSect="00E5520D">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7E2D9" w14:textId="77777777" w:rsidR="004751CC" w:rsidRDefault="004751CC" w:rsidP="00250814">
      <w:r>
        <w:separator/>
      </w:r>
    </w:p>
  </w:endnote>
  <w:endnote w:type="continuationSeparator" w:id="0">
    <w:p w14:paraId="4B3C46F9" w14:textId="77777777" w:rsidR="004751CC" w:rsidRDefault="004751CC" w:rsidP="00250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E1D0E" w14:textId="77777777" w:rsidR="008564BF" w:rsidRDefault="008564BF" w:rsidP="00E552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1D843E" w14:textId="77777777" w:rsidR="008564BF" w:rsidRPr="00E5520D" w:rsidRDefault="008564BF" w:rsidP="00E5520D">
    <w:pPr>
      <w:pStyle w:val="a5"/>
      <w:pBdr>
        <w:top w:val="single" w:sz="4" w:space="1" w:color="auto"/>
        <w:between w:val="single" w:sz="4" w:space="0" w:color="auto"/>
      </w:pBdr>
      <w:spacing w:after="60"/>
      <w:jc w:val="center"/>
      <w:rPr>
        <w:rFonts w:ascii="FrankRuehl" w:hAnsi="FrankRuehl" w:cs="FrankRuehl"/>
        <w:color w:val="000000"/>
      </w:rPr>
    </w:pPr>
    <w:r w:rsidRPr="00E5520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97C8F" w14:textId="77777777" w:rsidR="008564BF" w:rsidRDefault="008564BF" w:rsidP="00E552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0B92">
      <w:rPr>
        <w:rFonts w:ascii="FrankRuehl" w:hAnsi="FrankRuehl" w:cs="FrankRuehl"/>
        <w:noProof/>
        <w:rtl/>
      </w:rPr>
      <w:t>1</w:t>
    </w:r>
    <w:r>
      <w:rPr>
        <w:rFonts w:ascii="FrankRuehl" w:hAnsi="FrankRuehl" w:cs="FrankRuehl"/>
        <w:rtl/>
      </w:rPr>
      <w:fldChar w:fldCharType="end"/>
    </w:r>
  </w:p>
  <w:p w14:paraId="1D8C6985" w14:textId="77777777" w:rsidR="008564BF" w:rsidRPr="00E5520D" w:rsidRDefault="008564BF" w:rsidP="00E5520D">
    <w:pPr>
      <w:pStyle w:val="a5"/>
      <w:pBdr>
        <w:top w:val="single" w:sz="4" w:space="1" w:color="auto"/>
        <w:between w:val="single" w:sz="4" w:space="0" w:color="auto"/>
      </w:pBdr>
      <w:spacing w:after="60"/>
      <w:jc w:val="center"/>
      <w:rPr>
        <w:rFonts w:ascii="FrankRuehl" w:hAnsi="FrankRuehl" w:cs="FrankRuehl"/>
        <w:color w:val="000000"/>
      </w:rPr>
    </w:pPr>
    <w:r w:rsidRPr="00E5520D">
      <w:rPr>
        <w:rFonts w:ascii="FrankRuehl" w:hAnsi="FrankRuehl" w:cs="FrankRuehl"/>
        <w:color w:val="000000"/>
      </w:rPr>
      <w:pict w14:anchorId="4F518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309DF" w14:textId="77777777" w:rsidR="004751CC" w:rsidRDefault="004751CC" w:rsidP="00250814">
      <w:r>
        <w:separator/>
      </w:r>
    </w:p>
  </w:footnote>
  <w:footnote w:type="continuationSeparator" w:id="0">
    <w:p w14:paraId="1C821113" w14:textId="77777777" w:rsidR="004751CC" w:rsidRDefault="004751CC" w:rsidP="00250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2355B" w14:textId="77777777" w:rsidR="008564BF" w:rsidRPr="00E5520D" w:rsidRDefault="008564BF" w:rsidP="00E552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31798-04-12</w:t>
    </w:r>
    <w:r>
      <w:rPr>
        <w:rFonts w:ascii="David" w:hAnsi="David"/>
        <w:color w:val="000000"/>
        <w:sz w:val="22"/>
        <w:szCs w:val="22"/>
        <w:rtl/>
      </w:rPr>
      <w:tab/>
      <w:t xml:space="preserve"> מדינת ישראל נ' דוד ארתור זומרפילד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C8A99" w14:textId="77777777" w:rsidR="008564BF" w:rsidRPr="00E5520D" w:rsidRDefault="008564BF" w:rsidP="00E552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31798-04-12</w:t>
    </w:r>
    <w:r>
      <w:rPr>
        <w:rFonts w:ascii="David" w:hAnsi="David"/>
        <w:color w:val="000000"/>
        <w:sz w:val="22"/>
        <w:szCs w:val="22"/>
        <w:rtl/>
      </w:rPr>
      <w:tab/>
      <w:t xml:space="preserve"> מדינת ישראל נ' דוד ארתור זומרפילד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2398E"/>
    <w:multiLevelType w:val="hybridMultilevel"/>
    <w:tmpl w:val="3FF4BE16"/>
    <w:lvl w:ilvl="0" w:tplc="E38AA342">
      <w:start w:val="1"/>
      <w:numFmt w:val="decimal"/>
      <w:lvlText w:val="%1."/>
      <w:lvlJc w:val="left"/>
      <w:pPr>
        <w:ind w:left="720" w:hanging="360"/>
      </w:pPr>
      <w:rPr>
        <w:rFonts w:ascii="David" w:eastAsia="Times New Roman" w:hAnsi="David"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79554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76B6"/>
    <w:rsid w:val="00250814"/>
    <w:rsid w:val="002D7B2F"/>
    <w:rsid w:val="00403E72"/>
    <w:rsid w:val="004751CC"/>
    <w:rsid w:val="006C3F17"/>
    <w:rsid w:val="008564BF"/>
    <w:rsid w:val="00A90B92"/>
    <w:rsid w:val="00AA5360"/>
    <w:rsid w:val="00BA16A0"/>
    <w:rsid w:val="00BC1E99"/>
    <w:rsid w:val="00C71BBE"/>
    <w:rsid w:val="00E5520D"/>
    <w:rsid w:val="00E55C53"/>
    <w:rsid w:val="00E9005A"/>
    <w:rsid w:val="00FA76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6F1A9E2"/>
  <w15:chartTrackingRefBased/>
  <w15:docId w15:val="{4A2C197C-FB6A-45CE-9CF9-856E1074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76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76B6"/>
    <w:pPr>
      <w:tabs>
        <w:tab w:val="center" w:pos="4153"/>
        <w:tab w:val="right" w:pos="8306"/>
      </w:tabs>
    </w:pPr>
  </w:style>
  <w:style w:type="character" w:customStyle="1" w:styleId="a4">
    <w:name w:val="כותרת עליונה תו"/>
    <w:link w:val="a3"/>
    <w:rsid w:val="00FA76B6"/>
    <w:rPr>
      <w:rFonts w:ascii="Times New Roman" w:eastAsia="Times New Roman" w:hAnsi="Times New Roman" w:cs="David"/>
      <w:sz w:val="24"/>
      <w:szCs w:val="24"/>
    </w:rPr>
  </w:style>
  <w:style w:type="paragraph" w:styleId="a5">
    <w:name w:val="footer"/>
    <w:basedOn w:val="a"/>
    <w:link w:val="a6"/>
    <w:rsid w:val="00FA76B6"/>
    <w:pPr>
      <w:tabs>
        <w:tab w:val="center" w:pos="4153"/>
        <w:tab w:val="right" w:pos="8306"/>
      </w:tabs>
    </w:pPr>
  </w:style>
  <w:style w:type="character" w:customStyle="1" w:styleId="a6">
    <w:name w:val="כותרת תחתונה תו"/>
    <w:link w:val="a5"/>
    <w:rsid w:val="00FA76B6"/>
    <w:rPr>
      <w:rFonts w:ascii="Times New Roman" w:eastAsia="Times New Roman" w:hAnsi="Times New Roman" w:cs="David"/>
      <w:sz w:val="24"/>
      <w:szCs w:val="24"/>
    </w:rPr>
  </w:style>
  <w:style w:type="table" w:styleId="a7">
    <w:name w:val="Table Grid"/>
    <w:basedOn w:val="a1"/>
    <w:rsid w:val="00FA76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A76B6"/>
  </w:style>
  <w:style w:type="paragraph" w:customStyle="1" w:styleId="12">
    <w:name w:val="רגיל + ‏12 נק'"/>
    <w:aliases w:val="מיושר לשני הצדדים,מרווח בין שורות:  שורה וחצי"/>
    <w:basedOn w:val="a"/>
    <w:rsid w:val="00FA76B6"/>
    <w:rPr>
      <w:b/>
      <w:bCs/>
      <w:u w:val="single"/>
    </w:rPr>
  </w:style>
  <w:style w:type="character" w:styleId="Hyperlink">
    <w:name w:val="Hyperlink"/>
    <w:rsid w:val="00E55C53"/>
    <w:rPr>
      <w:color w:val="0563C1"/>
      <w:u w:val="single"/>
    </w:rPr>
  </w:style>
  <w:style w:type="character" w:styleId="a9">
    <w:name w:val="Unresolved Mention"/>
    <w:rsid w:val="00E55C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10"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5077</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6080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31798</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דוד ארתור זומרפילד</vt:lpwstr>
  </property>
  <property fmtid="{D5CDD505-2E9C-101B-9397-08002B2CF9AE}" pid="10" name="LAWYER">
    <vt:lpwstr>אנה גולדנהירש;דניאל וייס</vt:lpwstr>
  </property>
  <property fmtid="{D5CDD505-2E9C-101B-9397-08002B2CF9AE}" pid="11" name="JUDGE">
    <vt:lpwstr>יעל פרדלסקי</vt:lpwstr>
  </property>
  <property fmtid="{D5CDD505-2E9C-101B-9397-08002B2CF9AE}" pid="12" name="CITY">
    <vt:lpwstr>ת"א</vt:lpwstr>
  </property>
  <property fmtid="{D5CDD505-2E9C-101B-9397-08002B2CF9AE}" pid="13" name="DATE">
    <vt:lpwstr>20171105</vt:lpwstr>
  </property>
  <property fmtid="{D5CDD505-2E9C-101B-9397-08002B2CF9AE}" pid="14" name="TYPE_N_DATE">
    <vt:lpwstr>38020171105</vt:lpwstr>
  </property>
  <property fmtid="{D5CDD505-2E9C-101B-9397-08002B2CF9AE}" pid="15" name="WORDNUMPAGES">
    <vt:lpwstr>4</vt:lpwstr>
  </property>
  <property fmtid="{D5CDD505-2E9C-101B-9397-08002B2CF9AE}" pid="16" name="TYPE_ABS_DATE">
    <vt:lpwstr>380020171105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4216/010;006;007.a;007.c</vt:lpwstr>
  </property>
  <property fmtid="{D5CDD505-2E9C-101B-9397-08002B2CF9AE}" pid="36" name="LAWLISTTMP2">
    <vt:lpwstr>70301</vt:lpwstr>
  </property>
</Properties>
</file>