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625290" w:rsidRPr="00FE279A" w14:paraId="4EDF34EB" w14:textId="77777777">
        <w:trPr>
          <w:trHeight w:hRule="exact" w:val="418"/>
          <w:jc w:val="center"/>
        </w:trPr>
        <w:tc>
          <w:tcPr>
            <w:tcW w:w="8720" w:type="dxa"/>
            <w:gridSpan w:val="3"/>
          </w:tcPr>
          <w:p w14:paraId="4E668A94" w14:textId="77777777" w:rsidR="00625290" w:rsidRPr="00FE279A" w:rsidRDefault="00FE279A">
            <w:pPr>
              <w:pStyle w:val="a3"/>
              <w:tabs>
                <w:tab w:val="clear" w:pos="8306"/>
              </w:tabs>
              <w:jc w:val="center"/>
              <w:rPr>
                <w:rFonts w:ascii="Tahoma" w:hAnsi="Tahoma" w:cs="Tahoma"/>
                <w:b/>
                <w:bCs/>
                <w:color w:val="000080"/>
                <w:sz w:val="20"/>
                <w:szCs w:val="20"/>
                <w:rtl/>
              </w:rPr>
            </w:pPr>
            <w:r w:rsidRPr="00FE279A">
              <w:rPr>
                <w:rFonts w:ascii="Tahoma" w:hAnsi="Tahoma" w:cs="Tahoma"/>
                <w:b/>
                <w:bCs/>
                <w:color w:val="000080"/>
                <w:sz w:val="20"/>
                <w:szCs w:val="20"/>
                <w:rtl/>
              </w:rPr>
              <w:t>בית משפט השלום בירושלים</w:t>
            </w:r>
          </w:p>
        </w:tc>
      </w:tr>
      <w:tr w:rsidR="00625290" w:rsidRPr="00FE279A" w14:paraId="1B2EC460" w14:textId="77777777">
        <w:trPr>
          <w:trHeight w:val="337"/>
          <w:jc w:val="center"/>
        </w:trPr>
        <w:tc>
          <w:tcPr>
            <w:tcW w:w="3973" w:type="dxa"/>
          </w:tcPr>
          <w:p w14:paraId="63FDFD73" w14:textId="77777777" w:rsidR="00625290" w:rsidRPr="00FE279A" w:rsidRDefault="00FE279A">
            <w:pPr>
              <w:rPr>
                <w:b/>
                <w:bCs/>
                <w:sz w:val="26"/>
                <w:szCs w:val="26"/>
                <w:rtl/>
              </w:rPr>
            </w:pPr>
            <w:r w:rsidRPr="00FE279A">
              <w:rPr>
                <w:b/>
                <w:bCs/>
                <w:sz w:val="26"/>
                <w:szCs w:val="26"/>
                <w:rtl/>
              </w:rPr>
              <w:t>ת"פ</w:t>
            </w:r>
            <w:r w:rsidRPr="00FE279A">
              <w:rPr>
                <w:rFonts w:hint="cs"/>
                <w:b/>
                <w:bCs/>
                <w:sz w:val="26"/>
                <w:szCs w:val="26"/>
                <w:rtl/>
              </w:rPr>
              <w:t xml:space="preserve"> </w:t>
            </w:r>
            <w:r w:rsidRPr="00FE279A">
              <w:rPr>
                <w:b/>
                <w:bCs/>
                <w:sz w:val="26"/>
                <w:szCs w:val="26"/>
                <w:rtl/>
              </w:rPr>
              <w:t>36376-04-12</w:t>
            </w:r>
            <w:r w:rsidRPr="00FE279A">
              <w:rPr>
                <w:rFonts w:hint="cs"/>
                <w:b/>
                <w:bCs/>
                <w:sz w:val="26"/>
                <w:szCs w:val="26"/>
                <w:rtl/>
              </w:rPr>
              <w:t xml:space="preserve"> </w:t>
            </w:r>
            <w:r w:rsidRPr="00FE279A">
              <w:rPr>
                <w:b/>
                <w:bCs/>
                <w:sz w:val="26"/>
                <w:szCs w:val="26"/>
                <w:rtl/>
              </w:rPr>
              <w:t>מדינת ישראל נ' ווקנין</w:t>
            </w:r>
          </w:p>
          <w:p w14:paraId="21F11C11" w14:textId="77777777" w:rsidR="00625290" w:rsidRPr="00FE279A" w:rsidRDefault="00625290">
            <w:pPr>
              <w:rPr>
                <w:b/>
                <w:bCs/>
                <w:sz w:val="26"/>
                <w:szCs w:val="26"/>
                <w:rtl/>
              </w:rPr>
            </w:pPr>
          </w:p>
        </w:tc>
        <w:tc>
          <w:tcPr>
            <w:tcW w:w="1068" w:type="dxa"/>
          </w:tcPr>
          <w:p w14:paraId="39CE723F" w14:textId="77777777" w:rsidR="00625290" w:rsidRPr="00FE279A" w:rsidRDefault="00625290">
            <w:pPr>
              <w:pStyle w:val="a3"/>
              <w:jc w:val="right"/>
              <w:rPr>
                <w:b/>
                <w:bCs/>
                <w:sz w:val="26"/>
                <w:szCs w:val="26"/>
                <w:rtl/>
              </w:rPr>
            </w:pPr>
          </w:p>
        </w:tc>
        <w:tc>
          <w:tcPr>
            <w:tcW w:w="3679" w:type="dxa"/>
          </w:tcPr>
          <w:p w14:paraId="4001ABF6" w14:textId="77777777" w:rsidR="00625290" w:rsidRPr="00FE279A" w:rsidRDefault="00FE279A">
            <w:pPr>
              <w:pStyle w:val="a3"/>
              <w:tabs>
                <w:tab w:val="clear" w:pos="4153"/>
              </w:tabs>
              <w:jc w:val="right"/>
              <w:rPr>
                <w:b/>
                <w:bCs/>
                <w:sz w:val="26"/>
                <w:szCs w:val="26"/>
                <w:rtl/>
              </w:rPr>
            </w:pPr>
            <w:r w:rsidRPr="00FE279A">
              <w:rPr>
                <w:b/>
                <w:bCs/>
                <w:sz w:val="26"/>
                <w:szCs w:val="26"/>
                <w:rtl/>
              </w:rPr>
              <w:t>03 נובמבר 2013</w:t>
            </w:r>
          </w:p>
        </w:tc>
      </w:tr>
    </w:tbl>
    <w:p w14:paraId="6C305FB4" w14:textId="77777777" w:rsidR="00625290" w:rsidRPr="00FE279A" w:rsidRDefault="00625290">
      <w:pPr>
        <w:pStyle w:val="a3"/>
        <w:jc w:val="center"/>
        <w:rPr>
          <w:rFonts w:ascii="Tahoma" w:hAnsi="Tahoma" w:cs="Tahoma"/>
          <w:b/>
          <w:bCs/>
          <w:color w:val="000080"/>
          <w:sz w:val="20"/>
          <w:szCs w:val="20"/>
          <w:rtl/>
        </w:rPr>
      </w:pPr>
    </w:p>
    <w:p w14:paraId="16D46B83" w14:textId="77777777" w:rsidR="00625290" w:rsidRPr="00FE279A" w:rsidRDefault="00625290">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625290" w:rsidRPr="00FE279A" w14:paraId="595B2904" w14:textId="77777777">
        <w:trPr>
          <w:gridAfter w:val="1"/>
          <w:wAfter w:w="55" w:type="dxa"/>
        </w:trPr>
        <w:tc>
          <w:tcPr>
            <w:tcW w:w="8719" w:type="dxa"/>
            <w:gridSpan w:val="2"/>
          </w:tcPr>
          <w:p w14:paraId="6E2D4273" w14:textId="77777777" w:rsidR="00625290" w:rsidRPr="00FE279A" w:rsidRDefault="00FE279A">
            <w:pPr>
              <w:spacing w:line="360" w:lineRule="auto"/>
              <w:jc w:val="both"/>
              <w:rPr>
                <w:rFonts w:ascii="Times New Roman" w:eastAsia="Times New Roman" w:hAnsi="Times New Roman"/>
                <w:b/>
                <w:bCs/>
                <w:sz w:val="26"/>
                <w:szCs w:val="26"/>
                <w:rtl/>
              </w:rPr>
            </w:pPr>
            <w:r w:rsidRPr="00FE279A">
              <w:rPr>
                <w:rFonts w:ascii="Times New Roman" w:eastAsia="Times New Roman" w:hAnsi="Times New Roman"/>
                <w:b/>
                <w:bCs/>
                <w:sz w:val="26"/>
                <w:szCs w:val="26"/>
                <w:rtl/>
              </w:rPr>
              <w:t>בפני כב' השופטת חגית מאק קלמנוביץ, ס. נשיא</w:t>
            </w:r>
          </w:p>
        </w:tc>
      </w:tr>
      <w:tr w:rsidR="00625290" w:rsidRPr="00FE279A" w14:paraId="3AFD0235" w14:textId="77777777">
        <w:tc>
          <w:tcPr>
            <w:tcW w:w="2880" w:type="dxa"/>
          </w:tcPr>
          <w:p w14:paraId="19416662" w14:textId="77777777" w:rsidR="00625290" w:rsidRPr="00FE279A" w:rsidRDefault="00FE279A">
            <w:pPr>
              <w:ind w:left="26"/>
              <w:rPr>
                <w:rFonts w:ascii="Times New Roman" w:eastAsia="Times New Roman" w:hAnsi="Times New Roman"/>
                <w:b/>
                <w:bCs/>
                <w:sz w:val="26"/>
                <w:szCs w:val="26"/>
                <w:rtl/>
              </w:rPr>
            </w:pPr>
            <w:bookmarkStart w:id="0" w:name="FirstAppellant"/>
            <w:bookmarkStart w:id="1" w:name="LastJudge"/>
            <w:bookmarkEnd w:id="1"/>
            <w:r w:rsidRPr="00FE279A">
              <w:rPr>
                <w:rFonts w:ascii="Times New Roman" w:eastAsia="Times New Roman" w:hAnsi="Times New Roman" w:hint="cs"/>
                <w:b/>
                <w:bCs/>
                <w:sz w:val="26"/>
                <w:szCs w:val="26"/>
                <w:rtl/>
              </w:rPr>
              <w:t>ה</w:t>
            </w:r>
            <w:r w:rsidRPr="00FE279A">
              <w:rPr>
                <w:rFonts w:ascii="Times New Roman" w:eastAsia="Times New Roman" w:hAnsi="Times New Roman" w:hint="cs"/>
                <w:rtl/>
              </w:rPr>
              <w:t>מאשימה</w:t>
            </w:r>
          </w:p>
        </w:tc>
        <w:tc>
          <w:tcPr>
            <w:tcW w:w="5922" w:type="dxa"/>
            <w:gridSpan w:val="2"/>
          </w:tcPr>
          <w:p w14:paraId="7D016E9A" w14:textId="77777777" w:rsidR="00625290" w:rsidRPr="00FE279A" w:rsidRDefault="00FE279A">
            <w:pPr>
              <w:rPr>
                <w:rFonts w:ascii="Times New Roman" w:eastAsia="Times New Roman" w:hAnsi="Times New Roman"/>
                <w:b/>
                <w:bCs/>
                <w:sz w:val="26"/>
                <w:szCs w:val="26"/>
                <w:rtl/>
              </w:rPr>
            </w:pPr>
            <w:r w:rsidRPr="00FE279A">
              <w:rPr>
                <w:rFonts w:ascii="Times New Roman" w:eastAsia="Times New Roman" w:hAnsi="Times New Roman" w:hint="cs"/>
                <w:rtl/>
              </w:rPr>
              <w:t>מדינת ישראל</w:t>
            </w:r>
          </w:p>
        </w:tc>
      </w:tr>
      <w:bookmarkEnd w:id="0"/>
      <w:tr w:rsidR="00625290" w:rsidRPr="00FE279A" w14:paraId="447204CF" w14:textId="77777777">
        <w:tc>
          <w:tcPr>
            <w:tcW w:w="8802" w:type="dxa"/>
            <w:gridSpan w:val="3"/>
          </w:tcPr>
          <w:p w14:paraId="174A7343" w14:textId="77777777" w:rsidR="00625290" w:rsidRPr="00FE279A" w:rsidRDefault="00625290">
            <w:pPr>
              <w:jc w:val="both"/>
              <w:rPr>
                <w:rFonts w:ascii="Arial" w:eastAsia="Times New Roman" w:hAnsi="Arial"/>
                <w:b/>
                <w:bCs/>
                <w:sz w:val="26"/>
                <w:szCs w:val="26"/>
                <w:rtl/>
              </w:rPr>
            </w:pPr>
          </w:p>
          <w:p w14:paraId="1E349A2C" w14:textId="77777777" w:rsidR="00625290" w:rsidRPr="00FE279A" w:rsidRDefault="00FE279A">
            <w:pPr>
              <w:jc w:val="center"/>
              <w:rPr>
                <w:rFonts w:ascii="Arial" w:eastAsia="Times New Roman" w:hAnsi="Arial"/>
                <w:b/>
                <w:bCs/>
                <w:sz w:val="26"/>
                <w:szCs w:val="26"/>
                <w:rtl/>
              </w:rPr>
            </w:pPr>
            <w:r w:rsidRPr="00FE279A">
              <w:rPr>
                <w:rFonts w:ascii="Arial" w:eastAsia="Times New Roman" w:hAnsi="Arial"/>
                <w:b/>
                <w:bCs/>
                <w:sz w:val="26"/>
                <w:szCs w:val="26"/>
                <w:rtl/>
              </w:rPr>
              <w:t>נגד</w:t>
            </w:r>
          </w:p>
          <w:p w14:paraId="630B52BD" w14:textId="77777777" w:rsidR="00625290" w:rsidRPr="00FE279A" w:rsidRDefault="00625290">
            <w:pPr>
              <w:jc w:val="center"/>
              <w:rPr>
                <w:rFonts w:ascii="Arial" w:eastAsia="Times New Roman" w:hAnsi="Arial"/>
                <w:b/>
                <w:bCs/>
                <w:sz w:val="26"/>
                <w:szCs w:val="26"/>
              </w:rPr>
            </w:pPr>
          </w:p>
        </w:tc>
      </w:tr>
      <w:tr w:rsidR="00625290" w:rsidRPr="00FE279A" w14:paraId="566AE2D4" w14:textId="77777777">
        <w:tc>
          <w:tcPr>
            <w:tcW w:w="2880" w:type="dxa"/>
          </w:tcPr>
          <w:p w14:paraId="652F6578" w14:textId="77777777" w:rsidR="00625290" w:rsidRPr="00FE279A" w:rsidRDefault="00FE279A">
            <w:pPr>
              <w:ind w:left="26"/>
              <w:rPr>
                <w:rFonts w:ascii="Times New Roman" w:eastAsia="Times New Roman" w:hAnsi="Times New Roman"/>
                <w:b/>
                <w:bCs/>
                <w:sz w:val="26"/>
                <w:szCs w:val="26"/>
                <w:rtl/>
              </w:rPr>
            </w:pPr>
            <w:r w:rsidRPr="00FE279A">
              <w:rPr>
                <w:rFonts w:ascii="Times New Roman" w:eastAsia="Times New Roman" w:hAnsi="Times New Roman" w:hint="cs"/>
                <w:b/>
                <w:bCs/>
                <w:sz w:val="26"/>
                <w:szCs w:val="26"/>
                <w:rtl/>
              </w:rPr>
              <w:t>ה</w:t>
            </w:r>
            <w:r w:rsidRPr="00FE279A">
              <w:rPr>
                <w:rFonts w:ascii="Times New Roman" w:eastAsia="Times New Roman" w:hAnsi="Times New Roman" w:hint="cs"/>
                <w:rtl/>
              </w:rPr>
              <w:t>נאשמים</w:t>
            </w:r>
          </w:p>
        </w:tc>
        <w:tc>
          <w:tcPr>
            <w:tcW w:w="5922" w:type="dxa"/>
            <w:gridSpan w:val="2"/>
          </w:tcPr>
          <w:p w14:paraId="6654987D" w14:textId="77777777" w:rsidR="00625290" w:rsidRPr="00FE279A" w:rsidRDefault="00FE279A">
            <w:pPr>
              <w:rPr>
                <w:rFonts w:ascii="Times New Roman" w:eastAsia="Times New Roman" w:hAnsi="Times New Roman"/>
                <w:b/>
                <w:bCs/>
                <w:sz w:val="26"/>
                <w:szCs w:val="26"/>
                <w:rtl/>
              </w:rPr>
            </w:pPr>
            <w:r w:rsidRPr="00FE279A">
              <w:rPr>
                <w:rFonts w:ascii="Times New Roman" w:eastAsia="Times New Roman" w:hAnsi="Times New Roman" w:hint="cs"/>
                <w:rtl/>
              </w:rPr>
              <w:t>עידן ווקנין</w:t>
            </w:r>
          </w:p>
        </w:tc>
      </w:tr>
    </w:tbl>
    <w:p w14:paraId="5D8CBCAD" w14:textId="77777777" w:rsidR="00625290" w:rsidRPr="00FE279A" w:rsidRDefault="00FE279A">
      <w:pPr>
        <w:spacing w:line="360" w:lineRule="auto"/>
        <w:jc w:val="both"/>
        <w:rPr>
          <w:sz w:val="6"/>
          <w:szCs w:val="6"/>
          <w:rtl/>
        </w:rPr>
      </w:pPr>
      <w:r w:rsidRPr="00FE279A">
        <w:rPr>
          <w:sz w:val="6"/>
          <w:szCs w:val="6"/>
          <w:rtl/>
        </w:rPr>
        <w:t>&lt;#2#&gt;</w:t>
      </w:r>
    </w:p>
    <w:p w14:paraId="7B2F14A2" w14:textId="77777777" w:rsidR="00625290" w:rsidRPr="00FE279A" w:rsidRDefault="00FE279A">
      <w:pPr>
        <w:pStyle w:val="12"/>
        <w:rPr>
          <w:u w:val="none"/>
          <w:rtl/>
        </w:rPr>
      </w:pPr>
      <w:r w:rsidRPr="00FE279A">
        <w:rPr>
          <w:rFonts w:hint="cs"/>
          <w:u w:val="none"/>
          <w:rtl/>
        </w:rPr>
        <w:t>נוכחים:</w:t>
      </w:r>
    </w:p>
    <w:p w14:paraId="5837783F" w14:textId="77777777" w:rsidR="00625290" w:rsidRPr="00FE279A" w:rsidRDefault="00FE279A">
      <w:pPr>
        <w:pStyle w:val="12"/>
        <w:rPr>
          <w:sz w:val="4"/>
          <w:szCs w:val="4"/>
          <w:u w:val="none"/>
          <w:rtl/>
        </w:rPr>
      </w:pPr>
      <w:r w:rsidRPr="00FE279A">
        <w:rPr>
          <w:rFonts w:hint="cs"/>
          <w:b w:val="0"/>
          <w:bCs w:val="0"/>
          <w:sz w:val="4"/>
          <w:szCs w:val="4"/>
          <w:u w:val="none"/>
          <w:rtl/>
        </w:rPr>
        <w:t xml:space="preserve"> </w:t>
      </w:r>
    </w:p>
    <w:p w14:paraId="630CEA37" w14:textId="77777777" w:rsidR="00625290" w:rsidRPr="00FE279A" w:rsidRDefault="00FE279A">
      <w:pPr>
        <w:pStyle w:val="12"/>
        <w:rPr>
          <w:b w:val="0"/>
          <w:bCs w:val="0"/>
          <w:u w:val="none"/>
          <w:rtl/>
        </w:rPr>
      </w:pPr>
      <w:bookmarkStart w:id="2" w:name="FirstLawyer"/>
      <w:r w:rsidRPr="00FE279A">
        <w:rPr>
          <w:rFonts w:hint="cs"/>
          <w:u w:val="none"/>
          <w:rtl/>
        </w:rPr>
        <w:t>ב"כ</w:t>
      </w:r>
      <w:bookmarkEnd w:id="2"/>
      <w:r w:rsidRPr="00FE279A">
        <w:rPr>
          <w:rFonts w:hint="cs"/>
          <w:u w:val="none"/>
          <w:rtl/>
        </w:rPr>
        <w:t xml:space="preserve"> המאשימה עו"ד עינת מירז </w:t>
      </w:r>
      <w:r w:rsidRPr="00FE279A">
        <w:rPr>
          <w:rFonts w:hint="cs"/>
          <w:u w:val="none"/>
          <w:rtl/>
        </w:rPr>
        <w:br/>
        <w:t>ב"כ הנאשם עו"ד</w:t>
      </w:r>
      <w:r w:rsidRPr="00FE279A">
        <w:rPr>
          <w:rFonts w:hint="cs"/>
          <w:b w:val="0"/>
          <w:bCs w:val="0"/>
          <w:u w:val="none"/>
          <w:rtl/>
        </w:rPr>
        <w:t xml:space="preserve"> </w:t>
      </w:r>
      <w:r w:rsidRPr="00FE279A">
        <w:rPr>
          <w:rFonts w:hint="cs"/>
          <w:u w:val="none"/>
          <w:rtl/>
        </w:rPr>
        <w:t>יהודה</w:t>
      </w:r>
      <w:r w:rsidRPr="00FE279A">
        <w:rPr>
          <w:rFonts w:hint="cs"/>
          <w:b w:val="0"/>
          <w:bCs w:val="0"/>
          <w:u w:val="none"/>
          <w:rtl/>
        </w:rPr>
        <w:t xml:space="preserve"> </w:t>
      </w:r>
      <w:r w:rsidRPr="00FE279A">
        <w:rPr>
          <w:rFonts w:hint="cs"/>
          <w:u w:val="none"/>
          <w:rtl/>
        </w:rPr>
        <w:t>שושן</w:t>
      </w:r>
      <w:r w:rsidRPr="00FE279A">
        <w:rPr>
          <w:rFonts w:hint="cs"/>
          <w:b w:val="0"/>
          <w:bCs w:val="0"/>
          <w:u w:val="none"/>
          <w:rtl/>
        </w:rPr>
        <w:t xml:space="preserve">  </w:t>
      </w:r>
    </w:p>
    <w:p w14:paraId="01823E50" w14:textId="77777777" w:rsidR="00625290" w:rsidRPr="00FE279A" w:rsidRDefault="00FE279A">
      <w:pPr>
        <w:pStyle w:val="12"/>
        <w:rPr>
          <w:u w:val="none"/>
          <w:rtl/>
        </w:rPr>
      </w:pPr>
      <w:r w:rsidRPr="00FE279A">
        <w:rPr>
          <w:rFonts w:hint="cs"/>
          <w:b w:val="0"/>
          <w:bCs w:val="0"/>
          <w:u w:val="none"/>
          <w:rtl/>
        </w:rPr>
        <w:t xml:space="preserve">הנאשם בעצמו </w:t>
      </w:r>
    </w:p>
    <w:p w14:paraId="7C9D3FFA" w14:textId="77777777" w:rsidR="00625290" w:rsidRPr="00FE279A" w:rsidRDefault="00FE279A">
      <w:pPr>
        <w:spacing w:line="360" w:lineRule="auto"/>
        <w:jc w:val="center"/>
        <w:rPr>
          <w:rFonts w:eastAsia="Times New Roman"/>
          <w:b/>
          <w:bCs/>
          <w:sz w:val="32"/>
          <w:szCs w:val="32"/>
          <w:rtl/>
        </w:rPr>
      </w:pPr>
      <w:r w:rsidRPr="00FE279A">
        <w:rPr>
          <w:rFonts w:eastAsia="Times New Roman"/>
          <w:b/>
          <w:color w:val="FF0000"/>
          <w:sz w:val="32"/>
          <w:rtl/>
        </w:rPr>
        <w:t>במסמך זה הושמטו פרוטוקולים</w:t>
      </w:r>
    </w:p>
    <w:p w14:paraId="37AC4D83" w14:textId="77777777" w:rsidR="00FE279A" w:rsidRPr="00FE279A" w:rsidRDefault="00FE279A">
      <w:pPr>
        <w:spacing w:line="360" w:lineRule="auto"/>
        <w:jc w:val="center"/>
        <w:rPr>
          <w:rFonts w:eastAsia="Times New Roman"/>
          <w:b/>
          <w:bCs/>
          <w:sz w:val="32"/>
          <w:szCs w:val="32"/>
          <w:rtl/>
        </w:rPr>
      </w:pPr>
    </w:p>
    <w:p w14:paraId="68266AFC" w14:textId="77777777" w:rsidR="00FE279A" w:rsidRPr="00FE279A" w:rsidRDefault="00FE279A" w:rsidP="00FE279A">
      <w:pPr>
        <w:spacing w:line="360" w:lineRule="auto"/>
        <w:jc w:val="center"/>
        <w:rPr>
          <w:rFonts w:eastAsia="Times New Roman"/>
          <w:b/>
          <w:bCs/>
          <w:sz w:val="32"/>
          <w:szCs w:val="32"/>
          <w:u w:val="single"/>
          <w:rtl/>
        </w:rPr>
      </w:pPr>
      <w:bookmarkStart w:id="3" w:name="PsakDin"/>
      <w:r w:rsidRPr="00FE279A">
        <w:rPr>
          <w:rFonts w:eastAsia="Times New Roman"/>
          <w:b/>
          <w:bCs/>
          <w:sz w:val="32"/>
          <w:szCs w:val="32"/>
          <w:u w:val="single"/>
          <w:rtl/>
        </w:rPr>
        <w:t>גזר דין</w:t>
      </w:r>
    </w:p>
    <w:bookmarkEnd w:id="3"/>
    <w:p w14:paraId="24E341EE" w14:textId="77777777" w:rsidR="00625290" w:rsidRDefault="00625290">
      <w:pPr>
        <w:spacing w:line="360" w:lineRule="auto"/>
        <w:jc w:val="both"/>
        <w:rPr>
          <w:rtl/>
        </w:rPr>
      </w:pPr>
    </w:p>
    <w:p w14:paraId="3D650F05" w14:textId="77777777" w:rsidR="00625290" w:rsidRDefault="00FE279A">
      <w:pPr>
        <w:spacing w:line="360" w:lineRule="auto"/>
        <w:jc w:val="both"/>
        <w:rPr>
          <w:rtl/>
        </w:rPr>
      </w:pPr>
      <w:bookmarkStart w:id="4" w:name="ABSTRACT_START"/>
      <w:bookmarkEnd w:id="4"/>
      <w:r>
        <w:rPr>
          <w:rFonts w:hint="cs"/>
          <w:rtl/>
        </w:rPr>
        <w:t xml:space="preserve">הנאשם הורשע בתיק זה בשתי עבירות של סחר בסמים וכן צירף תיקים נוספים בהם הורשע בהיזק לרכוש ובהחזקת סם לשימוש עצמי. הצדדים הגיעו להסדר שלפיו לאחר תקופה של מעקב ובכפוף לתסקירים חיוביים, יוטל על הנאשם עונש של מאסר בעבודות שירות וכן עונשים נוספים כפי שפורטו. </w:t>
      </w:r>
    </w:p>
    <w:p w14:paraId="68FDF833" w14:textId="77777777" w:rsidR="00625290" w:rsidRDefault="00625290">
      <w:pPr>
        <w:spacing w:line="360" w:lineRule="auto"/>
        <w:jc w:val="both"/>
        <w:rPr>
          <w:rtl/>
        </w:rPr>
      </w:pPr>
      <w:bookmarkStart w:id="5" w:name="ABSTRACT_END"/>
      <w:bookmarkEnd w:id="5"/>
    </w:p>
    <w:p w14:paraId="72279E02" w14:textId="77777777" w:rsidR="00625290" w:rsidRDefault="00FE279A">
      <w:pPr>
        <w:spacing w:line="360" w:lineRule="auto"/>
        <w:jc w:val="both"/>
        <w:rPr>
          <w:rtl/>
        </w:rPr>
      </w:pPr>
      <w:r>
        <w:rPr>
          <w:rFonts w:hint="cs"/>
          <w:rtl/>
        </w:rPr>
        <w:t>העונש עליו הסכימו הצדדים הוא עונש מקל שאינו משקף את רמת הענישה המקובלת לעבירות של סחר בסמים. אולם במקרים מתאימים, יש מקום לענישה כזו, בדרך כלל כאשר מדובר בנאשם ששינה את אורח חייו ועבר הליך שיקום משמעותי.</w:t>
      </w:r>
    </w:p>
    <w:p w14:paraId="74E598A0" w14:textId="77777777" w:rsidR="00625290" w:rsidRDefault="00625290">
      <w:pPr>
        <w:spacing w:line="360" w:lineRule="auto"/>
        <w:jc w:val="both"/>
        <w:rPr>
          <w:rtl/>
        </w:rPr>
      </w:pPr>
    </w:p>
    <w:p w14:paraId="271D3387" w14:textId="77777777" w:rsidR="00625290" w:rsidRDefault="00FE279A">
      <w:pPr>
        <w:spacing w:line="360" w:lineRule="auto"/>
        <w:jc w:val="both"/>
        <w:rPr>
          <w:rtl/>
        </w:rPr>
      </w:pPr>
      <w:r>
        <w:rPr>
          <w:rFonts w:hint="cs"/>
          <w:rtl/>
        </w:rPr>
        <w:t>במקרה זה כלל ההסדר הסכמה על מעקב לתקופה ממושכת כדי לוודא שהנאשם אכן מתמיד בדרכו החיובית. בתסקיר האחרון שהוגש לקראת הדיון היום, ציינה קצינת המבחן שהנאשם ממשיך בתפקוד תקין ומנהל אורח חיים נורמטיבי ולאחרונה אף התארס עם בת זוגו.</w:t>
      </w:r>
    </w:p>
    <w:p w14:paraId="264E9032" w14:textId="77777777" w:rsidR="00625290" w:rsidRDefault="00625290">
      <w:pPr>
        <w:spacing w:line="360" w:lineRule="auto"/>
        <w:jc w:val="both"/>
        <w:rPr>
          <w:rtl/>
        </w:rPr>
      </w:pPr>
    </w:p>
    <w:p w14:paraId="2EFE92F3" w14:textId="77777777" w:rsidR="00625290" w:rsidRDefault="00FE279A">
      <w:pPr>
        <w:spacing w:line="360" w:lineRule="auto"/>
        <w:jc w:val="both"/>
        <w:rPr>
          <w:rtl/>
        </w:rPr>
      </w:pPr>
      <w:r>
        <w:rPr>
          <w:rFonts w:hint="cs"/>
          <w:rtl/>
        </w:rPr>
        <w:t>בנסיבות אלו אני סבורה שהסדר הטיעון סביר ואני מקבלת אותו.</w:t>
      </w:r>
    </w:p>
    <w:p w14:paraId="7758445F" w14:textId="77777777" w:rsidR="00625290" w:rsidRDefault="00625290">
      <w:pPr>
        <w:spacing w:line="360" w:lineRule="auto"/>
        <w:jc w:val="both"/>
        <w:rPr>
          <w:rtl/>
        </w:rPr>
      </w:pPr>
    </w:p>
    <w:p w14:paraId="1043F763" w14:textId="77777777" w:rsidR="00625290" w:rsidRDefault="00FE279A">
      <w:pPr>
        <w:spacing w:line="360" w:lineRule="auto"/>
        <w:jc w:val="both"/>
        <w:rPr>
          <w:rtl/>
        </w:rPr>
      </w:pPr>
      <w:r>
        <w:rPr>
          <w:rFonts w:hint="cs"/>
          <w:rtl/>
        </w:rPr>
        <w:t>אני דנה את הנאשם לעונש כדלקמן:</w:t>
      </w:r>
    </w:p>
    <w:p w14:paraId="1A7642A5" w14:textId="77777777" w:rsidR="00625290" w:rsidRDefault="00FE279A">
      <w:pPr>
        <w:spacing w:line="360" w:lineRule="auto"/>
        <w:ind w:left="720" w:hanging="720"/>
        <w:jc w:val="both"/>
        <w:rPr>
          <w:rtl/>
        </w:rPr>
      </w:pPr>
      <w:r>
        <w:rPr>
          <w:rFonts w:hint="cs"/>
          <w:rtl/>
        </w:rPr>
        <w:t>1.</w:t>
      </w:r>
      <w:r>
        <w:rPr>
          <w:rFonts w:hint="cs"/>
          <w:rtl/>
        </w:rPr>
        <w:tab/>
        <w:t>מאסר בפועל שירוצה בעבודות שירות למשך 5 חודשים בניכוי 23 ימים שבהם שהה הנאשם במעצר. הנאשם יבצע את עבודות השירות בהתאם לחוות דעת הממונה ויתייצב ביום 12.11.13 בשעה 9:00 במפקדת מחוז דרום בשב"ס.</w:t>
      </w:r>
    </w:p>
    <w:p w14:paraId="45E777D4" w14:textId="77777777" w:rsidR="00625290" w:rsidRDefault="00FE279A">
      <w:pPr>
        <w:spacing w:line="360" w:lineRule="auto"/>
        <w:ind w:left="720" w:hanging="720"/>
        <w:jc w:val="both"/>
        <w:rPr>
          <w:rtl/>
        </w:rPr>
      </w:pPr>
      <w:r>
        <w:rPr>
          <w:rFonts w:hint="cs"/>
          <w:rtl/>
        </w:rPr>
        <w:lastRenderedPageBreak/>
        <w:t>2.</w:t>
      </w:r>
      <w:r>
        <w:rPr>
          <w:rFonts w:hint="cs"/>
          <w:rtl/>
        </w:rPr>
        <w:tab/>
        <w:t xml:space="preserve">קנס כספי בסך 5,000 ₪. מסכום זה יקוזז סכום של 1,600 ₪ שנתפסו אצל הנאשם, כך שהנאשם יידרש לשלם 3,400 ₪. סכום זה יקוזז כנגד ההפקדה העומדת לזכות הנאשם בתיק המעצר </w:t>
      </w:r>
      <w:hyperlink r:id="rId6" w:history="1">
        <w:r w:rsidRPr="00FE279A">
          <w:rPr>
            <w:rStyle w:val="Hyperlink"/>
            <w:rFonts w:hint="eastAsia"/>
            <w:rtl/>
          </w:rPr>
          <w:t>מ</w:t>
        </w:r>
        <w:r w:rsidRPr="00FE279A">
          <w:rPr>
            <w:rStyle w:val="Hyperlink"/>
            <w:rtl/>
          </w:rPr>
          <w:t>"ת 36391-04-12</w:t>
        </w:r>
      </w:hyperlink>
      <w:r>
        <w:rPr>
          <w:rFonts w:hint="cs"/>
          <w:rtl/>
        </w:rPr>
        <w:t xml:space="preserve">. יתרת ההפקדה לאחר הקיזוז תוחזר לנאשם. </w:t>
      </w:r>
    </w:p>
    <w:p w14:paraId="5BECC938" w14:textId="77777777" w:rsidR="00625290" w:rsidRDefault="00FE279A">
      <w:pPr>
        <w:spacing w:line="360" w:lineRule="auto"/>
        <w:ind w:left="720" w:hanging="720"/>
        <w:jc w:val="both"/>
        <w:rPr>
          <w:rtl/>
        </w:rPr>
      </w:pPr>
      <w:r>
        <w:rPr>
          <w:rFonts w:hint="cs"/>
          <w:rtl/>
        </w:rPr>
        <w:t>3.</w:t>
      </w:r>
      <w:r>
        <w:rPr>
          <w:rFonts w:hint="cs"/>
          <w:rtl/>
        </w:rPr>
        <w:tab/>
        <w:t>מאסר על תנאי ל-3 חודשים למשך 3 שנים על כל עבירה לפי פקודת הסמים.</w:t>
      </w:r>
    </w:p>
    <w:p w14:paraId="25F054F1" w14:textId="77777777" w:rsidR="00625290" w:rsidRDefault="00FE279A">
      <w:pPr>
        <w:spacing w:line="360" w:lineRule="auto"/>
        <w:ind w:left="720" w:hanging="720"/>
        <w:jc w:val="both"/>
        <w:rPr>
          <w:rtl/>
        </w:rPr>
      </w:pPr>
      <w:r>
        <w:rPr>
          <w:rFonts w:hint="cs"/>
          <w:rtl/>
        </w:rPr>
        <w:t>4.</w:t>
      </w:r>
      <w:r>
        <w:rPr>
          <w:rFonts w:hint="cs"/>
          <w:rtl/>
        </w:rPr>
        <w:tab/>
        <w:t>פסילת רישיון נהיגה על תנאי ל-30 יום, אם הנאשם יבצע בתוך 3 שנים מהיום עבירה על פקודת הסמים.</w:t>
      </w:r>
    </w:p>
    <w:p w14:paraId="0FF77519" w14:textId="77777777" w:rsidR="00625290" w:rsidRDefault="00FE279A">
      <w:pPr>
        <w:spacing w:line="360" w:lineRule="auto"/>
        <w:ind w:left="720" w:hanging="720"/>
        <w:jc w:val="both"/>
        <w:rPr>
          <w:rtl/>
        </w:rPr>
      </w:pPr>
      <w:r>
        <w:rPr>
          <w:rFonts w:hint="cs"/>
          <w:rtl/>
        </w:rPr>
        <w:t>5.</w:t>
      </w:r>
      <w:r>
        <w:rPr>
          <w:rFonts w:hint="cs"/>
          <w:rtl/>
        </w:rPr>
        <w:tab/>
        <w:t>הסם יושמד.</w:t>
      </w:r>
    </w:p>
    <w:p w14:paraId="235407DE" w14:textId="77777777" w:rsidR="00625290" w:rsidRDefault="00625290">
      <w:pPr>
        <w:spacing w:line="360" w:lineRule="auto"/>
        <w:ind w:left="720" w:hanging="720"/>
        <w:jc w:val="both"/>
        <w:rPr>
          <w:rtl/>
        </w:rPr>
      </w:pPr>
    </w:p>
    <w:p w14:paraId="69BE8392" w14:textId="77777777" w:rsidR="00625290" w:rsidRDefault="00FE279A">
      <w:pPr>
        <w:spacing w:line="360" w:lineRule="auto"/>
        <w:ind w:left="720" w:hanging="720"/>
        <w:jc w:val="both"/>
        <w:rPr>
          <w:rtl/>
        </w:rPr>
      </w:pPr>
      <w:r>
        <w:rPr>
          <w:rFonts w:hint="cs"/>
          <w:rtl/>
        </w:rPr>
        <w:t xml:space="preserve">זכות ערעור לבית המשפט המחוזי בירושלים בתוך 45 יום מהיום. </w:t>
      </w:r>
    </w:p>
    <w:p w14:paraId="4CCA7385" w14:textId="77777777" w:rsidR="00625290" w:rsidRDefault="00FE279A">
      <w:pPr>
        <w:spacing w:line="360" w:lineRule="auto"/>
        <w:jc w:val="both"/>
        <w:rPr>
          <w:sz w:val="6"/>
          <w:szCs w:val="6"/>
          <w:rtl/>
        </w:rPr>
      </w:pPr>
      <w:r>
        <w:rPr>
          <w:rFonts w:hint="cs"/>
          <w:sz w:val="6"/>
          <w:szCs w:val="6"/>
          <w:rtl/>
        </w:rPr>
        <w:t>&lt;#4#&gt;</w:t>
      </w:r>
    </w:p>
    <w:p w14:paraId="0DBE9C59" w14:textId="77777777" w:rsidR="00625290" w:rsidRDefault="00625290">
      <w:pPr>
        <w:jc w:val="right"/>
        <w:rPr>
          <w:rtl/>
        </w:rPr>
      </w:pPr>
    </w:p>
    <w:p w14:paraId="6480AC71" w14:textId="77777777" w:rsidR="00625290" w:rsidRDefault="00FE279A">
      <w:pPr>
        <w:jc w:val="center"/>
        <w:rPr>
          <w:rtl/>
        </w:rPr>
      </w:pPr>
      <w:r>
        <w:rPr>
          <w:b/>
          <w:bCs/>
          <w:rtl/>
        </w:rPr>
        <w:t xml:space="preserve">ניתנה והודעה היום ל' חשון תשע"ד, 03/11/2013 במעמד הנוכחים. </w:t>
      </w:r>
    </w:p>
    <w:p w14:paraId="3764480A" w14:textId="77777777" w:rsidR="00625290" w:rsidRPr="00FE279A" w:rsidRDefault="00FE279A">
      <w:pPr>
        <w:jc w:val="right"/>
        <w:rPr>
          <w:color w:val="FFFFFF"/>
          <w:sz w:val="2"/>
          <w:szCs w:val="2"/>
          <w:rtl/>
        </w:rPr>
      </w:pPr>
      <w:bookmarkStart w:id="6" w:name="_GoBack"/>
      <w:bookmarkEnd w:id="6"/>
      <w:r w:rsidRPr="00FE279A">
        <w:rPr>
          <w:color w:val="FFFFFF"/>
          <w:sz w:val="2"/>
          <w:szCs w:val="2"/>
          <w:rtl/>
        </w:rPr>
        <w:t>5129371</w:t>
      </w:r>
    </w:p>
    <w:tbl>
      <w:tblPr>
        <w:bidiVisual/>
        <w:tblW w:w="0" w:type="auto"/>
        <w:tblInd w:w="814" w:type="dxa"/>
        <w:tblBorders>
          <w:insideH w:val="single" w:sz="4" w:space="0" w:color="auto"/>
          <w:insideV w:val="single" w:sz="4" w:space="0" w:color="auto"/>
        </w:tblBorders>
        <w:tblLook w:val="01E0" w:firstRow="1" w:lastRow="1" w:firstColumn="1" w:lastColumn="1" w:noHBand="0" w:noVBand="0"/>
      </w:tblPr>
      <w:tblGrid>
        <w:gridCol w:w="3708"/>
      </w:tblGrid>
      <w:tr w:rsidR="00625290" w14:paraId="4365DC92" w14:textId="77777777">
        <w:trPr>
          <w:trHeight w:val="364"/>
        </w:trPr>
        <w:tc>
          <w:tcPr>
            <w:tcW w:w="3708" w:type="dxa"/>
            <w:tcBorders>
              <w:top w:val="nil"/>
              <w:left w:val="nil"/>
              <w:bottom w:val="single" w:sz="4" w:space="0" w:color="auto"/>
              <w:right w:val="nil"/>
            </w:tcBorders>
          </w:tcPr>
          <w:p w14:paraId="1D2C6B12" w14:textId="77777777" w:rsidR="00625290" w:rsidRPr="00FE279A" w:rsidRDefault="00FE279A">
            <w:pPr>
              <w:jc w:val="center"/>
              <w:rPr>
                <w:rFonts w:ascii="Times New Roman" w:eastAsia="Times New Roman" w:hAnsi="Times New Roman" w:cs="Times New Roman"/>
                <w:color w:val="FFFFFF"/>
                <w:sz w:val="2"/>
                <w:szCs w:val="2"/>
                <w:rtl/>
              </w:rPr>
            </w:pPr>
            <w:r w:rsidRPr="00FE279A">
              <w:rPr>
                <w:rFonts w:ascii="Times New Roman" w:eastAsia="Times New Roman" w:hAnsi="Times New Roman" w:cs="Times New Roman"/>
                <w:color w:val="FFFFFF"/>
                <w:sz w:val="2"/>
                <w:szCs w:val="2"/>
                <w:rtl/>
              </w:rPr>
              <w:t>54678313</w:t>
            </w:r>
          </w:p>
          <w:p w14:paraId="4C14574C" w14:textId="77777777" w:rsidR="00625290" w:rsidRDefault="00625290">
            <w:pPr>
              <w:jc w:val="center"/>
              <w:rPr>
                <w:rFonts w:ascii="Times New Roman" w:eastAsia="Times New Roman" w:hAnsi="Times New Roman" w:cs="Times New Roman"/>
              </w:rPr>
            </w:pPr>
          </w:p>
        </w:tc>
      </w:tr>
      <w:tr w:rsidR="00625290" w14:paraId="5F862627" w14:textId="77777777">
        <w:trPr>
          <w:trHeight w:val="415"/>
        </w:trPr>
        <w:tc>
          <w:tcPr>
            <w:tcW w:w="3708" w:type="dxa"/>
            <w:tcBorders>
              <w:top w:val="single" w:sz="4" w:space="0" w:color="auto"/>
              <w:left w:val="nil"/>
              <w:bottom w:val="nil"/>
              <w:right w:val="nil"/>
            </w:tcBorders>
          </w:tcPr>
          <w:p w14:paraId="35CB9E56" w14:textId="77777777" w:rsidR="00625290" w:rsidRDefault="00FE279A">
            <w:pPr>
              <w:jc w:val="center"/>
              <w:rPr>
                <w:rFonts w:ascii="Times New Roman" w:eastAsia="Times New Roman" w:hAnsi="Times New Roman"/>
                <w:b/>
                <w:bCs/>
              </w:rPr>
            </w:pPr>
            <w:r>
              <w:rPr>
                <w:rFonts w:ascii="Times New Roman" w:eastAsia="Times New Roman" w:hAnsi="Times New Roman" w:hint="cs"/>
                <w:rtl/>
              </w:rPr>
              <w:t>חגית</w:t>
            </w:r>
            <w:r>
              <w:rPr>
                <w:rFonts w:ascii="Times New Roman" w:eastAsia="Times New Roman" w:hAnsi="Times New Roman" w:hint="cs"/>
                <w:b/>
                <w:bCs/>
                <w:rtl/>
              </w:rPr>
              <w:t xml:space="preserve"> </w:t>
            </w:r>
            <w:r>
              <w:rPr>
                <w:rFonts w:ascii="Times New Roman" w:eastAsia="Times New Roman" w:hAnsi="Times New Roman" w:hint="cs"/>
                <w:rtl/>
              </w:rPr>
              <w:t>מאק-קלמנוביץ</w:t>
            </w:r>
            <w:r>
              <w:rPr>
                <w:rFonts w:ascii="Times New Roman" w:eastAsia="Times New Roman" w:hAnsi="Times New Roman" w:hint="cs"/>
                <w:b/>
                <w:bCs/>
                <w:rtl/>
              </w:rPr>
              <w:t xml:space="preserve">, </w:t>
            </w:r>
            <w:r>
              <w:rPr>
                <w:rFonts w:ascii="Times New Roman" w:eastAsia="Times New Roman" w:hAnsi="Times New Roman" w:hint="cs"/>
                <w:rtl/>
              </w:rPr>
              <w:t>סגנית נשיא</w:t>
            </w:r>
          </w:p>
        </w:tc>
      </w:tr>
    </w:tbl>
    <w:p w14:paraId="38728900" w14:textId="77777777" w:rsidR="00625290" w:rsidRDefault="00625290">
      <w:pPr>
        <w:jc w:val="right"/>
        <w:rPr>
          <w:rtl/>
        </w:rPr>
      </w:pPr>
    </w:p>
    <w:p w14:paraId="1CFE8EE2" w14:textId="77777777" w:rsidR="00625290" w:rsidRDefault="00FE279A">
      <w:r>
        <w:rPr>
          <w:rtl/>
        </w:rPr>
        <w:t>הוקלד</w:t>
      </w:r>
      <w:r>
        <w:t xml:space="preserve"> </w:t>
      </w:r>
      <w:r>
        <w:rPr>
          <w:rtl/>
        </w:rPr>
        <w:t>על</w:t>
      </w:r>
      <w:r>
        <w:t xml:space="preserve"> </w:t>
      </w:r>
      <w:r>
        <w:rPr>
          <w:rtl/>
        </w:rPr>
        <w:t>ידי</w:t>
      </w:r>
      <w:r>
        <w:t xml:space="preserve"> </w:t>
      </w:r>
      <w:r>
        <w:rPr>
          <w:rtl/>
        </w:rPr>
        <w:t>ציפי</w:t>
      </w:r>
      <w:r>
        <w:t xml:space="preserve"> </w:t>
      </w:r>
      <w:r>
        <w:rPr>
          <w:rtl/>
        </w:rPr>
        <w:t>חטבי</w:t>
      </w:r>
    </w:p>
    <w:p w14:paraId="6CBC2B52" w14:textId="77777777" w:rsidR="00FE279A" w:rsidRPr="00FE279A" w:rsidRDefault="00FE279A" w:rsidP="00FE279A">
      <w:pPr>
        <w:keepNext/>
        <w:rPr>
          <w:color w:val="000000"/>
          <w:sz w:val="22"/>
          <w:szCs w:val="22"/>
          <w:rtl/>
        </w:rPr>
      </w:pPr>
    </w:p>
    <w:p w14:paraId="09D6E3FA" w14:textId="77777777" w:rsidR="00FE279A" w:rsidRPr="00FE279A" w:rsidRDefault="00FE279A" w:rsidP="00FE279A">
      <w:pPr>
        <w:keepNext/>
        <w:rPr>
          <w:color w:val="000000"/>
          <w:sz w:val="22"/>
          <w:szCs w:val="22"/>
          <w:rtl/>
        </w:rPr>
      </w:pPr>
      <w:r w:rsidRPr="00FE279A">
        <w:rPr>
          <w:color w:val="000000"/>
          <w:sz w:val="22"/>
          <w:szCs w:val="22"/>
          <w:rtl/>
        </w:rPr>
        <w:t>חגית מאק קלמנוביץ 54678313</w:t>
      </w:r>
    </w:p>
    <w:p w14:paraId="13F4929D" w14:textId="77777777" w:rsidR="00FE279A" w:rsidRDefault="00FE279A" w:rsidP="00FE279A">
      <w:r w:rsidRPr="00FE279A">
        <w:rPr>
          <w:color w:val="000000"/>
          <w:rtl/>
        </w:rPr>
        <w:t>נוסח מסמך זה כפוף לשינויי ניסוח ועריכה</w:t>
      </w:r>
    </w:p>
    <w:p w14:paraId="28A94BA1" w14:textId="77777777" w:rsidR="00FE279A" w:rsidRDefault="00FE279A" w:rsidP="00FE279A">
      <w:pPr>
        <w:rPr>
          <w:rtl/>
        </w:rPr>
      </w:pPr>
    </w:p>
    <w:p w14:paraId="01C73AFB" w14:textId="77777777" w:rsidR="00FE279A" w:rsidRDefault="00FE279A" w:rsidP="00FE279A">
      <w:pPr>
        <w:jc w:val="center"/>
        <w:rPr>
          <w:color w:val="0000FF"/>
          <w:u w:val="single"/>
        </w:rPr>
      </w:pPr>
      <w:hyperlink r:id="rId7" w:history="1">
        <w:r>
          <w:rPr>
            <w:color w:val="0000FF"/>
            <w:u w:val="single"/>
            <w:rtl/>
          </w:rPr>
          <w:t>בעניין עריכה ושינויים במסמכי פסיקה, חקיקה ועוד באתר נבו – הקש כאן</w:t>
        </w:r>
      </w:hyperlink>
    </w:p>
    <w:p w14:paraId="532E5A57" w14:textId="77777777" w:rsidR="00625290" w:rsidRPr="00FE279A" w:rsidRDefault="00625290" w:rsidP="00FE279A">
      <w:pPr>
        <w:jc w:val="center"/>
        <w:rPr>
          <w:color w:val="0000FF"/>
          <w:u w:val="single"/>
        </w:rPr>
      </w:pPr>
    </w:p>
    <w:sectPr w:rsidR="00625290" w:rsidRPr="00FE279A" w:rsidSect="00FE279A">
      <w:headerReference w:type="even" r:id="rId8"/>
      <w:headerReference w:type="default" r:id="rId9"/>
      <w:footerReference w:type="even" r:id="rId10"/>
      <w:footerReference w:type="default" r:id="rId1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3EFE2" w14:textId="77777777" w:rsidR="002D502A" w:rsidRPr="00EB7C8A" w:rsidRDefault="002D502A">
      <w:pPr>
        <w:rPr>
          <w:rFonts w:cs="Arial"/>
          <w:szCs w:val="20"/>
        </w:rPr>
      </w:pPr>
      <w:r>
        <w:separator/>
      </w:r>
    </w:p>
  </w:endnote>
  <w:endnote w:type="continuationSeparator" w:id="0">
    <w:p w14:paraId="2ED41484" w14:textId="77777777" w:rsidR="002D502A" w:rsidRPr="00EB7C8A" w:rsidRDefault="002D502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62C31" w14:textId="77777777" w:rsidR="00FE279A" w:rsidRDefault="00FE279A" w:rsidP="00FE279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134A0FE5" w14:textId="77777777" w:rsidR="00625290" w:rsidRPr="00FE279A" w:rsidRDefault="00FE279A" w:rsidP="00FE279A">
    <w:pPr>
      <w:pStyle w:val="a4"/>
      <w:pBdr>
        <w:top w:val="single" w:sz="4" w:space="1" w:color="auto"/>
        <w:between w:val="single" w:sz="4" w:space="0" w:color="auto"/>
      </w:pBdr>
      <w:spacing w:after="60"/>
      <w:jc w:val="center"/>
      <w:rPr>
        <w:rFonts w:ascii="FrankRuehl" w:hAnsi="FrankRuehl" w:cs="FrankRuehl"/>
        <w:color w:val="000000"/>
      </w:rPr>
    </w:pPr>
    <w:r w:rsidRPr="00FE279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00B" w14:textId="77777777" w:rsidR="00FE279A" w:rsidRDefault="00FE279A" w:rsidP="00FE279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5432E">
      <w:rPr>
        <w:rFonts w:ascii="FrankRuehl" w:hAnsi="FrankRuehl" w:cs="FrankRuehl"/>
        <w:noProof/>
        <w:rtl/>
      </w:rPr>
      <w:t>1</w:t>
    </w:r>
    <w:r>
      <w:rPr>
        <w:rFonts w:ascii="FrankRuehl" w:hAnsi="FrankRuehl" w:cs="FrankRuehl"/>
        <w:rtl/>
      </w:rPr>
      <w:fldChar w:fldCharType="end"/>
    </w:r>
  </w:p>
  <w:p w14:paraId="5B1BDF4E" w14:textId="77777777" w:rsidR="00625290" w:rsidRPr="00FE279A" w:rsidRDefault="00FE279A" w:rsidP="00FE279A">
    <w:pPr>
      <w:pStyle w:val="a4"/>
      <w:pBdr>
        <w:top w:val="single" w:sz="4" w:space="1" w:color="auto"/>
        <w:between w:val="single" w:sz="4" w:space="0" w:color="auto"/>
      </w:pBdr>
      <w:spacing w:after="60"/>
      <w:jc w:val="center"/>
      <w:rPr>
        <w:rFonts w:ascii="FrankRuehl" w:hAnsi="FrankRuehl" w:cs="FrankRuehl"/>
        <w:color w:val="000000"/>
      </w:rPr>
    </w:pPr>
    <w:r w:rsidRPr="00FE279A">
      <w:rPr>
        <w:rFonts w:ascii="FrankRuehl" w:hAnsi="FrankRuehl" w:cs="FrankRuehl"/>
        <w:color w:val="000000"/>
      </w:rPr>
      <w:pict w14:anchorId="487329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5F5B4" w14:textId="77777777" w:rsidR="002D502A" w:rsidRPr="00EB7C8A" w:rsidRDefault="002D502A">
      <w:pPr>
        <w:rPr>
          <w:rFonts w:cs="Arial"/>
          <w:szCs w:val="20"/>
        </w:rPr>
      </w:pPr>
      <w:r>
        <w:separator/>
      </w:r>
    </w:p>
  </w:footnote>
  <w:footnote w:type="continuationSeparator" w:id="0">
    <w:p w14:paraId="13387426" w14:textId="77777777" w:rsidR="002D502A" w:rsidRPr="00EB7C8A" w:rsidRDefault="002D502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EE380" w14:textId="77777777" w:rsidR="00FE279A" w:rsidRPr="00FE279A" w:rsidRDefault="00FE279A" w:rsidP="00FE279A">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(י-ם) 36376-04-12</w:t>
    </w:r>
    <w:r>
      <w:rPr>
        <w:color w:val="000000"/>
        <w:sz w:val="22"/>
        <w:szCs w:val="22"/>
        <w:rtl/>
      </w:rPr>
      <w:tab/>
      <w:t xml:space="preserve"> מדינת ישראל נ' עידן ווקנין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13F84" w14:textId="77777777" w:rsidR="00FE279A" w:rsidRPr="00FE279A" w:rsidRDefault="00FE279A" w:rsidP="00FE279A">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(י-ם) 36376-04-12</w:t>
    </w:r>
    <w:r>
      <w:rPr>
        <w:color w:val="000000"/>
        <w:sz w:val="22"/>
        <w:szCs w:val="22"/>
        <w:rtl/>
      </w:rPr>
      <w:tab/>
      <w:t xml:space="preserve"> מדינת ישראל נ' עידן ווקנין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5290"/>
    <w:rsid w:val="002A6A29"/>
    <w:rsid w:val="002D502A"/>
    <w:rsid w:val="00625290"/>
    <w:rsid w:val="006D14C1"/>
    <w:rsid w:val="0072714A"/>
    <w:rsid w:val="0095432E"/>
    <w:rsid w:val="00BD04C7"/>
    <w:rsid w:val="00E269C3"/>
    <w:rsid w:val="00FE27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C85233"/>
  <w15:chartTrackingRefBased/>
  <w15:docId w15:val="{CDA39882-6CEB-40E4-AD16-14F60059C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5290"/>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25290"/>
    <w:pPr>
      <w:tabs>
        <w:tab w:val="center" w:pos="4153"/>
        <w:tab w:val="right" w:pos="8306"/>
      </w:tabs>
    </w:pPr>
  </w:style>
  <w:style w:type="paragraph" w:styleId="a4">
    <w:name w:val="footer"/>
    <w:basedOn w:val="a"/>
    <w:rsid w:val="00625290"/>
    <w:pPr>
      <w:tabs>
        <w:tab w:val="center" w:pos="4153"/>
        <w:tab w:val="right" w:pos="8306"/>
      </w:tabs>
    </w:pPr>
  </w:style>
  <w:style w:type="character" w:styleId="a5">
    <w:name w:val="page number"/>
    <w:basedOn w:val="a0"/>
    <w:rsid w:val="00625290"/>
  </w:style>
  <w:style w:type="paragraph" w:customStyle="1" w:styleId="12">
    <w:name w:val="רגיל + ‏12 נק'"/>
    <w:aliases w:val="מיושר לשני הצדדים,מרווח בין שורות:  שורה וחצי"/>
    <w:basedOn w:val="a"/>
    <w:rsid w:val="00625290"/>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625290"/>
    <w:pPr>
      <w:spacing w:line="360" w:lineRule="auto"/>
      <w:jc w:val="both"/>
    </w:pPr>
    <w:rPr>
      <w:rFonts w:ascii="Times New Roman" w:eastAsia="Times New Roman" w:hAnsi="Times New Roman"/>
    </w:rPr>
  </w:style>
  <w:style w:type="character" w:styleId="a6">
    <w:name w:val="line number"/>
    <w:basedOn w:val="a0"/>
    <w:rsid w:val="00625290"/>
  </w:style>
  <w:style w:type="character" w:styleId="Hyperlink">
    <w:name w:val="Hyperlink"/>
    <w:basedOn w:val="a0"/>
    <w:rsid w:val="00FE27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inks/psika/?NEWPROC=&#1502;&#1514;&amp;NEWPARTA=36391&amp;NEWPARTB=04&amp;NEWPARTC=12"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2157</CharactersWithSpaces>
  <SharedDoc>false</SharedDoc>
  <HLinks>
    <vt:vector size="12" baseType="variant">
      <vt:variant>
        <vt:i4>393283</vt:i4>
      </vt:variant>
      <vt:variant>
        <vt:i4>3</vt:i4>
      </vt:variant>
      <vt:variant>
        <vt:i4>0</vt:i4>
      </vt:variant>
      <vt:variant>
        <vt:i4>5</vt:i4>
      </vt:variant>
      <vt:variant>
        <vt:lpwstr>http://www.nevo.co.il/advertisements/nevo-100.doc</vt:lpwstr>
      </vt:variant>
      <vt:variant>
        <vt:lpwstr/>
      </vt:variant>
      <vt:variant>
        <vt:i4>99550686</vt:i4>
      </vt:variant>
      <vt:variant>
        <vt:i4>0</vt:i4>
      </vt:variant>
      <vt:variant>
        <vt:i4>0</vt:i4>
      </vt:variant>
      <vt:variant>
        <vt:i4>5</vt:i4>
      </vt:variant>
      <vt:variant>
        <vt:lpwstr>http://www.nevo.co.il/links/psika/?NEWPROC=מת&amp;NEWPARTA=36391&amp;NEWPARTB=04&amp;NEWPARTC=12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2025-04-22T21:43:00Z</dcterms:created>
  <dcterms:modified xsi:type="dcterms:W3CDTF">2025-04-22T21:43:00Z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36376</vt:lpwstr>
  </property>
  <property fmtid="{D5CDD505-2E9C-101B-9397-08002B2CF9AE}" pid="6" name="NEWPARTB">
    <vt:lpwstr>04</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עידן ווקנין</vt:lpwstr>
  </property>
  <property fmtid="{D5CDD505-2E9C-101B-9397-08002B2CF9AE}" pid="10" name="LAWYER">
    <vt:lpwstr>עינת מירז יהודה שושן</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20131103</vt:lpwstr>
  </property>
  <property fmtid="{D5CDD505-2E9C-101B-9397-08002B2CF9AE}" pid="14" name="TYPE_N_DATE">
    <vt:lpwstr>38020131103</vt:lpwstr>
  </property>
  <property fmtid="{D5CDD505-2E9C-101B-9397-08002B2CF9AE}" pid="15" name="WORDNUMPAGES">
    <vt:lpwstr>2</vt:lpwstr>
  </property>
  <property fmtid="{D5CDD505-2E9C-101B-9397-08002B2CF9AE}" pid="16" name="TYPE_ABS_DATE">
    <vt:lpwstr>380020131103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