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6A3D73" w:rsidRPr="006F2406" w14:paraId="17768817" w14:textId="77777777">
        <w:trPr>
          <w:trHeight w:hRule="exact" w:val="418"/>
          <w:jc w:val="center"/>
        </w:trPr>
        <w:tc>
          <w:tcPr>
            <w:tcW w:w="8720" w:type="dxa"/>
            <w:gridSpan w:val="3"/>
          </w:tcPr>
          <w:p w14:paraId="51D29A4E" w14:textId="77777777" w:rsidR="006A3D73" w:rsidRPr="006F2406" w:rsidRDefault="006F2406">
            <w:pPr>
              <w:pStyle w:val="a3"/>
              <w:tabs>
                <w:tab w:val="clear" w:pos="8306"/>
              </w:tabs>
              <w:jc w:val="center"/>
              <w:rPr>
                <w:rFonts w:ascii="Tahoma" w:hAnsi="Tahoma" w:cs="Tahoma"/>
                <w:b/>
                <w:bCs/>
                <w:color w:val="000080"/>
                <w:sz w:val="20"/>
                <w:szCs w:val="20"/>
                <w:rtl/>
              </w:rPr>
            </w:pPr>
            <w:bookmarkStart w:id="0" w:name="LastJudge"/>
            <w:r w:rsidRPr="006F2406">
              <w:rPr>
                <w:rFonts w:ascii="Tahoma" w:hAnsi="Tahoma" w:cs="Tahoma" w:hint="cs"/>
                <w:b/>
                <w:bCs/>
                <w:color w:val="000080"/>
                <w:sz w:val="20"/>
                <w:szCs w:val="20"/>
                <w:rtl/>
              </w:rPr>
              <w:t>בתי המשפט</w:t>
            </w:r>
          </w:p>
        </w:tc>
      </w:tr>
      <w:tr w:rsidR="006A3D73" w:rsidRPr="006F2406" w14:paraId="0C8E1134" w14:textId="77777777">
        <w:trPr>
          <w:trHeight w:val="709"/>
          <w:jc w:val="center"/>
        </w:trPr>
        <w:tc>
          <w:tcPr>
            <w:tcW w:w="4805" w:type="dxa"/>
          </w:tcPr>
          <w:p w14:paraId="394FA775" w14:textId="77777777" w:rsidR="006A3D73" w:rsidRPr="006F2406" w:rsidRDefault="006F2406">
            <w:pPr>
              <w:rPr>
                <w:b/>
                <w:bCs/>
                <w:sz w:val="28"/>
                <w:szCs w:val="28"/>
                <w:rtl/>
              </w:rPr>
            </w:pPr>
            <w:r w:rsidRPr="006F2406">
              <w:rPr>
                <w:rFonts w:hint="cs"/>
                <w:b/>
                <w:bCs/>
                <w:sz w:val="28"/>
                <w:szCs w:val="28"/>
                <w:rtl/>
              </w:rPr>
              <w:t>בית משפט השלום קריית גת</w:t>
            </w:r>
          </w:p>
        </w:tc>
        <w:tc>
          <w:tcPr>
            <w:tcW w:w="236" w:type="dxa"/>
            <w:vMerge w:val="restart"/>
          </w:tcPr>
          <w:p w14:paraId="3FD809D2" w14:textId="77777777" w:rsidR="006A3D73" w:rsidRPr="006F2406" w:rsidRDefault="006A3D73">
            <w:pPr>
              <w:pStyle w:val="a3"/>
              <w:jc w:val="right"/>
              <w:rPr>
                <w:b/>
                <w:bCs/>
                <w:sz w:val="28"/>
                <w:szCs w:val="28"/>
                <w:rtl/>
              </w:rPr>
            </w:pPr>
          </w:p>
        </w:tc>
        <w:tc>
          <w:tcPr>
            <w:tcW w:w="3679" w:type="dxa"/>
            <w:vMerge w:val="restart"/>
          </w:tcPr>
          <w:p w14:paraId="5DFDA0B8" w14:textId="77777777" w:rsidR="006A3D73" w:rsidRPr="006F2406" w:rsidRDefault="006F2406">
            <w:pPr>
              <w:jc w:val="right"/>
              <w:rPr>
                <w:b/>
                <w:bCs/>
                <w:sz w:val="28"/>
                <w:szCs w:val="28"/>
                <w:rtl/>
              </w:rPr>
            </w:pPr>
            <w:r w:rsidRPr="006F2406">
              <w:rPr>
                <w:b/>
                <w:bCs/>
                <w:sz w:val="28"/>
                <w:szCs w:val="28"/>
                <w:rtl/>
              </w:rPr>
              <w:t>ת"פ</w:t>
            </w:r>
            <w:r w:rsidRPr="006F2406">
              <w:rPr>
                <w:rFonts w:hint="cs"/>
                <w:b/>
                <w:bCs/>
                <w:sz w:val="28"/>
                <w:szCs w:val="28"/>
                <w:rtl/>
              </w:rPr>
              <w:t xml:space="preserve"> </w:t>
            </w:r>
            <w:r w:rsidRPr="006F2406">
              <w:rPr>
                <w:b/>
                <w:bCs/>
                <w:sz w:val="28"/>
                <w:szCs w:val="28"/>
                <w:rtl/>
              </w:rPr>
              <w:t>41467-04-12</w:t>
            </w:r>
          </w:p>
          <w:p w14:paraId="660B8E1B" w14:textId="77777777" w:rsidR="006A3D73" w:rsidRPr="006F2406" w:rsidRDefault="006A3D73">
            <w:pPr>
              <w:pStyle w:val="a3"/>
              <w:tabs>
                <w:tab w:val="clear" w:pos="4153"/>
              </w:tabs>
              <w:jc w:val="right"/>
              <w:rPr>
                <w:b/>
                <w:bCs/>
                <w:sz w:val="20"/>
                <w:szCs w:val="20"/>
                <w:rtl/>
              </w:rPr>
            </w:pPr>
          </w:p>
          <w:p w14:paraId="645784C9" w14:textId="77777777" w:rsidR="006A3D73" w:rsidRPr="006F2406" w:rsidRDefault="006F2406">
            <w:pPr>
              <w:pStyle w:val="a3"/>
              <w:tabs>
                <w:tab w:val="clear" w:pos="4153"/>
              </w:tabs>
              <w:jc w:val="right"/>
              <w:rPr>
                <w:b/>
                <w:bCs/>
                <w:sz w:val="28"/>
                <w:szCs w:val="28"/>
                <w:rtl/>
              </w:rPr>
            </w:pPr>
            <w:r w:rsidRPr="006F2406">
              <w:rPr>
                <w:b/>
                <w:bCs/>
                <w:sz w:val="28"/>
                <w:szCs w:val="28"/>
                <w:rtl/>
              </w:rPr>
              <w:t>12 מאי 2013</w:t>
            </w:r>
          </w:p>
        </w:tc>
      </w:tr>
      <w:tr w:rsidR="006A3D73" w:rsidRPr="006F2406" w14:paraId="32B73845" w14:textId="77777777">
        <w:trPr>
          <w:trHeight w:val="547"/>
          <w:jc w:val="center"/>
        </w:trPr>
        <w:tc>
          <w:tcPr>
            <w:tcW w:w="4805" w:type="dxa"/>
          </w:tcPr>
          <w:p w14:paraId="4136A6DF" w14:textId="77777777" w:rsidR="006A3D73" w:rsidRPr="006F2406" w:rsidRDefault="006F2406">
            <w:pPr>
              <w:rPr>
                <w:b/>
                <w:bCs/>
                <w:sz w:val="28"/>
                <w:szCs w:val="28"/>
                <w:rtl/>
              </w:rPr>
            </w:pPr>
            <w:r w:rsidRPr="006F2406">
              <w:rPr>
                <w:rFonts w:hint="cs"/>
                <w:b/>
                <w:bCs/>
                <w:sz w:val="28"/>
                <w:szCs w:val="28"/>
                <w:rtl/>
              </w:rPr>
              <w:t>בפני: כב' ה</w:t>
            </w:r>
            <w:r w:rsidRPr="006F2406">
              <w:rPr>
                <w:b/>
                <w:bCs/>
                <w:sz w:val="28"/>
                <w:szCs w:val="28"/>
                <w:rtl/>
              </w:rPr>
              <w:t>שופטת בכירה רובין לביא</w:t>
            </w:r>
          </w:p>
        </w:tc>
        <w:tc>
          <w:tcPr>
            <w:tcW w:w="236" w:type="dxa"/>
            <w:vMerge/>
          </w:tcPr>
          <w:p w14:paraId="68AC8E94" w14:textId="77777777" w:rsidR="006A3D73" w:rsidRPr="006F2406" w:rsidRDefault="006A3D73">
            <w:pPr>
              <w:pStyle w:val="a3"/>
              <w:jc w:val="right"/>
              <w:rPr>
                <w:b/>
                <w:bCs/>
                <w:sz w:val="28"/>
                <w:szCs w:val="28"/>
                <w:rtl/>
              </w:rPr>
            </w:pPr>
          </w:p>
        </w:tc>
        <w:tc>
          <w:tcPr>
            <w:tcW w:w="3679" w:type="dxa"/>
            <w:vMerge/>
          </w:tcPr>
          <w:p w14:paraId="3EE6AE3D" w14:textId="77777777" w:rsidR="006A3D73" w:rsidRPr="006F2406" w:rsidRDefault="006A3D73">
            <w:pPr>
              <w:jc w:val="right"/>
              <w:rPr>
                <w:b/>
                <w:bCs/>
                <w:sz w:val="28"/>
                <w:szCs w:val="28"/>
                <w:rtl/>
              </w:rPr>
            </w:pPr>
          </w:p>
        </w:tc>
      </w:tr>
    </w:tbl>
    <w:p w14:paraId="39F68E4D" w14:textId="77777777" w:rsidR="006A3D73" w:rsidRPr="006F2406" w:rsidRDefault="006A3D73">
      <w:pPr>
        <w:pStyle w:val="a3"/>
        <w:jc w:val="center"/>
        <w:rPr>
          <w:rFonts w:ascii="Tahoma" w:hAnsi="Tahoma" w:cs="Tahoma"/>
          <w:b/>
          <w:bCs/>
          <w:color w:val="000080"/>
          <w:sz w:val="20"/>
          <w:szCs w:val="20"/>
          <w:rtl/>
        </w:rPr>
      </w:pPr>
    </w:p>
    <w:p w14:paraId="42BDF4A4" w14:textId="77777777" w:rsidR="006A3D73" w:rsidRPr="006F2406" w:rsidRDefault="006A3D73">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6A3D73" w:rsidRPr="006F2406" w14:paraId="51EBFEAC" w14:textId="77777777">
        <w:tc>
          <w:tcPr>
            <w:tcW w:w="945" w:type="dxa"/>
          </w:tcPr>
          <w:p w14:paraId="0C5F1B29" w14:textId="77777777" w:rsidR="006A3D73" w:rsidRPr="006F2406" w:rsidRDefault="006F2406">
            <w:pPr>
              <w:jc w:val="left"/>
              <w:rPr>
                <w:rFonts w:ascii="Times New Roman" w:eastAsia="Times New Roman" w:hAnsi="Times New Roman"/>
                <w:b/>
                <w:bCs/>
                <w:sz w:val="26"/>
                <w:rtl/>
              </w:rPr>
            </w:pPr>
            <w:bookmarkStart w:id="1" w:name="FirstAppellant"/>
            <w:r w:rsidRPr="006F2406">
              <w:rPr>
                <w:rFonts w:ascii="Times New Roman" w:eastAsia="Times New Roman" w:hAnsi="Times New Roman" w:hint="cs"/>
                <w:b/>
                <w:bCs/>
                <w:sz w:val="26"/>
                <w:rtl/>
              </w:rPr>
              <w:t>בעניין:</w:t>
            </w:r>
          </w:p>
        </w:tc>
        <w:tc>
          <w:tcPr>
            <w:tcW w:w="7857" w:type="dxa"/>
            <w:gridSpan w:val="4"/>
          </w:tcPr>
          <w:p w14:paraId="37A1B6BB" w14:textId="77777777" w:rsidR="006A3D73" w:rsidRPr="006F2406" w:rsidRDefault="006F2406">
            <w:pPr>
              <w:jc w:val="left"/>
              <w:rPr>
                <w:rFonts w:ascii="Times New Roman" w:eastAsia="Times New Roman" w:hAnsi="Times New Roman"/>
                <w:b/>
                <w:bCs/>
                <w:sz w:val="26"/>
                <w:rtl/>
              </w:rPr>
            </w:pPr>
            <w:r w:rsidRPr="006F2406">
              <w:rPr>
                <w:rFonts w:ascii="Times New Roman" w:eastAsia="Times New Roman" w:hAnsi="Times New Roman" w:hint="cs"/>
                <w:b/>
                <w:bCs/>
                <w:sz w:val="26"/>
                <w:rtl/>
              </w:rPr>
              <w:t>מדינת ישראל</w:t>
            </w:r>
          </w:p>
        </w:tc>
      </w:tr>
      <w:bookmarkEnd w:id="1"/>
      <w:tr w:rsidR="006A3D73" w:rsidRPr="006F2406" w14:paraId="70633FC6" w14:textId="77777777">
        <w:trPr>
          <w:gridAfter w:val="1"/>
          <w:wAfter w:w="106" w:type="dxa"/>
        </w:trPr>
        <w:tc>
          <w:tcPr>
            <w:tcW w:w="945" w:type="dxa"/>
          </w:tcPr>
          <w:p w14:paraId="6595E50C" w14:textId="77777777" w:rsidR="006A3D73" w:rsidRPr="006F2406" w:rsidRDefault="006A3D73">
            <w:pPr>
              <w:ind w:left="26"/>
              <w:jc w:val="left"/>
              <w:rPr>
                <w:rFonts w:ascii="Times New Roman" w:eastAsia="Times New Roman" w:hAnsi="Times New Roman"/>
                <w:b/>
                <w:bCs/>
                <w:sz w:val="26"/>
                <w:rtl/>
              </w:rPr>
            </w:pPr>
          </w:p>
        </w:tc>
        <w:tc>
          <w:tcPr>
            <w:tcW w:w="6416" w:type="dxa"/>
          </w:tcPr>
          <w:p w14:paraId="4280F206" w14:textId="77777777" w:rsidR="006A3D73" w:rsidRPr="006F2406" w:rsidRDefault="006A3D73">
            <w:pPr>
              <w:jc w:val="left"/>
              <w:rPr>
                <w:rFonts w:ascii="Times New Roman" w:eastAsia="Times New Roman" w:hAnsi="Times New Roman"/>
                <w:b/>
                <w:bCs/>
                <w:sz w:val="26"/>
                <w:rtl/>
              </w:rPr>
            </w:pPr>
          </w:p>
        </w:tc>
        <w:tc>
          <w:tcPr>
            <w:tcW w:w="1335" w:type="dxa"/>
            <w:gridSpan w:val="2"/>
          </w:tcPr>
          <w:p w14:paraId="67D1A2E6" w14:textId="77777777" w:rsidR="006A3D73" w:rsidRPr="006F2406" w:rsidRDefault="006F2406">
            <w:pPr>
              <w:ind w:left="26"/>
              <w:jc w:val="left"/>
              <w:rPr>
                <w:rFonts w:ascii="Times New Roman" w:eastAsia="Times New Roman" w:hAnsi="Times New Roman"/>
                <w:b/>
                <w:bCs/>
                <w:sz w:val="26"/>
                <w:rtl/>
              </w:rPr>
            </w:pPr>
            <w:r w:rsidRPr="006F2406">
              <w:rPr>
                <w:rFonts w:ascii="Times New Roman" w:eastAsia="Times New Roman" w:hAnsi="Times New Roman" w:hint="cs"/>
                <w:b/>
                <w:bCs/>
                <w:sz w:val="26"/>
                <w:rtl/>
              </w:rPr>
              <w:t>המאשימה</w:t>
            </w:r>
          </w:p>
        </w:tc>
      </w:tr>
      <w:tr w:rsidR="006A3D73" w:rsidRPr="006F2406" w14:paraId="4EE6B296" w14:textId="77777777">
        <w:trPr>
          <w:gridAfter w:val="1"/>
          <w:wAfter w:w="106" w:type="dxa"/>
        </w:trPr>
        <w:tc>
          <w:tcPr>
            <w:tcW w:w="8696" w:type="dxa"/>
            <w:gridSpan w:val="4"/>
          </w:tcPr>
          <w:p w14:paraId="2A927030" w14:textId="77777777" w:rsidR="006A3D73" w:rsidRPr="006F2406" w:rsidRDefault="006F2406">
            <w:pPr>
              <w:jc w:val="center"/>
              <w:rPr>
                <w:rFonts w:ascii="Arial" w:eastAsia="Times New Roman" w:hAnsi="Arial"/>
                <w:b/>
                <w:bCs/>
                <w:sz w:val="26"/>
              </w:rPr>
            </w:pPr>
            <w:r w:rsidRPr="006F2406">
              <w:rPr>
                <w:rFonts w:ascii="Arial" w:eastAsia="Times New Roman" w:hAnsi="Arial"/>
                <w:b/>
                <w:bCs/>
                <w:sz w:val="26"/>
                <w:rtl/>
              </w:rPr>
              <w:t>נ</w:t>
            </w:r>
            <w:r w:rsidRPr="006F2406">
              <w:rPr>
                <w:rFonts w:ascii="Arial" w:eastAsia="Times New Roman" w:hAnsi="Arial" w:hint="cs"/>
                <w:b/>
                <w:bCs/>
                <w:sz w:val="26"/>
                <w:rtl/>
              </w:rPr>
              <w:t xml:space="preserve"> </w:t>
            </w:r>
            <w:r w:rsidRPr="006F2406">
              <w:rPr>
                <w:rFonts w:ascii="Arial" w:eastAsia="Times New Roman" w:hAnsi="Arial"/>
                <w:b/>
                <w:bCs/>
                <w:sz w:val="26"/>
                <w:rtl/>
              </w:rPr>
              <w:t>ג</w:t>
            </w:r>
            <w:r w:rsidRPr="006F2406">
              <w:rPr>
                <w:rFonts w:ascii="Arial" w:eastAsia="Times New Roman" w:hAnsi="Arial" w:hint="cs"/>
                <w:b/>
                <w:bCs/>
                <w:sz w:val="26"/>
                <w:rtl/>
              </w:rPr>
              <w:t xml:space="preserve"> </w:t>
            </w:r>
            <w:r w:rsidRPr="006F2406">
              <w:rPr>
                <w:rFonts w:ascii="Arial" w:eastAsia="Times New Roman" w:hAnsi="Arial"/>
                <w:b/>
                <w:bCs/>
                <w:sz w:val="26"/>
                <w:rtl/>
              </w:rPr>
              <w:t>ד</w:t>
            </w:r>
          </w:p>
        </w:tc>
      </w:tr>
      <w:tr w:rsidR="006A3D73" w:rsidRPr="006F2406" w14:paraId="138B2DDD" w14:textId="77777777">
        <w:trPr>
          <w:gridAfter w:val="1"/>
          <w:wAfter w:w="106" w:type="dxa"/>
        </w:trPr>
        <w:tc>
          <w:tcPr>
            <w:tcW w:w="945" w:type="dxa"/>
          </w:tcPr>
          <w:p w14:paraId="035DF378" w14:textId="77777777" w:rsidR="006A3D73" w:rsidRPr="006F2406" w:rsidRDefault="006A3D73">
            <w:pPr>
              <w:ind w:left="26"/>
              <w:rPr>
                <w:rFonts w:ascii="Times New Roman" w:eastAsia="Times New Roman" w:hAnsi="Times New Roman"/>
                <w:b/>
                <w:bCs/>
                <w:sz w:val="26"/>
                <w:rtl/>
              </w:rPr>
            </w:pPr>
          </w:p>
        </w:tc>
        <w:tc>
          <w:tcPr>
            <w:tcW w:w="6435" w:type="dxa"/>
            <w:gridSpan w:val="2"/>
          </w:tcPr>
          <w:p w14:paraId="4652074E" w14:textId="77777777" w:rsidR="006A3D73" w:rsidRPr="006F2406" w:rsidRDefault="006F2406">
            <w:pPr>
              <w:jc w:val="left"/>
              <w:rPr>
                <w:b/>
                <w:bCs/>
                <w:sz w:val="26"/>
                <w:rtl/>
              </w:rPr>
            </w:pPr>
            <w:r w:rsidRPr="006F2406">
              <w:rPr>
                <w:rFonts w:ascii="Times New Roman" w:eastAsia="Times New Roman" w:hAnsi="Times New Roman" w:hint="cs"/>
                <w:rtl/>
              </w:rPr>
              <w:t>סטפן מולטיסנטי</w:t>
            </w:r>
            <w:r w:rsidRPr="006F2406">
              <w:rPr>
                <w:rFonts w:ascii="Times New Roman" w:eastAsia="Times New Roman" w:hAnsi="Times New Roman" w:hint="cs"/>
                <w:b/>
                <w:bCs/>
                <w:sz w:val="26"/>
                <w:rtl/>
              </w:rPr>
              <w:t xml:space="preserve"> </w:t>
            </w:r>
            <w:r w:rsidRPr="006F2406">
              <w:rPr>
                <w:rFonts w:ascii="Times New Roman" w:eastAsia="Times New Roman" w:hAnsi="Times New Roman" w:hint="cs"/>
                <w:rtl/>
              </w:rPr>
              <w:t>ת.ז.</w:t>
            </w:r>
            <w:r w:rsidRPr="006F2406">
              <w:rPr>
                <w:rFonts w:ascii="Times New Roman" w:eastAsia="Times New Roman" w:hAnsi="Times New Roman" w:hint="cs"/>
                <w:b/>
                <w:bCs/>
                <w:sz w:val="26"/>
                <w:rtl/>
              </w:rPr>
              <w:t xml:space="preserve"> </w:t>
            </w:r>
            <w:r w:rsidR="001D2475">
              <w:rPr>
                <w:rFonts w:ascii="Times New Roman" w:eastAsia="Times New Roman" w:hAnsi="Times New Roman"/>
              </w:rPr>
              <w:t>xxxxxxxxx</w:t>
            </w:r>
          </w:p>
        </w:tc>
        <w:tc>
          <w:tcPr>
            <w:tcW w:w="1316" w:type="dxa"/>
          </w:tcPr>
          <w:p w14:paraId="53EF0477" w14:textId="77777777" w:rsidR="006A3D73" w:rsidRPr="006F2406" w:rsidRDefault="006A3D73">
            <w:pPr>
              <w:rPr>
                <w:rFonts w:ascii="Times New Roman" w:eastAsia="Times New Roman" w:hAnsi="Times New Roman"/>
                <w:b/>
                <w:bCs/>
                <w:sz w:val="26"/>
                <w:rtl/>
              </w:rPr>
            </w:pPr>
          </w:p>
        </w:tc>
      </w:tr>
      <w:tr w:rsidR="006A3D73" w:rsidRPr="006F2406" w14:paraId="65C15387" w14:textId="77777777">
        <w:trPr>
          <w:gridAfter w:val="1"/>
          <w:wAfter w:w="106" w:type="dxa"/>
        </w:trPr>
        <w:tc>
          <w:tcPr>
            <w:tcW w:w="945" w:type="dxa"/>
          </w:tcPr>
          <w:p w14:paraId="5D6B2896" w14:textId="77777777" w:rsidR="006A3D73" w:rsidRPr="006F2406" w:rsidRDefault="006A3D73">
            <w:pPr>
              <w:ind w:left="26"/>
              <w:jc w:val="left"/>
              <w:rPr>
                <w:rFonts w:ascii="Times New Roman" w:eastAsia="Times New Roman" w:hAnsi="Times New Roman"/>
                <w:b/>
                <w:bCs/>
                <w:sz w:val="26"/>
                <w:rtl/>
              </w:rPr>
            </w:pPr>
          </w:p>
        </w:tc>
        <w:tc>
          <w:tcPr>
            <w:tcW w:w="6435" w:type="dxa"/>
            <w:gridSpan w:val="2"/>
          </w:tcPr>
          <w:p w14:paraId="7300F042" w14:textId="77777777" w:rsidR="006A3D73" w:rsidRPr="006F2406" w:rsidRDefault="006A3D73">
            <w:pPr>
              <w:jc w:val="left"/>
              <w:rPr>
                <w:rFonts w:ascii="Times New Roman" w:eastAsia="Times New Roman" w:hAnsi="Times New Roman"/>
                <w:b/>
                <w:bCs/>
                <w:sz w:val="26"/>
                <w:rtl/>
              </w:rPr>
            </w:pPr>
          </w:p>
        </w:tc>
        <w:tc>
          <w:tcPr>
            <w:tcW w:w="1316" w:type="dxa"/>
          </w:tcPr>
          <w:p w14:paraId="060E1827" w14:textId="77777777" w:rsidR="006A3D73" w:rsidRPr="006F2406" w:rsidRDefault="006F2406">
            <w:pPr>
              <w:jc w:val="left"/>
              <w:rPr>
                <w:rFonts w:ascii="Times New Roman" w:eastAsia="Times New Roman" w:hAnsi="Times New Roman"/>
                <w:b/>
                <w:bCs/>
                <w:sz w:val="26"/>
                <w:rtl/>
              </w:rPr>
            </w:pPr>
            <w:r w:rsidRPr="006F2406">
              <w:rPr>
                <w:rFonts w:ascii="Times New Roman" w:eastAsia="Times New Roman" w:hAnsi="Times New Roman" w:hint="cs"/>
                <w:b/>
                <w:bCs/>
                <w:sz w:val="26"/>
                <w:rtl/>
              </w:rPr>
              <w:t>הנאשם</w:t>
            </w:r>
          </w:p>
        </w:tc>
      </w:tr>
    </w:tbl>
    <w:p w14:paraId="44AE4732" w14:textId="77777777" w:rsidR="006A3D73" w:rsidRPr="006F2406" w:rsidRDefault="006A3D73">
      <w:pPr>
        <w:rPr>
          <w:rFonts w:ascii="Arial" w:hAnsi="Arial"/>
          <w:b/>
          <w:bCs/>
          <w:sz w:val="26"/>
          <w:rtl/>
        </w:rPr>
      </w:pPr>
    </w:p>
    <w:p w14:paraId="6CEE2B3E" w14:textId="77777777" w:rsidR="006A3D73" w:rsidRPr="006F2406" w:rsidRDefault="006F2406">
      <w:pPr>
        <w:rPr>
          <w:rFonts w:ascii="Arial" w:hAnsi="Arial"/>
          <w:b/>
          <w:bCs/>
          <w:sz w:val="26"/>
          <w:rtl/>
        </w:rPr>
      </w:pPr>
      <w:r w:rsidRPr="006F2406">
        <w:rPr>
          <w:rFonts w:ascii="Arial" w:hAnsi="Arial" w:hint="cs"/>
          <w:b/>
          <w:bCs/>
          <w:sz w:val="26"/>
          <w:rtl/>
        </w:rPr>
        <w:t>נוכחים:</w:t>
      </w:r>
    </w:p>
    <w:p w14:paraId="07FDE0D0" w14:textId="77777777" w:rsidR="006A3D73" w:rsidRPr="006F2406" w:rsidRDefault="006F2406">
      <w:pPr>
        <w:rPr>
          <w:rtl/>
        </w:rPr>
      </w:pPr>
      <w:bookmarkStart w:id="2" w:name="FirstLawyer"/>
      <w:r w:rsidRPr="006F2406">
        <w:rPr>
          <w:rFonts w:hint="cs"/>
          <w:rtl/>
        </w:rPr>
        <w:t>ב"כ</w:t>
      </w:r>
      <w:bookmarkEnd w:id="2"/>
      <w:r w:rsidRPr="006F2406">
        <w:rPr>
          <w:rFonts w:hint="cs"/>
          <w:rtl/>
        </w:rPr>
        <w:t xml:space="preserve"> המאשימה עו"ד </w:t>
      </w:r>
      <w:r w:rsidRPr="006F2406">
        <w:rPr>
          <w:rtl/>
        </w:rPr>
        <w:t>–</w:t>
      </w:r>
      <w:r w:rsidRPr="006F2406">
        <w:rPr>
          <w:rFonts w:hint="cs"/>
          <w:rtl/>
        </w:rPr>
        <w:t xml:space="preserve"> ענבל אביב</w:t>
      </w:r>
    </w:p>
    <w:p w14:paraId="31A645A2" w14:textId="77777777" w:rsidR="006A3D73" w:rsidRPr="006F2406" w:rsidRDefault="006F2406">
      <w:pPr>
        <w:rPr>
          <w:rtl/>
        </w:rPr>
      </w:pPr>
      <w:r w:rsidRPr="006F2406">
        <w:rPr>
          <w:rFonts w:hint="cs"/>
          <w:rtl/>
        </w:rPr>
        <w:t xml:space="preserve">הנאשם -      בעצמו          ובא כוחו עו"ד </w:t>
      </w:r>
      <w:r w:rsidRPr="006F2406">
        <w:rPr>
          <w:rtl/>
        </w:rPr>
        <w:t>–</w:t>
      </w:r>
      <w:r w:rsidRPr="006F2406">
        <w:rPr>
          <w:rFonts w:hint="cs"/>
          <w:rtl/>
        </w:rPr>
        <w:t xml:space="preserve"> וינשטיין סמיון </w:t>
      </w:r>
    </w:p>
    <w:p w14:paraId="52CA28EC" w14:textId="77777777" w:rsidR="006A3D73" w:rsidRPr="006F2406" w:rsidRDefault="006F2406">
      <w:pPr>
        <w:rPr>
          <w:sz w:val="6"/>
          <w:szCs w:val="6"/>
          <w:rtl/>
        </w:rPr>
      </w:pPr>
      <w:r w:rsidRPr="006F2406">
        <w:rPr>
          <w:sz w:val="6"/>
          <w:szCs w:val="6"/>
          <w:rtl/>
        </w:rPr>
        <w:t>&lt;#1#&gt;</w:t>
      </w:r>
    </w:p>
    <w:p w14:paraId="3090D41B" w14:textId="77777777" w:rsidR="006A3D73" w:rsidRPr="006F2406" w:rsidRDefault="006A3D73">
      <w:pPr>
        <w:pStyle w:val="12"/>
        <w:rPr>
          <w:b w:val="0"/>
          <w:bCs w:val="0"/>
          <w:u w:val="none"/>
          <w:rtl/>
        </w:rPr>
      </w:pPr>
    </w:p>
    <w:p w14:paraId="3F25D8A4" w14:textId="77777777" w:rsidR="006A3D73" w:rsidRPr="006F2406" w:rsidRDefault="006A3D73">
      <w:pPr>
        <w:pStyle w:val="12"/>
        <w:rPr>
          <w:b w:val="0"/>
          <w:bCs w:val="0"/>
          <w:u w:val="none"/>
          <w:rtl/>
        </w:rPr>
      </w:pPr>
    </w:p>
    <w:p w14:paraId="29F4D456" w14:textId="77777777" w:rsidR="00D170A5" w:rsidRDefault="006F2406">
      <w:pPr>
        <w:jc w:val="center"/>
        <w:rPr>
          <w:rFonts w:ascii="Arial" w:hAnsi="Arial"/>
          <w:color w:val="FF0000"/>
          <w:sz w:val="28"/>
          <w:szCs w:val="24"/>
          <w:rtl/>
        </w:rPr>
      </w:pPr>
      <w:r w:rsidRPr="006F2406">
        <w:rPr>
          <w:rFonts w:ascii="Arial" w:hAnsi="Arial"/>
          <w:b/>
          <w:color w:val="FF0000"/>
          <w:sz w:val="28"/>
          <w:szCs w:val="24"/>
          <w:rtl/>
        </w:rPr>
        <w:t>במסמך זה הושמטו פרוטוקולי</w:t>
      </w:r>
      <w:bookmarkStart w:id="3" w:name="LawTable"/>
      <w:bookmarkEnd w:id="3"/>
    </w:p>
    <w:p w14:paraId="3082A908" w14:textId="77777777" w:rsidR="00D170A5" w:rsidRPr="00D170A5" w:rsidRDefault="00D170A5" w:rsidP="00D170A5">
      <w:pPr>
        <w:spacing w:after="120" w:line="240" w:lineRule="exact"/>
        <w:ind w:left="283" w:hanging="283"/>
        <w:rPr>
          <w:rFonts w:ascii="FrankRuehl" w:hAnsi="FrankRuehl" w:cs="FrankRuehl"/>
          <w:color w:val="FF0000"/>
          <w:szCs w:val="24"/>
          <w:rtl/>
        </w:rPr>
      </w:pPr>
    </w:p>
    <w:p w14:paraId="1F9B5DD1" w14:textId="77777777" w:rsidR="00D170A5" w:rsidRPr="00D170A5" w:rsidRDefault="00D170A5" w:rsidP="00D170A5">
      <w:pPr>
        <w:spacing w:after="120" w:line="240" w:lineRule="exact"/>
        <w:ind w:left="283" w:hanging="283"/>
        <w:rPr>
          <w:rFonts w:ascii="FrankRuehl" w:hAnsi="FrankRuehl" w:cs="FrankRuehl"/>
          <w:color w:val="FF0000"/>
          <w:szCs w:val="24"/>
          <w:rtl/>
        </w:rPr>
      </w:pPr>
      <w:r w:rsidRPr="00D170A5">
        <w:rPr>
          <w:rFonts w:ascii="FrankRuehl" w:hAnsi="FrankRuehl" w:cs="FrankRuehl"/>
          <w:color w:val="FF0000"/>
          <w:szCs w:val="24"/>
          <w:rtl/>
        </w:rPr>
        <w:t xml:space="preserve">חקיקה שאוזכרה: </w:t>
      </w:r>
    </w:p>
    <w:p w14:paraId="266AE076" w14:textId="77777777" w:rsidR="00D170A5" w:rsidRPr="00D170A5" w:rsidRDefault="00D170A5" w:rsidP="00D170A5">
      <w:pPr>
        <w:spacing w:after="120" w:line="240" w:lineRule="exact"/>
        <w:ind w:left="283" w:hanging="283"/>
        <w:rPr>
          <w:rFonts w:ascii="FrankRuehl" w:hAnsi="FrankRuehl" w:cs="FrankRuehl"/>
          <w:szCs w:val="24"/>
          <w:rtl/>
        </w:rPr>
      </w:pPr>
      <w:hyperlink r:id="rId6" w:history="1">
        <w:r w:rsidRPr="00D170A5">
          <w:rPr>
            <w:rFonts w:ascii="FrankRuehl" w:hAnsi="FrankRuehl" w:cs="FrankRuehl"/>
            <w:color w:val="0000FF"/>
            <w:szCs w:val="24"/>
            <w:u w:val="single"/>
            <w:rtl/>
          </w:rPr>
          <w:t>חוק העונשין, תשל"ז-1977</w:t>
        </w:r>
      </w:hyperlink>
    </w:p>
    <w:p w14:paraId="6D31D7EB" w14:textId="77777777" w:rsidR="00D170A5" w:rsidRPr="00D170A5" w:rsidRDefault="00D170A5" w:rsidP="00D170A5">
      <w:pPr>
        <w:spacing w:after="120" w:line="240" w:lineRule="exact"/>
        <w:ind w:left="283" w:hanging="283"/>
        <w:rPr>
          <w:rFonts w:ascii="FrankRuehl" w:hAnsi="FrankRuehl" w:cs="FrankRuehl"/>
          <w:szCs w:val="24"/>
          <w:rtl/>
        </w:rPr>
      </w:pPr>
      <w:hyperlink r:id="rId7" w:history="1">
        <w:r w:rsidRPr="00D170A5">
          <w:rPr>
            <w:rFonts w:ascii="FrankRuehl" w:hAnsi="FrankRuehl" w:cs="FrankRuehl"/>
            <w:color w:val="0000FF"/>
            <w:szCs w:val="24"/>
            <w:u w:val="single"/>
            <w:rtl/>
          </w:rPr>
          <w:t>פקודת הסמים המסוכנים [נוסח חדש], תשל"ג-1973</w:t>
        </w:r>
      </w:hyperlink>
    </w:p>
    <w:p w14:paraId="2C355665" w14:textId="77777777" w:rsidR="00D170A5" w:rsidRPr="00D170A5" w:rsidRDefault="00D170A5" w:rsidP="00D170A5">
      <w:pPr>
        <w:spacing w:after="120" w:line="240" w:lineRule="exact"/>
        <w:ind w:left="283" w:hanging="283"/>
        <w:rPr>
          <w:rFonts w:ascii="FrankRuehl" w:hAnsi="FrankRuehl" w:cs="FrankRuehl"/>
          <w:szCs w:val="24"/>
          <w:rtl/>
        </w:rPr>
      </w:pPr>
      <w:hyperlink r:id="rId8" w:history="1">
        <w:r w:rsidRPr="00D170A5">
          <w:rPr>
            <w:rFonts w:ascii="FrankRuehl" w:hAnsi="FrankRuehl" w:cs="FrankRuehl"/>
            <w:color w:val="0000FF"/>
            <w:szCs w:val="24"/>
            <w:u w:val="single"/>
            <w:rtl/>
          </w:rPr>
          <w:t>פקודת התעבורה [נוסח חדש]</w:t>
        </w:r>
      </w:hyperlink>
      <w:r w:rsidRPr="00D170A5">
        <w:rPr>
          <w:rFonts w:ascii="FrankRuehl" w:hAnsi="FrankRuehl" w:cs="FrankRuehl"/>
          <w:szCs w:val="24"/>
          <w:rtl/>
        </w:rPr>
        <w:t xml:space="preserve">: סע'  </w:t>
      </w:r>
      <w:hyperlink r:id="rId9" w:history="1">
        <w:r w:rsidRPr="00D170A5">
          <w:rPr>
            <w:rFonts w:ascii="FrankRuehl" w:hAnsi="FrankRuehl" w:cs="FrankRuehl"/>
            <w:color w:val="0000FF"/>
            <w:szCs w:val="24"/>
            <w:u w:val="single"/>
            <w:rtl/>
          </w:rPr>
          <w:t>מהתוספת הראשונה</w:t>
        </w:r>
      </w:hyperlink>
      <w:r w:rsidRPr="00D170A5">
        <w:rPr>
          <w:rFonts w:ascii="FrankRuehl" w:hAnsi="FrankRuehl" w:cs="FrankRuehl"/>
          <w:szCs w:val="24"/>
          <w:rtl/>
        </w:rPr>
        <w:t xml:space="preserve">, </w:t>
      </w:r>
      <w:hyperlink r:id="rId10" w:history="1">
        <w:r w:rsidRPr="00D170A5">
          <w:rPr>
            <w:rFonts w:ascii="FrankRuehl" w:hAnsi="FrankRuehl" w:cs="FrankRuehl"/>
            <w:color w:val="0000FF"/>
            <w:szCs w:val="24"/>
            <w:u w:val="single"/>
            <w:rtl/>
          </w:rPr>
          <w:t>השנייה</w:t>
        </w:r>
      </w:hyperlink>
    </w:p>
    <w:p w14:paraId="15403CA2" w14:textId="77777777" w:rsidR="00D170A5" w:rsidRPr="00D170A5" w:rsidRDefault="00D170A5" w:rsidP="00D170A5">
      <w:pPr>
        <w:spacing w:after="120" w:line="240" w:lineRule="exact"/>
        <w:ind w:left="283" w:hanging="283"/>
        <w:rPr>
          <w:rFonts w:ascii="FrankRuehl" w:hAnsi="FrankRuehl" w:cs="FrankRuehl"/>
          <w:szCs w:val="24"/>
          <w:rtl/>
        </w:rPr>
      </w:pPr>
    </w:p>
    <w:p w14:paraId="5C62C175" w14:textId="77777777" w:rsidR="00D170A5" w:rsidRPr="00D170A5" w:rsidRDefault="00D170A5">
      <w:pPr>
        <w:jc w:val="center"/>
        <w:rPr>
          <w:rFonts w:ascii="Arial" w:hAnsi="Arial"/>
          <w:sz w:val="28"/>
          <w:szCs w:val="24"/>
          <w:rtl/>
        </w:rPr>
      </w:pPr>
      <w:bookmarkStart w:id="4" w:name="LawTable_End"/>
      <w:bookmarkEnd w:id="4"/>
    </w:p>
    <w:p w14:paraId="53A47E98" w14:textId="77777777" w:rsidR="00D170A5" w:rsidRPr="00D170A5" w:rsidRDefault="00D170A5">
      <w:pPr>
        <w:jc w:val="center"/>
        <w:rPr>
          <w:rFonts w:ascii="Arial" w:hAnsi="Arial"/>
          <w:b/>
          <w:color w:val="FF0000"/>
          <w:sz w:val="28"/>
          <w:szCs w:val="24"/>
          <w:rtl/>
        </w:rPr>
      </w:pPr>
    </w:p>
    <w:p w14:paraId="689965EF" w14:textId="77777777" w:rsidR="00F013E0" w:rsidRPr="00F013E0" w:rsidRDefault="006F2406">
      <w:pPr>
        <w:jc w:val="center"/>
        <w:rPr>
          <w:rFonts w:ascii="Arial" w:hAnsi="Arial"/>
          <w:sz w:val="28"/>
          <w:szCs w:val="28"/>
          <w:rtl/>
        </w:rPr>
      </w:pPr>
      <w:r w:rsidRPr="00D170A5">
        <w:rPr>
          <w:rFonts w:ascii="Arial" w:hAnsi="Arial"/>
          <w:b/>
          <w:color w:val="FF0000"/>
          <w:sz w:val="28"/>
          <w:szCs w:val="24"/>
          <w:rtl/>
        </w:rPr>
        <w:t>ם</w:t>
      </w:r>
    </w:p>
    <w:p w14:paraId="5FE85E0F" w14:textId="77777777" w:rsidR="00F013E0" w:rsidRPr="00F013E0" w:rsidRDefault="00F013E0">
      <w:pPr>
        <w:jc w:val="center"/>
        <w:rPr>
          <w:rFonts w:ascii="Arial" w:hAnsi="Arial"/>
          <w:b/>
          <w:bCs/>
          <w:sz w:val="28"/>
          <w:szCs w:val="28"/>
          <w:rtl/>
        </w:rPr>
      </w:pPr>
    </w:p>
    <w:p w14:paraId="706D564A" w14:textId="77777777" w:rsidR="006A3D73" w:rsidRPr="00F013E0" w:rsidRDefault="006A3D73">
      <w:pPr>
        <w:jc w:val="center"/>
        <w:rPr>
          <w:rFonts w:ascii="Arial" w:hAnsi="Arial"/>
          <w:b/>
          <w:bCs/>
          <w:sz w:val="28"/>
          <w:szCs w:val="28"/>
          <w:rtl/>
        </w:rPr>
      </w:pPr>
    </w:p>
    <w:p w14:paraId="2D9443DA" w14:textId="77777777" w:rsidR="001D2475" w:rsidRPr="001D2475" w:rsidRDefault="001D2475">
      <w:pPr>
        <w:jc w:val="center"/>
        <w:rPr>
          <w:rFonts w:ascii="Arial" w:hAnsi="Arial"/>
          <w:sz w:val="28"/>
          <w:szCs w:val="28"/>
          <w:rtl/>
        </w:rPr>
      </w:pPr>
    </w:p>
    <w:p w14:paraId="2BFBDC7C" w14:textId="77777777" w:rsidR="001D2475" w:rsidRPr="001D2475" w:rsidRDefault="001D2475">
      <w:pPr>
        <w:jc w:val="center"/>
        <w:rPr>
          <w:rFonts w:ascii="Arial" w:hAnsi="Arial"/>
          <w:b/>
          <w:bCs/>
          <w:sz w:val="28"/>
          <w:szCs w:val="28"/>
          <w:rtl/>
        </w:rPr>
      </w:pPr>
    </w:p>
    <w:p w14:paraId="7846562A" w14:textId="77777777" w:rsidR="006F2406" w:rsidRPr="001D2475" w:rsidRDefault="006F2406">
      <w:pPr>
        <w:jc w:val="center"/>
        <w:rPr>
          <w:rFonts w:ascii="Arial" w:hAnsi="Arial"/>
          <w:b/>
          <w:bCs/>
          <w:sz w:val="28"/>
          <w:szCs w:val="28"/>
          <w:rtl/>
        </w:rPr>
      </w:pPr>
    </w:p>
    <w:p w14:paraId="3D647049" w14:textId="77777777" w:rsidR="006F2406" w:rsidRPr="006F2406" w:rsidRDefault="006F2406" w:rsidP="006F2406">
      <w:pPr>
        <w:jc w:val="center"/>
        <w:rPr>
          <w:rFonts w:ascii="Arial" w:hAnsi="Arial"/>
          <w:b/>
          <w:bCs/>
          <w:sz w:val="28"/>
          <w:szCs w:val="28"/>
          <w:u w:val="single"/>
          <w:rtl/>
        </w:rPr>
      </w:pPr>
      <w:bookmarkStart w:id="5" w:name="PsakDin"/>
      <w:bookmarkEnd w:id="0"/>
      <w:r w:rsidRPr="006F2406">
        <w:rPr>
          <w:rFonts w:ascii="Arial" w:hAnsi="Arial"/>
          <w:b/>
          <w:bCs/>
          <w:sz w:val="28"/>
          <w:szCs w:val="28"/>
          <w:u w:val="single"/>
          <w:rtl/>
        </w:rPr>
        <w:t>גזר דין</w:t>
      </w:r>
    </w:p>
    <w:bookmarkEnd w:id="5"/>
    <w:p w14:paraId="51347111" w14:textId="77777777" w:rsidR="006A3D73" w:rsidRDefault="006A3D73"/>
    <w:p w14:paraId="63E27D21" w14:textId="77777777" w:rsidR="006A3D73" w:rsidRDefault="006F2406">
      <w:pPr>
        <w:rPr>
          <w:rFonts w:ascii="Arial" w:hAnsi="Arial"/>
        </w:rPr>
      </w:pPr>
      <w:r>
        <w:rPr>
          <w:rFonts w:ascii="Arial" w:hAnsi="Arial" w:hint="cs"/>
          <w:rtl/>
        </w:rPr>
        <w:lastRenderedPageBreak/>
        <w:t xml:space="preserve">הנאשם הודה והורשע  במסגרת הסדר טיעון שהוצג בבית המשפט באשקלון, ביום 29.4.12, על פיו ידחה לקבלת תסקיר, ישוחרר בתנאי מעצר בית מלא, יוכל להסתובב במשך היום בליווי הערבה והתביעה תעתור לכל היותר למאסר לריצוי בעבודות שירות ופסילה מלנהוג בעוד טיעוני הסניגור פתוחים. </w:t>
      </w:r>
    </w:p>
    <w:p w14:paraId="02E740AC" w14:textId="77777777" w:rsidR="006A3D73" w:rsidRDefault="006F2406">
      <w:pPr>
        <w:rPr>
          <w:rFonts w:ascii="Arial" w:hAnsi="Arial"/>
          <w:rtl/>
        </w:rPr>
      </w:pPr>
      <w:r>
        <w:rPr>
          <w:rFonts w:ascii="Arial" w:hAnsi="Arial" w:hint="cs"/>
          <w:rtl/>
        </w:rPr>
        <w:t xml:space="preserve">הנאשם הודה בכך שב- 23.4.12, בשעה 17:50 לערך,  בדירתו בבאר שבע החזיק שלא כדין סם מסוכן שלא לצריכה עצמית כמפורט: </w:t>
      </w:r>
    </w:p>
    <w:p w14:paraId="7CA8A640" w14:textId="77777777" w:rsidR="006A3D73" w:rsidRDefault="006F2406">
      <w:pPr>
        <w:rPr>
          <w:rFonts w:ascii="Arial" w:hAnsi="Arial"/>
          <w:rtl/>
        </w:rPr>
      </w:pPr>
      <w:r>
        <w:rPr>
          <w:rFonts w:ascii="Arial" w:hAnsi="Arial" w:hint="cs"/>
          <w:rtl/>
        </w:rPr>
        <w:t xml:space="preserve">א. </w:t>
      </w:r>
      <w:r>
        <w:rPr>
          <w:rFonts w:ascii="Arial" w:hAnsi="Arial" w:hint="cs"/>
          <w:rtl/>
        </w:rPr>
        <w:tab/>
        <w:t>בחדרו על גבי מדף בארון הבגדים החזיק קנבוס במשקל של 17 גרם נטו.</w:t>
      </w:r>
    </w:p>
    <w:p w14:paraId="6CFEE60D" w14:textId="77777777" w:rsidR="006A3D73" w:rsidRDefault="006F2406">
      <w:pPr>
        <w:ind w:left="720" w:hanging="720"/>
        <w:rPr>
          <w:rFonts w:ascii="Arial" w:hAnsi="Arial"/>
          <w:rtl/>
        </w:rPr>
      </w:pPr>
      <w:r>
        <w:rPr>
          <w:rFonts w:ascii="Arial" w:hAnsi="Arial" w:hint="cs"/>
          <w:rtl/>
        </w:rPr>
        <w:t xml:space="preserve">ב. </w:t>
      </w:r>
      <w:r>
        <w:rPr>
          <w:rFonts w:ascii="Arial" w:hAnsi="Arial" w:hint="cs"/>
          <w:rtl/>
        </w:rPr>
        <w:tab/>
        <w:t>בחדרו במגירה בשידה החזיק שתי שקיות ניילון שקופות המכילות קנבוס במשקל כולל של 8.8 גרם נטו.</w:t>
      </w:r>
    </w:p>
    <w:p w14:paraId="09CC7AC9" w14:textId="77777777" w:rsidR="006A3D73" w:rsidRDefault="006F2406">
      <w:pPr>
        <w:ind w:left="720" w:hanging="720"/>
        <w:rPr>
          <w:rFonts w:ascii="Arial" w:hAnsi="Arial"/>
          <w:rtl/>
        </w:rPr>
      </w:pPr>
      <w:r>
        <w:rPr>
          <w:rFonts w:ascii="Arial" w:hAnsi="Arial" w:hint="cs"/>
          <w:rtl/>
        </w:rPr>
        <w:t xml:space="preserve">ג. </w:t>
      </w:r>
      <w:r>
        <w:rPr>
          <w:rFonts w:ascii="Arial" w:hAnsi="Arial" w:hint="cs"/>
          <w:rtl/>
        </w:rPr>
        <w:tab/>
        <w:t>במטבח בארון על גבי מדף החזיק 3 שקיות שקופות בתוכן קנבוס במשקל של 14.20 גרם נטו וכמו כן במשך תקופה של כחודשיים גידל בדירה בתוך ארון את צמחי הקנבוס שנתפסו.</w:t>
      </w:r>
    </w:p>
    <w:p w14:paraId="048F2074" w14:textId="77777777" w:rsidR="006A3D73" w:rsidRDefault="006A3D73">
      <w:pPr>
        <w:rPr>
          <w:rFonts w:ascii="Arial" w:hAnsi="Arial"/>
          <w:rtl/>
        </w:rPr>
      </w:pPr>
    </w:p>
    <w:p w14:paraId="01DCB4CC" w14:textId="77777777" w:rsidR="006A3D73" w:rsidRDefault="006F2406">
      <w:pPr>
        <w:ind w:firstLine="720"/>
        <w:rPr>
          <w:rtl/>
        </w:rPr>
      </w:pPr>
      <w:r>
        <w:rPr>
          <w:rFonts w:hint="cs"/>
          <w:rtl/>
        </w:rPr>
        <w:t>-עבירות של גידול סם מסוכן והחזקה בו שלא לצריכה עצמית.</w:t>
      </w:r>
    </w:p>
    <w:p w14:paraId="0B10A17F" w14:textId="77777777" w:rsidR="006A3D73" w:rsidRDefault="006A3D73">
      <w:pPr>
        <w:ind w:firstLine="720"/>
        <w:rPr>
          <w:rFonts w:ascii="Arial" w:hAnsi="Arial"/>
          <w:rtl/>
        </w:rPr>
      </w:pPr>
    </w:p>
    <w:p w14:paraId="18103F23" w14:textId="77777777" w:rsidR="006A3D73" w:rsidRDefault="006F2406">
      <w:pPr>
        <w:rPr>
          <w:rFonts w:ascii="Arial" w:hAnsi="Arial"/>
          <w:rtl/>
        </w:rPr>
      </w:pPr>
      <w:r>
        <w:rPr>
          <w:rFonts w:ascii="Arial" w:hAnsi="Arial" w:hint="cs"/>
          <w:rtl/>
        </w:rPr>
        <w:t xml:space="preserve">מהתסקירים עולה כי מדובר בבחור צעיר שמילדות עבר אירועים קשים שעצבו את התנהגותו ובחירותיו. שירות המבחן התרשמו כי הוא בעל מערכת ערכים נורמטיבית ביסודה ואף השקיע מאמצים לתפקד באופן נורמטיבי, כפי שבא לידי ביטוי במסגרת חינוכית צבאית, בה אף קיבל תעודת הצטיינות וכן בהתמדתו במסגרת תעסוקתית כעובד מוערך. </w:t>
      </w:r>
    </w:p>
    <w:p w14:paraId="4252DC73" w14:textId="77777777" w:rsidR="006A3D73" w:rsidRDefault="006F2406">
      <w:pPr>
        <w:rPr>
          <w:rFonts w:ascii="Arial" w:hAnsi="Arial"/>
          <w:rtl/>
        </w:rPr>
      </w:pPr>
      <w:r>
        <w:rPr>
          <w:rFonts w:ascii="Arial" w:hAnsi="Arial" w:hint="cs"/>
          <w:rtl/>
        </w:rPr>
        <w:t xml:space="preserve">הוא חרד מההליך המשפטי תוצאותיו והשלכותיו, דבר שיש בו לצמצם סיכון להישנות התנהגות עוברת חוק בעתיד. התרשמו כי הוא יכול להסתייע מהמערך הטיפולי והציעו לו לבחון אפשרות זו אך סירב, וציין כי לא רואה בעיה בו מתנהל ולא זקוק להתערבות טיפולית. </w:t>
      </w:r>
    </w:p>
    <w:p w14:paraId="7FE001F3" w14:textId="77777777" w:rsidR="006A3D73" w:rsidRDefault="006F2406">
      <w:pPr>
        <w:rPr>
          <w:rFonts w:ascii="Arial" w:hAnsi="Arial"/>
          <w:rtl/>
        </w:rPr>
      </w:pPr>
      <w:r>
        <w:rPr>
          <w:rFonts w:ascii="Arial" w:hAnsi="Arial" w:hint="cs"/>
          <w:rtl/>
        </w:rPr>
        <w:t xml:space="preserve">בית משפט נתן לו הזדמנות נוספת לשתף פעולה והדיון נדחה . בשונה מן העבר ציין שמבין החשיבות, מעונין לבחון טיפול ומגלה הכרה ראשונית בקיומה של בעיה ובהתאם מוטיבציה ראשונית להשתלבות בטיפול ולכן הוזמן להשתתף בקבוצת הכוון כדי לבדוק מוכנות ומחוייבות לטיפול ארוך טווח. הדיון נדחה שוב , אך בתסקיר שהוגש ב- 9.4.13 צוין כי הוזמן לקבוצת ההכוון, אך לא הגיע לסדנא. לדבריו, בשל דרישות מקום עבודתו. הוא ביקש הזדמנות נוספת והדיון נדחה לאפשר לו זאת. </w:t>
      </w:r>
    </w:p>
    <w:p w14:paraId="4FB7CB73" w14:textId="77777777" w:rsidR="006A3D73" w:rsidRDefault="006F2406">
      <w:pPr>
        <w:rPr>
          <w:rFonts w:ascii="Arial" w:hAnsi="Arial"/>
          <w:rtl/>
        </w:rPr>
      </w:pPr>
      <w:r>
        <w:rPr>
          <w:rFonts w:ascii="Arial" w:hAnsi="Arial" w:hint="cs"/>
          <w:rtl/>
        </w:rPr>
        <w:t xml:space="preserve">בתסקיר האחרון צוין כי במהלך הסדנא הוא נחשף לדינמיקה הקבוצתית והוא חווה אותה כחיובית, הוא גילה הבנה ראשונה לצורך בסיוע חיצוני, דבר שיכול להוות גורם משמעותי , הביע רצון להשתלב בתהליך הטיפולי על מנת לבחון נושאים לא פטורים עמם מתמודד, ולכן הופנה לראיון קבלה לקבוצה טיפולית במאי. בנסיבות אלה, הם סבורים כי  ענישה מתאימה תהא בגישה שיקומית טיפולית וממליצים על הטלת צו מבחן במשך שנה, יחד עם של"צ </w:t>
      </w:r>
      <w:r>
        <w:rPr>
          <w:rFonts w:ascii="Arial" w:hAnsi="Arial" w:hint="cs"/>
          <w:rtl/>
        </w:rPr>
        <w:lastRenderedPageBreak/>
        <w:t>בהיקף של 140 שעות, כמסר הרתעתי חינוכי משמעותי שיחזק את כוחות התפקוד החיוביים יחד עם מאסר מותנה.</w:t>
      </w:r>
    </w:p>
    <w:p w14:paraId="5904E480" w14:textId="77777777" w:rsidR="006A3D73" w:rsidRDefault="006F2406">
      <w:pPr>
        <w:rPr>
          <w:rFonts w:ascii="Arial" w:hAnsi="Arial"/>
          <w:rtl/>
        </w:rPr>
      </w:pPr>
      <w:r>
        <w:rPr>
          <w:rFonts w:ascii="Arial" w:hAnsi="Arial" w:hint="cs"/>
          <w:rtl/>
        </w:rPr>
        <w:t>צוין, כי נתקבלה גם חוות דעת ממונה שמצאו כשיר לרצות את המאסר החל מיום 5.5.13, אולם בדיון ב- 1.5.13 עתר התובע לעונש מאסר לריצוי בעבודות שירות, מאסר מותנה, קנס , התחייבות , פסילה מלנהוג ופסילה מותנית.</w:t>
      </w:r>
    </w:p>
    <w:p w14:paraId="2BBEE7A8" w14:textId="77777777" w:rsidR="006A3D73" w:rsidRDefault="006F2406">
      <w:pPr>
        <w:rPr>
          <w:rFonts w:ascii="Arial" w:hAnsi="Arial"/>
          <w:rtl/>
        </w:rPr>
      </w:pPr>
      <w:r>
        <w:rPr>
          <w:rFonts w:ascii="Arial" w:hAnsi="Arial" w:hint="cs"/>
          <w:rtl/>
        </w:rPr>
        <w:t>התובע ציין כי מדובר בהסדר טיעון שמלכתחילה מקל עמו  ביחס לחומרת העבירות וכי ההסדר נובע מכך שעברו נקי וכי מדובר בכמות סם לא גדולה ובמי שלקח אחריות, חסך זמן שיפוטי ונמצא בהליך טיפולי.  התובע הפנה לתיקון 113 ל</w:t>
      </w:r>
      <w:hyperlink r:id="rId11" w:history="1">
        <w:r w:rsidR="001D2475" w:rsidRPr="001D2475">
          <w:rPr>
            <w:rStyle w:val="Hyperlink"/>
            <w:rFonts w:ascii="Arial" w:hAnsi="Arial"/>
            <w:rtl/>
          </w:rPr>
          <w:t>חוק העונשין</w:t>
        </w:r>
      </w:hyperlink>
      <w:r>
        <w:rPr>
          <w:rFonts w:ascii="Arial" w:hAnsi="Arial" w:hint="cs"/>
          <w:rtl/>
        </w:rPr>
        <w:t xml:space="preserve"> התשל"ז -  1977 על פיו העקרון המנחה הוא ההלימה ותמך טענותיו בפסיקה.</w:t>
      </w:r>
    </w:p>
    <w:p w14:paraId="55C9D3C0" w14:textId="77777777" w:rsidR="006A3D73" w:rsidRDefault="006A3D73">
      <w:pPr>
        <w:rPr>
          <w:rFonts w:ascii="Arial" w:hAnsi="Arial"/>
          <w:rtl/>
        </w:rPr>
      </w:pPr>
    </w:p>
    <w:p w14:paraId="3ACD3DAC" w14:textId="77777777" w:rsidR="006A3D73" w:rsidRDefault="006F2406">
      <w:pPr>
        <w:rPr>
          <w:rFonts w:ascii="Arial" w:hAnsi="Arial"/>
          <w:rtl/>
        </w:rPr>
      </w:pPr>
      <w:r>
        <w:rPr>
          <w:rFonts w:ascii="Arial" w:hAnsi="Arial" w:hint="cs"/>
          <w:rtl/>
        </w:rPr>
        <w:t xml:space="preserve">התובע מפנה לע"פ חיפה </w:t>
      </w:r>
      <w:hyperlink r:id="rId12" w:history="1">
        <w:r w:rsidR="00F013E0" w:rsidRPr="00F013E0">
          <w:rPr>
            <w:rFonts w:ascii="Arial" w:hAnsi="Arial"/>
            <w:color w:val="0000FF"/>
            <w:u w:val="single"/>
            <w:rtl/>
          </w:rPr>
          <w:t>25206-10-12</w:t>
        </w:r>
      </w:hyperlink>
      <w:r>
        <w:rPr>
          <w:rFonts w:ascii="Arial" w:hAnsi="Arial" w:hint="cs"/>
          <w:rtl/>
        </w:rPr>
        <w:t xml:space="preserve"> </w:t>
      </w:r>
      <w:r>
        <w:rPr>
          <w:rFonts w:ascii="Arial" w:hAnsi="Arial" w:hint="cs"/>
          <w:b/>
          <w:bCs/>
          <w:rtl/>
        </w:rPr>
        <w:t xml:space="preserve">מדינת ישראל נ' טל דוכן הנסן, </w:t>
      </w:r>
      <w:r>
        <w:rPr>
          <w:rFonts w:ascii="Arial" w:hAnsi="Arial" w:hint="cs"/>
          <w:rtl/>
        </w:rPr>
        <w:t>מיום 15.1.13, באותו ענין החזיק סם מסוכן מסוג קנבוס שלא לצריכה עצמית במשקל כ- 757 גרם נטו וגידל 18 שתילי קנבוס וכן החזיק אמל"ח. בית משפט שלום הסתפק ב- 6 חודשי מאסר לריצוי בעבודות שירות. נטען כי גידול הסם נועד לשימוש עצמי. בית משפט מחוזי ציין, כי עבירות סמים מחייבות ענישה הולמת ומרתיעה, אשר תיתן ביטוי לחומרת העבירות ולאינטרס החברתי. "מדובר בסמים מסוג קנבוס המוגדר כסם קלים, אך סמים קלים מהווים לעיתים "יריית פתיחה" להתמכרות לסמים קשים יותר וכן טמונה סכנה גם בשימוש בהם.  משקבע בית משפט כי השימוש לא רק לצריכה עצמית היה עליו להחמיר בעונש בהתאם למגמה הכללית של השתת  ענישה מחמירה שיהא בה להרתיע עבריינים פוטנציאלים. בית המשפט מפנה ל</w:t>
      </w:r>
      <w:hyperlink r:id="rId13" w:history="1">
        <w:r w:rsidR="001D2475" w:rsidRPr="001D2475">
          <w:rPr>
            <w:rStyle w:val="Hyperlink"/>
            <w:rFonts w:ascii="Arial" w:hAnsi="Arial"/>
            <w:rtl/>
          </w:rPr>
          <w:t>ע"פ 211/09</w:t>
        </w:r>
      </w:hyperlink>
      <w:r>
        <w:rPr>
          <w:rFonts w:ascii="Arial" w:hAnsi="Arial" w:hint="cs"/>
          <w:rtl/>
        </w:rPr>
        <w:t xml:space="preserve"> אזולאי נ' מדינת ישראל, מיום 22.6.10, שם נקבע : "</w:t>
      </w:r>
      <w:r>
        <w:rPr>
          <w:rFonts w:ascii="Arial" w:hAnsi="Arial" w:hint="cs"/>
          <w:b/>
          <w:bCs/>
          <w:rtl/>
        </w:rPr>
        <w:t>כי על העונש להעביר מסר חד משמעי של הרתעה ביחס לעבריינים פוטנציאלים, ולשמש אות אזהרה אפקטיבי לכל מי שמתכוון לקחת חלק במערכת העברות והסחר בסמים, תהא אשר תהא הפונקציה אותה ממלא בשרשרת זו של העברת הסם מיד ליד".</w:t>
      </w:r>
    </w:p>
    <w:p w14:paraId="6EC3CFEA" w14:textId="77777777" w:rsidR="006A3D73" w:rsidRDefault="006F2406">
      <w:pPr>
        <w:rPr>
          <w:rFonts w:ascii="Arial" w:hAnsi="Arial"/>
          <w:rtl/>
        </w:rPr>
      </w:pPr>
      <w:r>
        <w:rPr>
          <w:rFonts w:ascii="Arial" w:hAnsi="Arial" w:hint="cs"/>
          <w:rtl/>
        </w:rPr>
        <w:t xml:space="preserve">כמו כן התיחס לכך שבית משפט שלום אבחן בין  החזקת תחמושת לכלי ירייה, כשהיה מדובר גם ברימוני גז שסבר שאין בהם סיכון ממשי לחיי אדם.  בית משפט מחוזי סבר שהעונש סוטה סטייה ניכרת מהעונש ההולם וכי יש להתיחס בחומרה גם לרימוני הלם ורימוני גז ותחמושת ולכן הערעור נתקבל ומבלי למצות את הדין הטילו על הנאשם 9 חודשי מאסר בפועל. </w:t>
      </w:r>
    </w:p>
    <w:p w14:paraId="690C3B71" w14:textId="77777777" w:rsidR="006A3D73" w:rsidRDefault="006A3D73">
      <w:pPr>
        <w:rPr>
          <w:rFonts w:ascii="Arial" w:hAnsi="Arial"/>
          <w:rtl/>
        </w:rPr>
      </w:pPr>
    </w:p>
    <w:p w14:paraId="15514C93" w14:textId="77777777" w:rsidR="006A3D73" w:rsidRDefault="006F2406">
      <w:pPr>
        <w:rPr>
          <w:rFonts w:ascii="Arial" w:hAnsi="Arial"/>
          <w:rtl/>
        </w:rPr>
      </w:pPr>
      <w:r>
        <w:rPr>
          <w:rFonts w:ascii="Arial" w:hAnsi="Arial" w:hint="cs"/>
          <w:rtl/>
        </w:rPr>
        <w:t xml:space="preserve">התובע הפנה לפסק דין של בית משפט שלום חיפה </w:t>
      </w:r>
      <w:r>
        <w:rPr>
          <w:rFonts w:ascii="Arial" w:hAnsi="Arial" w:hint="cs"/>
          <w:b/>
          <w:bCs/>
          <w:rtl/>
        </w:rPr>
        <w:t>מדינת ישראל נ' דוד פרידמן</w:t>
      </w:r>
      <w:r>
        <w:rPr>
          <w:rFonts w:ascii="Arial" w:hAnsi="Arial" w:hint="cs"/>
          <w:rtl/>
        </w:rPr>
        <w:t xml:space="preserve">, </w:t>
      </w:r>
      <w:hyperlink r:id="rId14" w:history="1">
        <w:r w:rsidR="001D2475" w:rsidRPr="001D2475">
          <w:rPr>
            <w:rStyle w:val="Hyperlink"/>
            <w:rFonts w:ascii="Arial" w:hAnsi="Arial"/>
            <w:rtl/>
          </w:rPr>
          <w:t>ת.פ. 8414-05-09</w:t>
        </w:r>
      </w:hyperlink>
      <w:r>
        <w:rPr>
          <w:rFonts w:ascii="Arial" w:hAnsi="Arial" w:hint="cs"/>
          <w:rtl/>
        </w:rPr>
        <w:t xml:space="preserve">, המאזכר את ערעור פלילי מחוזי נצרת </w:t>
      </w:r>
      <w:hyperlink r:id="rId15" w:history="1">
        <w:r w:rsidR="00F013E0" w:rsidRPr="00F013E0">
          <w:rPr>
            <w:rFonts w:ascii="Arial" w:hAnsi="Arial"/>
            <w:color w:val="0000FF"/>
            <w:u w:val="single"/>
            <w:rtl/>
          </w:rPr>
          <w:t>1370/05</w:t>
        </w:r>
      </w:hyperlink>
      <w:r>
        <w:rPr>
          <w:rFonts w:ascii="Arial" w:hAnsi="Arial" w:hint="cs"/>
          <w:rtl/>
        </w:rPr>
        <w:t xml:space="preserve"> חססנום בן פים שינגאמונג, (פורסם בנט-המשפט)</w:t>
      </w:r>
    </w:p>
    <w:p w14:paraId="6AF353CE" w14:textId="77777777" w:rsidR="006A3D73" w:rsidRDefault="006F2406">
      <w:pPr>
        <w:rPr>
          <w:rFonts w:ascii="Arial" w:hAnsi="Arial"/>
          <w:b/>
          <w:bCs/>
          <w:rtl/>
        </w:rPr>
      </w:pPr>
      <w:r>
        <w:rPr>
          <w:rFonts w:ascii="Arial" w:hAnsi="Arial" w:hint="cs"/>
          <w:rtl/>
        </w:rPr>
        <w:t>שם נקבע: "</w:t>
      </w:r>
      <w:r>
        <w:rPr>
          <w:rFonts w:ascii="Arial" w:hAnsi="Arial" w:hint="cs"/>
          <w:b/>
          <w:bCs/>
          <w:rtl/>
        </w:rPr>
        <w:t>אין חולק כי עבירות סמים הן עבירות חמורות. הנזק שעבירות אלה גורמות לפרט ולחברה הינו נזק גדול. בתי המשפט ציינו לא פעם את חובתם לתרום את תרומתם למלחמה בנגע הסמים... המחוקק הביע את עמדתו לגבי חומרת העבירה של גידול ויצור סמים מסוכנים, בכך שקבע לצידה של עבירה זו עונש מרבי של 20 שנות מאסר".</w:t>
      </w:r>
    </w:p>
    <w:p w14:paraId="13E2ECB7" w14:textId="77777777" w:rsidR="006A3D73" w:rsidRDefault="006A3D73">
      <w:pPr>
        <w:rPr>
          <w:rFonts w:ascii="Times New Roman" w:hAnsi="Times New Roman"/>
          <w:noProof/>
          <w:rtl/>
        </w:rPr>
      </w:pPr>
    </w:p>
    <w:p w14:paraId="039FEB19" w14:textId="77777777" w:rsidR="006A3D73" w:rsidRDefault="006F2406">
      <w:pPr>
        <w:rPr>
          <w:rtl/>
        </w:rPr>
      </w:pPr>
      <w:r>
        <w:rPr>
          <w:rFonts w:hint="cs"/>
          <w:rtl/>
        </w:rPr>
        <w:t xml:space="preserve">הסניגור המציא פסיקה של בית משפט שלום השונים, כך </w:t>
      </w:r>
      <w:hyperlink r:id="rId16" w:history="1">
        <w:r w:rsidR="00F013E0" w:rsidRPr="00F013E0">
          <w:rPr>
            <w:color w:val="0000FF"/>
            <w:u w:val="single"/>
            <w:rtl/>
          </w:rPr>
          <w:t>3827-11-09</w:t>
        </w:r>
      </w:hyperlink>
      <w:r>
        <w:rPr>
          <w:rFonts w:hint="cs"/>
          <w:rtl/>
        </w:rPr>
        <w:t xml:space="preserve"> </w:t>
      </w:r>
      <w:r>
        <w:rPr>
          <w:rFonts w:hint="cs"/>
          <w:b/>
          <w:bCs/>
          <w:rtl/>
        </w:rPr>
        <w:t>מדינת ישראל נ' נהב</w:t>
      </w:r>
      <w:r>
        <w:rPr>
          <w:rFonts w:hint="cs"/>
          <w:rtl/>
        </w:rPr>
        <w:t xml:space="preserve">,  מיום 7.7.10, החזקת סם שלא לצריכה עצמית במשקל 262 גרם נטו שלא לצריכה עצמית וגידול שתילי סם מסוג קנבוס בחממה ובדירות. באותו ענין בית משפט בחן אפשרות להימנע מהרשעה, והרשיעם אך הטיל עליהם מאסר מותנה, של"צ וקנס בלבד.  </w:t>
      </w:r>
    </w:p>
    <w:p w14:paraId="290ABD8E" w14:textId="77777777" w:rsidR="006A3D73" w:rsidRDefault="006F2406">
      <w:pPr>
        <w:rPr>
          <w:rtl/>
        </w:rPr>
      </w:pPr>
      <w:r>
        <w:rPr>
          <w:rFonts w:hint="cs"/>
          <w:rtl/>
        </w:rPr>
        <w:t xml:space="preserve">כך גם בית משפט שלום כפר </w:t>
      </w:r>
      <w:r w:rsidRPr="00B523C0">
        <w:rPr>
          <w:color w:val="000000"/>
          <w:rtl/>
        </w:rPr>
        <w:t>סבא 14889-06-10</w:t>
      </w:r>
      <w:r>
        <w:rPr>
          <w:rFonts w:hint="cs"/>
          <w:rtl/>
        </w:rPr>
        <w:t xml:space="preserve"> , נאשם הורשע בגין עבירה של גידול 15 שתילי קנבוס במשקל כ-  31.52 גרם, בית משפט הרשיעו  והטיל עליו קנס בסך של 2000 ₪, מאסר מותנה של 6 חודשים, פסילה. </w:t>
      </w:r>
    </w:p>
    <w:p w14:paraId="1C16AF27" w14:textId="77777777" w:rsidR="006A3D73" w:rsidRDefault="006F2406">
      <w:pPr>
        <w:rPr>
          <w:rtl/>
        </w:rPr>
      </w:pPr>
      <w:r>
        <w:rPr>
          <w:rFonts w:hint="cs"/>
          <w:rtl/>
        </w:rPr>
        <w:t xml:space="preserve">וכן שלושה פסקי דין נוספים של כב' השופט אדם אור , בבית משפט בבאר שבע,  שהחליט לבטל ההרשעה, למרות שהיה מדובר בגידול שני צמחים של קנבוס במשקל של 450 גרם נטו, </w:t>
      </w:r>
      <w:r w:rsidRPr="00B523C0">
        <w:rPr>
          <w:color w:val="000000"/>
          <w:rtl/>
        </w:rPr>
        <w:t>ת.פ. 2746/09</w:t>
      </w:r>
      <w:r>
        <w:rPr>
          <w:rFonts w:hint="cs"/>
          <w:rtl/>
        </w:rPr>
        <w:t xml:space="preserve">. וכן כב' השופט שמעוני, </w:t>
      </w:r>
      <w:r w:rsidRPr="00B523C0">
        <w:rPr>
          <w:color w:val="000000"/>
          <w:rtl/>
        </w:rPr>
        <w:t>ת.פ. 2122/09</w:t>
      </w:r>
      <w:r>
        <w:rPr>
          <w:rFonts w:hint="cs"/>
          <w:rtl/>
        </w:rPr>
        <w:t xml:space="preserve"> ירושלים, הרשיע, אך הסתפק במאסר מותנה ושל"צ, צו מבחן וקנס גבוה וכן בית משפט שלום צפת, 8307-03-09 גידול 41 שתילי קנבוס ועציצים והספקת סם על ידי נאשם 1 לנאשמת 2. כב' השופט סאאב דבור נמנע מלבטל ההרשעה, אך הסתפק בשל"צ בהיקף של 260 שעות, מאסר מותנה וקנס.</w:t>
      </w:r>
    </w:p>
    <w:p w14:paraId="2D4A3858" w14:textId="77777777" w:rsidR="006A3D73" w:rsidRDefault="006A3D73">
      <w:pPr>
        <w:rPr>
          <w:rtl/>
        </w:rPr>
      </w:pPr>
    </w:p>
    <w:p w14:paraId="13606542" w14:textId="77777777" w:rsidR="006A3D73" w:rsidRDefault="006F2406">
      <w:pPr>
        <w:rPr>
          <w:rtl/>
        </w:rPr>
      </w:pPr>
      <w:r>
        <w:rPr>
          <w:rFonts w:hint="cs"/>
          <w:rtl/>
        </w:rPr>
        <w:t>מדיניות ביהמ"ש העליון, כפי שזו באה לידי ביטוי ב</w:t>
      </w:r>
      <w:hyperlink r:id="rId17" w:history="1">
        <w:r w:rsidR="001D2475" w:rsidRPr="001D2475">
          <w:rPr>
            <w:rStyle w:val="Hyperlink"/>
            <w:rtl/>
          </w:rPr>
          <w:t>ע"פ 966/94</w:t>
        </w:r>
      </w:hyperlink>
      <w:r>
        <w:rPr>
          <w:rFonts w:hint="cs"/>
          <w:rtl/>
        </w:rPr>
        <w:t xml:space="preserve">, </w:t>
      </w:r>
      <w:r>
        <w:rPr>
          <w:rFonts w:hint="cs"/>
          <w:b/>
          <w:bCs/>
          <w:rtl/>
        </w:rPr>
        <w:t>אלי אמזלג נ' מד"י</w:t>
      </w:r>
      <w:r>
        <w:rPr>
          <w:rFonts w:hint="cs"/>
          <w:rtl/>
        </w:rPr>
        <w:t>, (ת"ק על' 95 (4) עמ' 176, 184), שם צויין כי:</w:t>
      </w:r>
    </w:p>
    <w:p w14:paraId="74194DEB" w14:textId="77777777" w:rsidR="006A3D73" w:rsidRDefault="006A3D73">
      <w:pPr>
        <w:rPr>
          <w:rtl/>
        </w:rPr>
      </w:pPr>
    </w:p>
    <w:p w14:paraId="09CF3260" w14:textId="77777777" w:rsidR="006A3D73" w:rsidRDefault="006F2406">
      <w:pPr>
        <w:rPr>
          <w:b/>
          <w:bCs/>
          <w:rtl/>
        </w:rPr>
      </w:pPr>
      <w:r>
        <w:rPr>
          <w:rFonts w:hint="cs"/>
          <w:rtl/>
        </w:rPr>
        <w:t>"</w:t>
      </w:r>
      <w:r>
        <w:rPr>
          <w:rFonts w:hint="cs"/>
          <w:b/>
          <w:bCs/>
          <w:rtl/>
        </w:rPr>
        <w:t>ככלל, ראוי ליתן לאדם צעיר, המבקש לשנות את אורח חייו, את ההזדמנות לזנוח את העיסוק בסמים ולשקם את חייו.</w:t>
      </w:r>
    </w:p>
    <w:p w14:paraId="6CCC460B" w14:textId="77777777" w:rsidR="006A3D73" w:rsidRDefault="006F2406">
      <w:pPr>
        <w:rPr>
          <w:b/>
          <w:bCs/>
          <w:rtl/>
        </w:rPr>
      </w:pPr>
      <w:r>
        <w:rPr>
          <w:rFonts w:hint="cs"/>
          <w:b/>
          <w:bCs/>
          <w:rtl/>
        </w:rPr>
        <w:t>ברם, כנגד השיקול האישי, עומד במקרה דנן שיקול ההרתעתיות כשלצידו הגורם החינוכי. נגע הסמים אוכל באוכלוסיה שלנו בכל פה; והחברה הכריזה מלחמת חורמה, ומצפה שהעונשים שייגזרו ע"י בתי המשפט בשל עבירות סמים, ישתלבו במאבק הכולל להדברת הנגע.</w:t>
      </w:r>
    </w:p>
    <w:p w14:paraId="73A80489" w14:textId="77777777" w:rsidR="006A3D73" w:rsidRDefault="006F2406">
      <w:pPr>
        <w:rPr>
          <w:rtl/>
        </w:rPr>
      </w:pPr>
      <w:r>
        <w:rPr>
          <w:rFonts w:hint="cs"/>
          <w:b/>
          <w:bCs/>
          <w:rtl/>
        </w:rPr>
        <w:t>עונש הולם למחזיקי סמים, שלא לשימוש עצמי – קרי: למשולבים במערך ההפצה – מכוון לפגוע בהכרת הכל את החומרה היתרה שאנו מייחסים להפצת הסמים ולהרתיע עבריינים בכח מלשלוח ידם בפעילות ההפצה. שתי תכליות מרכזיות אלו, ניתן להשיג רק ע"י הטלת עונשים חמורים; ולעניות דעתי – השיקולים האישיים של שיקום העבריין חייבים לסגת מפני השיקולים של טובת הכלל</w:t>
      </w:r>
      <w:r>
        <w:rPr>
          <w:rFonts w:hint="cs"/>
          <w:rtl/>
        </w:rPr>
        <w:t>".</w:t>
      </w:r>
    </w:p>
    <w:p w14:paraId="0FC2F562" w14:textId="77777777" w:rsidR="006A3D73" w:rsidRDefault="006A3D73">
      <w:pPr>
        <w:rPr>
          <w:rtl/>
        </w:rPr>
      </w:pPr>
    </w:p>
    <w:p w14:paraId="454C5C96" w14:textId="77777777" w:rsidR="006A3D73" w:rsidRDefault="006F2406">
      <w:pPr>
        <w:rPr>
          <w:rtl/>
        </w:rPr>
      </w:pPr>
      <w:r>
        <w:rPr>
          <w:rFonts w:hint="cs"/>
          <w:rtl/>
        </w:rPr>
        <w:t>בב</w:t>
      </w:r>
      <w:r w:rsidRPr="00B523C0">
        <w:rPr>
          <w:color w:val="000000"/>
          <w:rtl/>
        </w:rPr>
        <w:t xml:space="preserve">רע"פ </w:t>
      </w:r>
      <w:hyperlink r:id="rId18" w:history="1">
        <w:r w:rsidR="00F013E0" w:rsidRPr="00F013E0">
          <w:rPr>
            <w:color w:val="0000FF"/>
            <w:u w:val="single"/>
            <w:rtl/>
          </w:rPr>
          <w:t>5214/08</w:t>
        </w:r>
      </w:hyperlink>
      <w:r>
        <w:rPr>
          <w:rFonts w:hint="cs"/>
          <w:rtl/>
        </w:rPr>
        <w:t xml:space="preserve">, </w:t>
      </w:r>
      <w:r>
        <w:rPr>
          <w:rFonts w:hint="cs"/>
          <w:b/>
          <w:bCs/>
          <w:rtl/>
        </w:rPr>
        <w:t>טל בן אהרון נ' מדינת ישראל</w:t>
      </w:r>
      <w:r>
        <w:rPr>
          <w:rFonts w:hint="cs"/>
          <w:rtl/>
        </w:rPr>
        <w:t>,  המבקש נדון  בגין עבירת סיוע להחזקת סם שלא לצריכה עצמית,  קנבוס במשקל העולה על 52 ק"ג בתוך 5 שקים, וכן עבירת הפרעה לשוטר במילוי תפקידו. שרות המבחן המליצו לבטל את ההרשעה ולהסתפק בשל"צ . ביהמ"ש  דחה ההמלצה וגזר דינו ל-12 חודשי מאסר, תוך העדפת האינטרס הציבורי על פני השיקום. ביהמ"ש המחוזי נעתר חלקית לערעור וצמצם התקופה ל-8 חודשים. כבוד השופט ג'ובראן דחה הבקשה אזכר את ב</w:t>
      </w:r>
      <w:hyperlink r:id="rId19" w:history="1">
        <w:r w:rsidR="001D2475" w:rsidRPr="001D2475">
          <w:rPr>
            <w:rStyle w:val="Hyperlink"/>
            <w:rtl/>
          </w:rPr>
          <w:t>רע"פ 11609/04</w:t>
        </w:r>
      </w:hyperlink>
      <w:r>
        <w:rPr>
          <w:rFonts w:hint="cs"/>
          <w:rtl/>
        </w:rPr>
        <w:t xml:space="preserve">, </w:t>
      </w:r>
      <w:r>
        <w:rPr>
          <w:rFonts w:hint="cs"/>
          <w:b/>
          <w:bCs/>
          <w:rtl/>
        </w:rPr>
        <w:t xml:space="preserve">מותנה נגד מדינת ישראל, </w:t>
      </w:r>
      <w:r>
        <w:rPr>
          <w:rFonts w:hint="cs"/>
          <w:rtl/>
        </w:rPr>
        <w:t>שם נקבע כי:</w:t>
      </w:r>
    </w:p>
    <w:p w14:paraId="1D88B1DF" w14:textId="77777777" w:rsidR="006A3D73" w:rsidRDefault="006A3D73">
      <w:pPr>
        <w:rPr>
          <w:rtl/>
        </w:rPr>
      </w:pPr>
    </w:p>
    <w:p w14:paraId="201C8783" w14:textId="77777777" w:rsidR="006A3D73" w:rsidRDefault="006F2406">
      <w:pPr>
        <w:rPr>
          <w:rtl/>
        </w:rPr>
      </w:pPr>
      <w:r>
        <w:rPr>
          <w:rFonts w:hint="cs"/>
          <w:b/>
          <w:bCs/>
          <w:rtl/>
        </w:rPr>
        <w:t>"דבר אחרון נזכיר ונזכור כי המבקש הורשע בסיוע להספקת סם וסיוע להחזקת סם. גם אם היה לא יותר מאשר זנב לאריות, הרי שבסיוע אותו הגיש לסוחרי הסמים שימש המבקש- ביודעין- חוליה חיונית בשרשרת ההפצה של הסם. מספקי הסמים, מפיציהם וכל המסייעים להם אנשים מסוכנים הם לסביבה ולקהילה, וכבר ב</w:t>
      </w:r>
      <w:hyperlink r:id="rId20" w:history="1">
        <w:r w:rsidR="001D2475" w:rsidRPr="001D2475">
          <w:rPr>
            <w:rStyle w:val="Hyperlink"/>
            <w:b/>
            <w:bCs/>
            <w:rtl/>
          </w:rPr>
          <w:t>ע"פ 284/79 מדינת ישראל נגד רוימי ואח' ( פ"ד ל"ד</w:t>
        </w:r>
      </w:hyperlink>
      <w:r>
        <w:rPr>
          <w:rFonts w:hint="cs"/>
          <w:b/>
          <w:bCs/>
          <w:rtl/>
        </w:rPr>
        <w:t xml:space="preserve"> (3) 527,529) ציין ביהמ"ש כי "אלמלא המפיצים את הסם לקהל הצרכנים- לא היו סיטונאי הסם יכולים לעסוק במלאכתם הבזויה". כך הוחמרה הענישה לא רק של מפיצי הסם, אלא גם של הסייענים והבלדרים המאפשרים את ביצוע העברות."</w:t>
      </w:r>
    </w:p>
    <w:p w14:paraId="01877BB8" w14:textId="77777777" w:rsidR="006A3D73" w:rsidRDefault="006A3D73">
      <w:pPr>
        <w:pStyle w:val="a6"/>
        <w:rPr>
          <w:b w:val="0"/>
          <w:bCs w:val="0"/>
          <w:rtl/>
        </w:rPr>
      </w:pPr>
    </w:p>
    <w:p w14:paraId="45A1EE20" w14:textId="77777777" w:rsidR="006A3D73" w:rsidRDefault="006A3D73">
      <w:pPr>
        <w:rPr>
          <w:rtl/>
        </w:rPr>
      </w:pPr>
    </w:p>
    <w:p w14:paraId="703928E0" w14:textId="77777777" w:rsidR="006A3D73" w:rsidRDefault="006F2406">
      <w:pPr>
        <w:rPr>
          <w:rFonts w:ascii="Arial" w:hAnsi="Arial"/>
          <w:rtl/>
        </w:rPr>
      </w:pPr>
      <w:r>
        <w:rPr>
          <w:rFonts w:ascii="Arial" w:hAnsi="Arial" w:hint="cs"/>
          <w:rtl/>
        </w:rPr>
        <w:t xml:space="preserve">לא בכדי קבע המחוקק עונשים מחמירים במיוחד בגין ביצוע עסקות בסמים וגידול סם. המחוקק לא מצא לנכון לאבחן בין גידול סם שנועד לשימוש עצמי לבין גידול סם המיועד לסחר והדברים ברורים. על  פי הפסיקה השיקול של הרתעת הציבור במקרים אלה והצורך להגן על הציבור גובר על נסיבות אישיות וצרכים שיקומיים . נקבע לא אחת כי גם העדר עבר פלילי ושיקומו של נאשם אינם מצדיקים חריגה ממדיניות עונשית מקובלת. אין ספק שבגין עבירות אלה לא ניתן להימנע מהרשעה. השאלה אם במקרה שבפני מן הראוי להטיל מאסר לריצוי בעבודות שירות כעתירת התביעה, או לאמץ את המלצת שירות מבחן ולהימנע לחלוטין ממאסר. </w:t>
      </w:r>
    </w:p>
    <w:p w14:paraId="5BE20A37" w14:textId="77777777" w:rsidR="006A3D73" w:rsidRDefault="006F2406">
      <w:pPr>
        <w:rPr>
          <w:rFonts w:ascii="Arial" w:hAnsi="Arial"/>
          <w:rtl/>
        </w:rPr>
      </w:pPr>
      <w:r>
        <w:rPr>
          <w:rFonts w:ascii="Arial" w:hAnsi="Arial" w:hint="cs"/>
          <w:rtl/>
        </w:rPr>
        <w:t xml:space="preserve">כידוע, המלצת שירות המבחן איננה חזות הכל ובית משפט אינו חייב לקבלה. שירות המבחן שמים דגש על הפן השיקומי האינדיווידואלי בעוד בית המשפט מופקד על גזירת הדין ולקיחה בחשבון הן האינטרס הציבורי והן הנסיבות האישיות והאינטרס של הפרט. </w:t>
      </w:r>
    </w:p>
    <w:p w14:paraId="09AECF1A" w14:textId="77777777" w:rsidR="006A3D73" w:rsidRDefault="006F2406">
      <w:pPr>
        <w:rPr>
          <w:rFonts w:ascii="Arial" w:hAnsi="Arial"/>
          <w:rtl/>
        </w:rPr>
      </w:pPr>
      <w:r>
        <w:rPr>
          <w:rFonts w:ascii="Arial" w:hAnsi="Arial" w:hint="cs"/>
          <w:rtl/>
        </w:rPr>
        <w:t xml:space="preserve">בנסיבות כאמור,  מצאתי כי ניתן להסתפק במאסר קצר שירוצה בעבודות שירות. </w:t>
      </w:r>
    </w:p>
    <w:p w14:paraId="124BDA3C" w14:textId="77777777" w:rsidR="006A3D73" w:rsidRDefault="006A3D73">
      <w:pPr>
        <w:rPr>
          <w:rFonts w:ascii="Times New Roman" w:hAnsi="Times New Roman"/>
          <w:noProof/>
          <w:rtl/>
        </w:rPr>
      </w:pPr>
    </w:p>
    <w:p w14:paraId="02FFF5B6" w14:textId="77777777" w:rsidR="006A3D73" w:rsidRDefault="006F2406">
      <w:pPr>
        <w:rPr>
          <w:rtl/>
        </w:rPr>
      </w:pPr>
      <w:r>
        <w:rPr>
          <w:rFonts w:hint="cs"/>
          <w:rtl/>
        </w:rPr>
        <w:t>בהתחשב במהות העבירה ונסיבותיה ולאחר שקילת האינטרס הציבורי מול נסיבותיו/ה</w:t>
      </w:r>
      <w:r>
        <w:rPr>
          <w:rFonts w:hint="cs"/>
          <w:rtl/>
        </w:rPr>
        <w:tab/>
        <w:t xml:space="preserve"> האישיות של הנאשמ/ת ועברו/ה, אני דנה את הנאשמ/ת לעונשים הבאים:</w:t>
      </w:r>
    </w:p>
    <w:p w14:paraId="3081E64A" w14:textId="77777777" w:rsidR="006A3D73" w:rsidRDefault="006A3D73">
      <w:pPr>
        <w:rPr>
          <w:rtl/>
        </w:rPr>
      </w:pPr>
    </w:p>
    <w:p w14:paraId="026C6DF2" w14:textId="77777777" w:rsidR="006A3D73" w:rsidRDefault="006F2406">
      <w:pPr>
        <w:rPr>
          <w:rtl/>
        </w:rPr>
      </w:pPr>
      <w:r>
        <w:rPr>
          <w:rFonts w:hint="cs"/>
          <w:rtl/>
        </w:rPr>
        <w:t>1.</w:t>
      </w:r>
      <w:r>
        <w:rPr>
          <w:rFonts w:hint="cs"/>
          <w:rtl/>
        </w:rPr>
        <w:tab/>
        <w:t>מאסר בפועל לתקופה של  2  חודשים.</w:t>
      </w:r>
    </w:p>
    <w:p w14:paraId="14C284DB" w14:textId="77777777" w:rsidR="006A3D73" w:rsidRDefault="006F2406">
      <w:pPr>
        <w:ind w:left="720"/>
        <w:rPr>
          <w:rtl/>
        </w:rPr>
      </w:pPr>
      <w:r>
        <w:rPr>
          <w:rFonts w:hint="cs"/>
          <w:rtl/>
        </w:rPr>
        <w:t xml:space="preserve">חודשי המאסר ירוצו בעבודות שירות במרכז הטניס, רח' יהודה הלוי, באר שבע,   וזאת 5 ימים בשבוע, 8.5 שעות יומיות, בעבודות אחזקה וסיוע, מנהלה ושירותים בפיקוח מלול אריה. </w:t>
      </w:r>
    </w:p>
    <w:p w14:paraId="056F71EC" w14:textId="77777777" w:rsidR="006A3D73" w:rsidRDefault="006F2406">
      <w:pPr>
        <w:ind w:left="720"/>
      </w:pPr>
      <w:r>
        <w:rPr>
          <w:rFonts w:hint="cs"/>
          <w:rtl/>
        </w:rPr>
        <w:t>הואיל והמועד שהוצע על ידי הממונה ב- 5.5.13 חלף, המאסר יחל 7.7.13  ועליו להתייצב בשעה 08:00 במועד זה בפני מפקח על עבודות השירות לצורך קליטה והצבה במפקדת גוש דרום ב"ש, ליד כלא ב"ש,  (אוטובוס אגד מתחנה מרכזית בב"ש קו 46).</w:t>
      </w:r>
    </w:p>
    <w:p w14:paraId="1F72233C" w14:textId="77777777" w:rsidR="006A3D73" w:rsidRDefault="006F2406">
      <w:pPr>
        <w:ind w:left="720"/>
        <w:rPr>
          <w:rtl/>
        </w:rPr>
      </w:pPr>
      <w:r>
        <w:rPr>
          <w:rFonts w:hint="cs"/>
          <w:rtl/>
        </w:rPr>
        <w:t xml:space="preserve">על הנאשמ/ת לדווח לממונה על עבודות השירות בשב"ס אודות כל שינוי בכתובתו/ה ובפרטיו/ה. </w:t>
      </w:r>
    </w:p>
    <w:p w14:paraId="78BE669F" w14:textId="77777777" w:rsidR="006A3D73" w:rsidRDefault="006F2406">
      <w:pPr>
        <w:ind w:left="720"/>
        <w:rPr>
          <w:rtl/>
        </w:rPr>
      </w:pPr>
      <w:r>
        <w:rPr>
          <w:rFonts w:hint="cs"/>
          <w:rtl/>
        </w:rPr>
        <w:t xml:space="preserve">כמו כן, מוסבר לו/ה כי עליו/ה לעמוד בתנאי הפיקוח וביקורות הפתע וכי כל הפרה תביא להפסקה מנהלית של ריצוי העבודות ולריצוי העונש בין כותלי הכלא. </w:t>
      </w:r>
    </w:p>
    <w:p w14:paraId="3B73D9F3" w14:textId="77777777" w:rsidR="006A3D73" w:rsidRDefault="006A3D73">
      <w:pPr>
        <w:rPr>
          <w:rtl/>
        </w:rPr>
      </w:pPr>
    </w:p>
    <w:p w14:paraId="667D003D" w14:textId="77777777" w:rsidR="006A3D73" w:rsidRDefault="006F2406">
      <w:pPr>
        <w:ind w:left="720" w:hanging="720"/>
        <w:rPr>
          <w:rtl/>
        </w:rPr>
      </w:pPr>
      <w:r>
        <w:rPr>
          <w:rFonts w:hint="cs"/>
          <w:rtl/>
        </w:rPr>
        <w:t>2.</w:t>
      </w:r>
      <w:r>
        <w:rPr>
          <w:rFonts w:hint="cs"/>
          <w:rtl/>
        </w:rPr>
        <w:tab/>
        <w:t>אני מטילה על הנאשמ/ת  12  חודשי מאסר על תנאי למשך  3  שנה/ים והתנאי הוא שלא יעבור עבירות</w:t>
      </w:r>
      <w:r>
        <w:rPr>
          <w:rFonts w:hint="cs"/>
        </w:rPr>
        <w:t xml:space="preserve"> </w:t>
      </w:r>
      <w:r>
        <w:rPr>
          <w:rFonts w:hint="cs"/>
          <w:rtl/>
        </w:rPr>
        <w:t xml:space="preserve"> מסוג פשע, על </w:t>
      </w:r>
      <w:hyperlink r:id="rId21" w:history="1">
        <w:r w:rsidR="001D2475" w:rsidRPr="001D2475">
          <w:rPr>
            <w:rStyle w:val="Hyperlink"/>
            <w:rtl/>
          </w:rPr>
          <w:t>פקודת הסמים המסוכנים</w:t>
        </w:r>
      </w:hyperlink>
      <w:r>
        <w:rPr>
          <w:rFonts w:hint="cs"/>
          <w:rtl/>
        </w:rPr>
        <w:t>.</w:t>
      </w:r>
    </w:p>
    <w:p w14:paraId="647F1081" w14:textId="77777777" w:rsidR="006A3D73" w:rsidRDefault="006A3D73">
      <w:pPr>
        <w:ind w:left="720" w:hanging="720"/>
        <w:rPr>
          <w:rtl/>
        </w:rPr>
      </w:pPr>
    </w:p>
    <w:p w14:paraId="79A917BA" w14:textId="77777777" w:rsidR="006A3D73" w:rsidRDefault="006F2406">
      <w:pPr>
        <w:ind w:left="720" w:hanging="720"/>
        <w:rPr>
          <w:rtl/>
        </w:rPr>
      </w:pPr>
      <w:r>
        <w:rPr>
          <w:rFonts w:hint="cs"/>
          <w:rtl/>
        </w:rPr>
        <w:t>3.</w:t>
      </w:r>
      <w:r>
        <w:rPr>
          <w:rFonts w:hint="cs"/>
          <w:rtl/>
        </w:rPr>
        <w:tab/>
        <w:t xml:space="preserve">אני מטילה על הנאשמ/ת  6  חודשי מאסר על תנאי למשך  3  שנה/ים והתנאי הוא שלא יעבור עבירות מסוג עוון, על </w:t>
      </w:r>
      <w:hyperlink r:id="rId22" w:history="1">
        <w:r w:rsidR="001D2475" w:rsidRPr="001D2475">
          <w:rPr>
            <w:rStyle w:val="Hyperlink"/>
            <w:rtl/>
          </w:rPr>
          <w:t>פקודת הסמים המסוכנים</w:t>
        </w:r>
      </w:hyperlink>
      <w:r>
        <w:rPr>
          <w:rFonts w:hint="cs"/>
          <w:rtl/>
        </w:rPr>
        <w:t>.</w:t>
      </w:r>
    </w:p>
    <w:p w14:paraId="670025DE" w14:textId="77777777" w:rsidR="006A3D73" w:rsidRDefault="006A3D73">
      <w:pPr>
        <w:ind w:firstLine="720"/>
        <w:rPr>
          <w:rtl/>
        </w:rPr>
      </w:pPr>
    </w:p>
    <w:p w14:paraId="0BB993B0" w14:textId="77777777" w:rsidR="006A3D73" w:rsidRDefault="006F2406">
      <w:pPr>
        <w:ind w:left="720" w:hanging="720"/>
        <w:rPr>
          <w:rtl/>
        </w:rPr>
      </w:pPr>
      <w:r>
        <w:rPr>
          <w:rFonts w:hint="cs"/>
          <w:rtl/>
        </w:rPr>
        <w:t>4.</w:t>
      </w:r>
      <w:r>
        <w:rPr>
          <w:rFonts w:hint="cs"/>
          <w:rtl/>
        </w:rPr>
        <w:tab/>
        <w:t xml:space="preserve">הנאשמ/ת ת/יחתום על התחייבות בסך  7500  ₪ להימנע מביצוע העבירה/ות בה/ן הורשע במשך  3   שנה/ים מהיום. </w:t>
      </w:r>
    </w:p>
    <w:p w14:paraId="696378D6" w14:textId="77777777" w:rsidR="006A3D73" w:rsidRDefault="006F2406">
      <w:pPr>
        <w:rPr>
          <w:rtl/>
        </w:rPr>
      </w:pPr>
      <w:r>
        <w:rPr>
          <w:rFonts w:hint="cs"/>
          <w:rtl/>
        </w:rPr>
        <w:tab/>
        <w:t xml:space="preserve">אם לא ת/יחתום על ההתחייבות, ת/יאסר למשך  90 ימים. </w:t>
      </w:r>
    </w:p>
    <w:p w14:paraId="281FA8E6" w14:textId="77777777" w:rsidR="006A3D73" w:rsidRDefault="006A3D73">
      <w:pPr>
        <w:rPr>
          <w:rtl/>
        </w:rPr>
      </w:pPr>
    </w:p>
    <w:p w14:paraId="619F3C65" w14:textId="77777777" w:rsidR="006A3D73" w:rsidRDefault="006F2406">
      <w:pPr>
        <w:ind w:left="720" w:hanging="720"/>
        <w:rPr>
          <w:rtl/>
        </w:rPr>
      </w:pPr>
      <w:r>
        <w:rPr>
          <w:rFonts w:hint="cs"/>
          <w:rtl/>
        </w:rPr>
        <w:t>5.</w:t>
      </w:r>
      <w:r>
        <w:rPr>
          <w:rFonts w:hint="cs"/>
          <w:rtl/>
        </w:rPr>
        <w:tab/>
        <w:t xml:space="preserve">הנאשמ/ת ת/ימצא בפיקוח שירות המבחן למשך שנה מהיום. </w:t>
      </w:r>
    </w:p>
    <w:p w14:paraId="34DCDB6A" w14:textId="77777777" w:rsidR="006A3D73" w:rsidRDefault="006F2406">
      <w:pPr>
        <w:ind w:left="720" w:hanging="720"/>
        <w:rPr>
          <w:rtl/>
        </w:rPr>
      </w:pPr>
      <w:r>
        <w:rPr>
          <w:rFonts w:hint="cs"/>
          <w:rtl/>
        </w:rPr>
        <w:tab/>
        <w:t xml:space="preserve">לצורך זאת עליו/ה לחתום על צו מבחן. </w:t>
      </w:r>
    </w:p>
    <w:p w14:paraId="17DA3A7E" w14:textId="77777777" w:rsidR="006A3D73" w:rsidRDefault="006F2406">
      <w:pPr>
        <w:ind w:left="720" w:hanging="720"/>
        <w:rPr>
          <w:rtl/>
        </w:rPr>
      </w:pPr>
      <w:r>
        <w:rPr>
          <w:rFonts w:hint="cs"/>
          <w:rtl/>
        </w:rPr>
        <w:tab/>
        <w:t>מוסבר לנאשמ/ת כי אם לא י/תעמוד בתנאי הצו, ניתן יהיה להפקיעו ולגזור דינו לרכיבי ענישה נוספים.</w:t>
      </w:r>
    </w:p>
    <w:p w14:paraId="2A02A41B" w14:textId="77777777" w:rsidR="006A3D73" w:rsidRDefault="006A3D73">
      <w:pPr>
        <w:ind w:left="720" w:hanging="720"/>
        <w:rPr>
          <w:rtl/>
        </w:rPr>
      </w:pPr>
    </w:p>
    <w:p w14:paraId="425E595B" w14:textId="77777777" w:rsidR="006A3D73" w:rsidRDefault="006F2406">
      <w:pPr>
        <w:ind w:left="720" w:hanging="720"/>
      </w:pPr>
      <w:r>
        <w:rPr>
          <w:rFonts w:hint="cs"/>
          <w:rtl/>
        </w:rPr>
        <w:t>6.</w:t>
      </w:r>
      <w:r>
        <w:rPr>
          <w:rFonts w:hint="cs"/>
          <w:rtl/>
        </w:rPr>
        <w:tab/>
        <w:t xml:space="preserve">הנני פוסלת את הנאשם/ת מלקבל או מלהחזיק רשיון נהיגה לתקופה של 6 חודש/ים וזאת על תנאי שלא ת/יעבור העבירות בהן הורשע/ה ו/או עבירות </w:t>
      </w:r>
      <w:hyperlink r:id="rId23" w:history="1">
        <w:r w:rsidR="00F013E0" w:rsidRPr="00F013E0">
          <w:rPr>
            <w:color w:val="0000FF"/>
            <w:u w:val="single"/>
            <w:rtl/>
          </w:rPr>
          <w:t>מהתוספת הראשונה</w:t>
        </w:r>
      </w:hyperlink>
      <w:r>
        <w:rPr>
          <w:rFonts w:hint="cs"/>
          <w:rtl/>
        </w:rPr>
        <w:t xml:space="preserve"> ו/או </w:t>
      </w:r>
      <w:hyperlink r:id="rId24" w:history="1">
        <w:r w:rsidR="00F013E0" w:rsidRPr="00F013E0">
          <w:rPr>
            <w:color w:val="0000FF"/>
            <w:u w:val="single"/>
            <w:rtl/>
          </w:rPr>
          <w:t>השנייה</w:t>
        </w:r>
      </w:hyperlink>
      <w:r>
        <w:rPr>
          <w:rFonts w:hint="cs"/>
          <w:rtl/>
        </w:rPr>
        <w:t xml:space="preserve"> ל</w:t>
      </w:r>
      <w:hyperlink r:id="rId25" w:history="1">
        <w:r w:rsidR="001D2475" w:rsidRPr="001D2475">
          <w:rPr>
            <w:rStyle w:val="Hyperlink"/>
            <w:rtl/>
          </w:rPr>
          <w:t>פקודת התעבורה</w:t>
        </w:r>
      </w:hyperlink>
      <w:r>
        <w:rPr>
          <w:rFonts w:hint="cs"/>
          <w:rtl/>
        </w:rPr>
        <w:t xml:space="preserve"> כולל נהיגה בזמן פסילה במשך  3 שנה/ים. </w:t>
      </w:r>
    </w:p>
    <w:p w14:paraId="3896BEB7" w14:textId="77777777" w:rsidR="006A3D73" w:rsidRDefault="006F2406">
      <w:pPr>
        <w:ind w:left="720" w:hanging="720"/>
        <w:rPr>
          <w:szCs w:val="24"/>
          <w:rtl/>
        </w:rPr>
      </w:pPr>
      <w:r>
        <w:rPr>
          <w:szCs w:val="24"/>
          <w:rtl/>
        </w:rPr>
        <w:t xml:space="preserve"> </w:t>
      </w:r>
      <w:bookmarkStart w:id="6" w:name="_GoBack"/>
      <w:bookmarkEnd w:id="6"/>
    </w:p>
    <w:p w14:paraId="0A1F5756" w14:textId="77777777" w:rsidR="006A3D73" w:rsidRDefault="006F2406">
      <w:pPr>
        <w:rPr>
          <w:b/>
          <w:bCs/>
          <w:rtl/>
        </w:rPr>
      </w:pPr>
      <w:r>
        <w:rPr>
          <w:rFonts w:hint="cs"/>
          <w:b/>
          <w:bCs/>
          <w:rtl/>
        </w:rPr>
        <w:t xml:space="preserve">זכות ערעור תוך 45 יום מהיום. </w:t>
      </w:r>
    </w:p>
    <w:p w14:paraId="6F664473" w14:textId="77777777" w:rsidR="006A3D73" w:rsidRDefault="006F2406">
      <w:pPr>
        <w:rPr>
          <w:b/>
          <w:bCs/>
          <w:sz w:val="6"/>
          <w:szCs w:val="6"/>
          <w:rtl/>
        </w:rPr>
      </w:pPr>
      <w:r>
        <w:rPr>
          <w:b/>
          <w:bCs/>
          <w:sz w:val="6"/>
          <w:szCs w:val="6"/>
          <w:rtl/>
        </w:rPr>
        <w:t>&lt;#5#&gt;</w:t>
      </w:r>
    </w:p>
    <w:p w14:paraId="415CD12F" w14:textId="77777777" w:rsidR="006A3D73" w:rsidRDefault="006A3D73">
      <w:pPr>
        <w:jc w:val="right"/>
        <w:rPr>
          <w:rtl/>
        </w:rPr>
      </w:pPr>
    </w:p>
    <w:p w14:paraId="20D1D703" w14:textId="77777777" w:rsidR="006A3D73" w:rsidRDefault="006F2406">
      <w:pPr>
        <w:rPr>
          <w:rtl/>
        </w:rPr>
      </w:pPr>
      <w:r>
        <w:rPr>
          <w:rFonts w:hint="cs"/>
          <w:b/>
          <w:bCs/>
          <w:rtl/>
        </w:rPr>
        <w:t xml:space="preserve">ניתנה והודעה היום </w:t>
      </w:r>
      <w:r>
        <w:rPr>
          <w:rFonts w:hint="cs"/>
          <w:rtl/>
        </w:rPr>
        <w:t>ג' סיון תשע"ג</w:t>
      </w:r>
      <w:r>
        <w:rPr>
          <w:rFonts w:hint="cs"/>
          <w:b/>
          <w:bCs/>
          <w:rtl/>
        </w:rPr>
        <w:t xml:space="preserve">, </w:t>
      </w:r>
      <w:r>
        <w:rPr>
          <w:rFonts w:hint="cs"/>
          <w:rtl/>
        </w:rPr>
        <w:t>12/05/2013</w:t>
      </w:r>
      <w:r>
        <w:rPr>
          <w:rFonts w:hint="cs"/>
          <w:b/>
          <w:bCs/>
          <w:rtl/>
        </w:rPr>
        <w:t xml:space="preserve"> במעמד הנוכחים.</w:t>
      </w:r>
    </w:p>
    <w:p w14:paraId="2D3246E3" w14:textId="77777777" w:rsidR="006A3D73" w:rsidRDefault="006A3D73">
      <w:pPr>
        <w:jc w:val="center"/>
        <w:rPr>
          <w:rtl/>
        </w:rPr>
      </w:pPr>
    </w:p>
    <w:p w14:paraId="7CD64029" w14:textId="77777777" w:rsidR="006A3D73" w:rsidRDefault="006A3D73">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A3D73" w14:paraId="27F8E847" w14:textId="77777777">
        <w:trPr>
          <w:trHeight w:val="364"/>
          <w:jc w:val="right"/>
        </w:trPr>
        <w:tc>
          <w:tcPr>
            <w:tcW w:w="3708" w:type="dxa"/>
          </w:tcPr>
          <w:p w14:paraId="426872F5" w14:textId="77777777" w:rsidR="006A3D73" w:rsidRDefault="006A3D73">
            <w:pPr>
              <w:jc w:val="center"/>
              <w:rPr>
                <w:rFonts w:ascii="Times New Roman" w:eastAsia="Times New Roman" w:hAnsi="Times New Roman" w:cs="Times New Roman"/>
              </w:rPr>
            </w:pPr>
          </w:p>
          <w:p w14:paraId="3C0F09D4" w14:textId="77777777" w:rsidR="006A3D73" w:rsidRDefault="006A3D73">
            <w:pPr>
              <w:jc w:val="center"/>
              <w:rPr>
                <w:rFonts w:ascii="Times New Roman" w:eastAsia="Times New Roman" w:hAnsi="Times New Roman" w:cs="Times New Roman"/>
                <w:rtl/>
              </w:rPr>
            </w:pPr>
          </w:p>
        </w:tc>
      </w:tr>
      <w:tr w:rsidR="006A3D73" w14:paraId="2A178A60" w14:textId="77777777">
        <w:trPr>
          <w:trHeight w:val="415"/>
          <w:jc w:val="right"/>
        </w:trPr>
        <w:tc>
          <w:tcPr>
            <w:tcW w:w="3708" w:type="dxa"/>
          </w:tcPr>
          <w:p w14:paraId="12F3B29A" w14:textId="77777777" w:rsidR="006A3D73" w:rsidRDefault="006F2406">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642442D7" w14:textId="77777777" w:rsidR="006A3D73" w:rsidRDefault="006A3D73">
      <w:pPr>
        <w:jc w:val="right"/>
        <w:rPr>
          <w:rtl/>
        </w:rPr>
      </w:pPr>
    </w:p>
    <w:p w14:paraId="5E251443" w14:textId="77777777" w:rsidR="006A3D73" w:rsidRDefault="006A3D73">
      <w:pPr>
        <w:rPr>
          <w:b/>
          <w:bCs/>
          <w:rtl/>
        </w:rPr>
      </w:pPr>
    </w:p>
    <w:p w14:paraId="4F87263B" w14:textId="77777777" w:rsidR="006A3D73" w:rsidRDefault="006F2406">
      <w:pPr>
        <w:rPr>
          <w:b/>
          <w:bCs/>
          <w:sz w:val="6"/>
          <w:szCs w:val="6"/>
          <w:rtl/>
        </w:rPr>
      </w:pPr>
      <w:r>
        <w:rPr>
          <w:b/>
          <w:bCs/>
          <w:sz w:val="6"/>
          <w:szCs w:val="6"/>
          <w:rtl/>
        </w:rPr>
        <w:t>&lt;#3#&gt;</w:t>
      </w:r>
    </w:p>
    <w:p w14:paraId="0ED281C0" w14:textId="77777777" w:rsidR="006A3D73" w:rsidRDefault="006F2406">
      <w:pPr>
        <w:jc w:val="center"/>
        <w:rPr>
          <w:rFonts w:ascii="Arial" w:hAnsi="Arial"/>
          <w:b/>
          <w:bCs/>
          <w:sz w:val="28"/>
          <w:szCs w:val="28"/>
          <w:u w:val="single"/>
          <w:rtl/>
        </w:rPr>
      </w:pPr>
      <w:r>
        <w:rPr>
          <w:rFonts w:ascii="Arial" w:hAnsi="Arial"/>
          <w:b/>
          <w:bCs/>
          <w:sz w:val="28"/>
          <w:szCs w:val="28"/>
          <w:u w:val="single"/>
          <w:rtl/>
        </w:rPr>
        <w:t>החלטה</w:t>
      </w:r>
    </w:p>
    <w:p w14:paraId="3CC84DD6" w14:textId="77777777" w:rsidR="006A3D73" w:rsidRDefault="006F2406">
      <w:pPr>
        <w:rPr>
          <w:szCs w:val="24"/>
          <w:rtl/>
        </w:rPr>
      </w:pPr>
      <w:r>
        <w:rPr>
          <w:rFonts w:hint="cs"/>
          <w:szCs w:val="24"/>
          <w:rtl/>
        </w:rPr>
        <w:t>הסמים והדיסקים, ישומדו.</w:t>
      </w:r>
    </w:p>
    <w:p w14:paraId="6B5ECF39" w14:textId="77777777" w:rsidR="006A3D73" w:rsidRDefault="006F2406">
      <w:pPr>
        <w:rPr>
          <w:szCs w:val="24"/>
          <w:rtl/>
        </w:rPr>
      </w:pPr>
      <w:r>
        <w:rPr>
          <w:rFonts w:hint="cs"/>
          <w:szCs w:val="24"/>
          <w:rtl/>
        </w:rPr>
        <w:t>מצלמה ופלאפון , יושב לנאשם.</w:t>
      </w:r>
    </w:p>
    <w:p w14:paraId="2F40BEA9" w14:textId="77777777" w:rsidR="006A3D73" w:rsidRDefault="006A3D73">
      <w:pPr>
        <w:rPr>
          <w:szCs w:val="24"/>
          <w:rtl/>
        </w:rPr>
      </w:pPr>
    </w:p>
    <w:p w14:paraId="61DF2419" w14:textId="77777777" w:rsidR="006F2406" w:rsidRPr="006F2406" w:rsidRDefault="006F2406" w:rsidP="006F2406">
      <w:pPr>
        <w:keepNext/>
        <w:jc w:val="left"/>
        <w:rPr>
          <w:color w:val="000000"/>
          <w:sz w:val="22"/>
          <w:szCs w:val="22"/>
          <w:rtl/>
        </w:rPr>
      </w:pPr>
    </w:p>
    <w:p w14:paraId="4878B098" w14:textId="77777777" w:rsidR="006F2406" w:rsidRPr="006F2406" w:rsidRDefault="006F2406" w:rsidP="006F2406">
      <w:pPr>
        <w:keepNext/>
        <w:jc w:val="left"/>
        <w:rPr>
          <w:color w:val="000000"/>
          <w:sz w:val="22"/>
          <w:szCs w:val="22"/>
          <w:rtl/>
        </w:rPr>
      </w:pPr>
      <w:r w:rsidRPr="006F2406">
        <w:rPr>
          <w:color w:val="000000"/>
          <w:sz w:val="22"/>
          <w:szCs w:val="22"/>
          <w:rtl/>
        </w:rPr>
        <w:t>בכירה רובין לביא 54678313</w:t>
      </w:r>
    </w:p>
    <w:p w14:paraId="591B8511" w14:textId="77777777" w:rsidR="006A3D73" w:rsidRDefault="006F2406">
      <w:pPr>
        <w:rPr>
          <w:rtl/>
        </w:rPr>
      </w:pPr>
      <w:r w:rsidRPr="006F2406">
        <w:rPr>
          <w:color w:val="FFFFFF"/>
          <w:sz w:val="2"/>
          <w:szCs w:val="2"/>
          <w:rtl/>
        </w:rPr>
        <w:t>5129371</w:t>
      </w:r>
      <w:r>
        <w:rPr>
          <w:rFonts w:hint="cs"/>
          <w:szCs w:val="24"/>
          <w:rtl/>
        </w:rPr>
        <w:t xml:space="preserve">העתק הפרוטוקול לממונה. </w:t>
      </w:r>
      <w:r>
        <w:rPr>
          <w:sz w:val="6"/>
          <w:szCs w:val="6"/>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A3D73" w14:paraId="50B5A873" w14:textId="77777777">
        <w:trPr>
          <w:trHeight w:val="364"/>
          <w:jc w:val="right"/>
        </w:trPr>
        <w:tc>
          <w:tcPr>
            <w:tcW w:w="3708" w:type="dxa"/>
          </w:tcPr>
          <w:p w14:paraId="0FCCD2D1" w14:textId="77777777" w:rsidR="006A3D73" w:rsidRDefault="006F2406">
            <w:pPr>
              <w:jc w:val="center"/>
              <w:rPr>
                <w:rFonts w:ascii="Times New Roman" w:eastAsia="Times New Roman" w:hAnsi="Times New Roman" w:cs="Times New Roman"/>
              </w:rPr>
            </w:pPr>
            <w:r w:rsidRPr="006F2406">
              <w:rPr>
                <w:b/>
                <w:bCs/>
                <w:color w:val="FFFFFF"/>
                <w:sz w:val="2"/>
                <w:szCs w:val="2"/>
                <w:rtl/>
              </w:rPr>
              <w:t>54678313</w:t>
            </w:r>
            <w:r>
              <w:rPr>
                <w:b/>
                <w:bCs/>
                <w:rtl/>
              </w:rPr>
              <w:t xml:space="preserve">ניתנה והודעה היום ג' סיון תשע"ג, 12/05/2013 במעמד הנוכחים. </w:t>
            </w:r>
          </w:p>
          <w:p w14:paraId="3FC05625" w14:textId="77777777" w:rsidR="006A3D73" w:rsidRDefault="006A3D73">
            <w:pPr>
              <w:jc w:val="center"/>
              <w:rPr>
                <w:rFonts w:ascii="Times New Roman" w:eastAsia="Times New Roman" w:hAnsi="Times New Roman" w:cs="Times New Roman"/>
                <w:rtl/>
              </w:rPr>
            </w:pPr>
          </w:p>
        </w:tc>
      </w:tr>
      <w:tr w:rsidR="006A3D73" w14:paraId="41B072DC" w14:textId="77777777">
        <w:trPr>
          <w:trHeight w:val="415"/>
          <w:jc w:val="right"/>
        </w:trPr>
        <w:tc>
          <w:tcPr>
            <w:tcW w:w="3708" w:type="dxa"/>
          </w:tcPr>
          <w:p w14:paraId="640C29E7" w14:textId="77777777" w:rsidR="006A3D73" w:rsidRDefault="006F2406">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29334A00" w14:textId="77777777" w:rsidR="006F2406" w:rsidRDefault="006F2406" w:rsidP="006F2406">
      <w:pPr>
        <w:jc w:val="left"/>
      </w:pPr>
      <w:r w:rsidRPr="006F2406">
        <w:rPr>
          <w:color w:val="000000"/>
          <w:rtl/>
        </w:rPr>
        <w:t>נוסח מסמך זה כפוף לשינויי ניסוח ועריכה</w:t>
      </w:r>
    </w:p>
    <w:p w14:paraId="2FAAA0F1" w14:textId="77777777" w:rsidR="006F2406" w:rsidRDefault="006F2406" w:rsidP="006F2406">
      <w:pPr>
        <w:jc w:val="left"/>
        <w:rPr>
          <w:rtl/>
        </w:rPr>
      </w:pPr>
    </w:p>
    <w:p w14:paraId="3FED0735" w14:textId="77777777" w:rsidR="006F2406" w:rsidRDefault="006F2406" w:rsidP="006F2406">
      <w:pPr>
        <w:jc w:val="center"/>
        <w:rPr>
          <w:color w:val="0000FF"/>
          <w:szCs w:val="24"/>
          <w:u w:val="single"/>
        </w:rPr>
      </w:pPr>
      <w:r w:rsidRPr="00B523C0">
        <w:rPr>
          <w:color w:val="000000"/>
          <w:szCs w:val="24"/>
          <w:rtl/>
        </w:rPr>
        <w:t>בעניין עריכה ושינויים במסמכי פסיקה, חקיקה ועוד באתר נבו – הקש כאן</w:t>
      </w:r>
    </w:p>
    <w:p w14:paraId="033A44F0" w14:textId="77777777" w:rsidR="006A3D73" w:rsidRPr="006F2406" w:rsidRDefault="006A3D73" w:rsidP="006F2406">
      <w:pPr>
        <w:jc w:val="center"/>
        <w:rPr>
          <w:color w:val="0000FF"/>
          <w:szCs w:val="24"/>
          <w:u w:val="single"/>
        </w:rPr>
      </w:pPr>
    </w:p>
    <w:sectPr w:rsidR="006A3D73" w:rsidRPr="006F2406" w:rsidSect="006F2406">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7F591" w14:textId="77777777" w:rsidR="002B6960" w:rsidRPr="00165D6E" w:rsidRDefault="002B6960">
      <w:pPr>
        <w:rPr>
          <w:rFonts w:cs="Arial"/>
          <w:szCs w:val="20"/>
        </w:rPr>
      </w:pPr>
      <w:r>
        <w:separator/>
      </w:r>
    </w:p>
  </w:endnote>
  <w:endnote w:type="continuationSeparator" w:id="0">
    <w:p w14:paraId="5B46F05E" w14:textId="77777777" w:rsidR="002B6960" w:rsidRPr="00165D6E" w:rsidRDefault="002B696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B5539" w14:textId="77777777" w:rsidR="002B6960" w:rsidRDefault="002B6960" w:rsidP="006F2406">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16</w:t>
    </w:r>
    <w:r>
      <w:rPr>
        <w:rFonts w:ascii="FrankRuehl" w:hAnsi="FrankRuehl" w:cs="FrankRuehl"/>
        <w:szCs w:val="24"/>
        <w:rtl/>
      </w:rPr>
      <w:fldChar w:fldCharType="end"/>
    </w:r>
  </w:p>
  <w:p w14:paraId="51711F7B" w14:textId="77777777" w:rsidR="002B6960" w:rsidRPr="006F2406" w:rsidRDefault="002B6960" w:rsidP="006F2406">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6F2406">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66357" w14:textId="77777777" w:rsidR="002B6960" w:rsidRDefault="002B6960" w:rsidP="006F2406">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6C620E">
      <w:rPr>
        <w:rFonts w:ascii="FrankRuehl" w:hAnsi="FrankRuehl" w:cs="FrankRuehl"/>
        <w:noProof/>
        <w:szCs w:val="24"/>
        <w:rtl/>
      </w:rPr>
      <w:t>1</w:t>
    </w:r>
    <w:r>
      <w:rPr>
        <w:rFonts w:ascii="FrankRuehl" w:hAnsi="FrankRuehl" w:cs="FrankRuehl"/>
        <w:szCs w:val="24"/>
        <w:rtl/>
      </w:rPr>
      <w:fldChar w:fldCharType="end"/>
    </w:r>
  </w:p>
  <w:p w14:paraId="42ADD067" w14:textId="77777777" w:rsidR="002B6960" w:rsidRPr="006F2406" w:rsidRDefault="002B6960" w:rsidP="006F2406">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6F2406">
      <w:rPr>
        <w:rFonts w:ascii="FrankRuehl" w:hAnsi="FrankRuehl" w:cs="FrankRuehl"/>
        <w:color w:val="000000"/>
        <w:szCs w:val="24"/>
      </w:rPr>
      <w:pict w14:anchorId="203F9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24C1" w14:textId="77777777" w:rsidR="002B6960" w:rsidRPr="00165D6E" w:rsidRDefault="002B6960">
      <w:pPr>
        <w:rPr>
          <w:rFonts w:cs="Arial"/>
          <w:szCs w:val="20"/>
        </w:rPr>
      </w:pPr>
      <w:r>
        <w:separator/>
      </w:r>
    </w:p>
  </w:footnote>
  <w:footnote w:type="continuationSeparator" w:id="0">
    <w:p w14:paraId="602CF108" w14:textId="77777777" w:rsidR="002B6960" w:rsidRPr="00165D6E" w:rsidRDefault="002B696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B90BF" w14:textId="77777777" w:rsidR="002B6960" w:rsidRPr="006F2406" w:rsidRDefault="002B6960" w:rsidP="006F2406">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41467-04-12</w:t>
    </w:r>
    <w:r>
      <w:rPr>
        <w:color w:val="000000"/>
        <w:sz w:val="22"/>
        <w:szCs w:val="22"/>
        <w:rtl/>
      </w:rPr>
      <w:tab/>
      <w:t xml:space="preserve"> מדינת ישראל נ' סטפן מולטיסנטי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8093E" w14:textId="77777777" w:rsidR="002B6960" w:rsidRPr="006F2406" w:rsidRDefault="002B6960" w:rsidP="006F2406">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41467-04-12</w:t>
    </w:r>
    <w:r>
      <w:rPr>
        <w:color w:val="000000"/>
        <w:sz w:val="22"/>
        <w:szCs w:val="22"/>
        <w:rtl/>
      </w:rPr>
      <w:tab/>
      <w:t xml:space="preserve"> מדינת ישראל נ' סטפן מולטיסנטי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3D73"/>
    <w:rsid w:val="0002774D"/>
    <w:rsid w:val="000773DC"/>
    <w:rsid w:val="000B55F7"/>
    <w:rsid w:val="000D5839"/>
    <w:rsid w:val="001D2475"/>
    <w:rsid w:val="002B6960"/>
    <w:rsid w:val="003C1936"/>
    <w:rsid w:val="004A06ED"/>
    <w:rsid w:val="004D5E16"/>
    <w:rsid w:val="006918BD"/>
    <w:rsid w:val="006A3D73"/>
    <w:rsid w:val="006C620E"/>
    <w:rsid w:val="006F2406"/>
    <w:rsid w:val="00B523C0"/>
    <w:rsid w:val="00D170A5"/>
    <w:rsid w:val="00D67FB7"/>
    <w:rsid w:val="00F013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AFE315"/>
  <w15:chartTrackingRefBased/>
  <w15:docId w15:val="{9B500A1C-35DD-4489-846D-B1D304E4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3D73"/>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A3D73"/>
    <w:pPr>
      <w:tabs>
        <w:tab w:val="center" w:pos="4153"/>
        <w:tab w:val="right" w:pos="8306"/>
      </w:tabs>
    </w:pPr>
  </w:style>
  <w:style w:type="paragraph" w:styleId="a4">
    <w:name w:val="footer"/>
    <w:basedOn w:val="a"/>
    <w:rsid w:val="006A3D73"/>
    <w:pPr>
      <w:tabs>
        <w:tab w:val="center" w:pos="4153"/>
        <w:tab w:val="right" w:pos="8306"/>
      </w:tabs>
    </w:pPr>
  </w:style>
  <w:style w:type="character" w:styleId="a5">
    <w:name w:val="page number"/>
    <w:basedOn w:val="a0"/>
    <w:rsid w:val="006A3D73"/>
  </w:style>
  <w:style w:type="paragraph" w:customStyle="1" w:styleId="12">
    <w:name w:val="רגיל + ‏12 נק'"/>
    <w:aliases w:val="מיושר לשני הצדדים,מרווח בין שורות:  שורה וחצי"/>
    <w:basedOn w:val="a"/>
    <w:rsid w:val="006A3D73"/>
    <w:pPr>
      <w:spacing w:line="240" w:lineRule="auto"/>
      <w:jc w:val="left"/>
    </w:pPr>
    <w:rPr>
      <w:rFonts w:ascii="Times New Roman" w:eastAsia="Times New Roman" w:hAnsi="Times New Roman"/>
      <w:b/>
      <w:bCs/>
      <w:szCs w:val="24"/>
      <w:u w:val="single"/>
    </w:rPr>
  </w:style>
  <w:style w:type="paragraph" w:styleId="a6">
    <w:name w:val="Body Text"/>
    <w:basedOn w:val="a"/>
    <w:link w:val="a7"/>
    <w:rsid w:val="006A3D73"/>
    <w:rPr>
      <w:rFonts w:ascii="Times New Roman" w:eastAsia="Times New Roman" w:hAnsi="Times New Roman"/>
      <w:b/>
      <w:bCs/>
      <w:sz w:val="20"/>
      <w:szCs w:val="24"/>
      <w:lang w:eastAsia="he-IL"/>
    </w:rPr>
  </w:style>
  <w:style w:type="character" w:customStyle="1" w:styleId="a7">
    <w:name w:val="גוף טקסט תו"/>
    <w:basedOn w:val="a0"/>
    <w:link w:val="a6"/>
    <w:rsid w:val="006A3D73"/>
    <w:rPr>
      <w:rFonts w:cs="David"/>
      <w:b/>
      <w:bCs/>
      <w:szCs w:val="24"/>
      <w:lang w:val="en-US" w:eastAsia="he-IL" w:bidi="he-IL"/>
    </w:rPr>
  </w:style>
  <w:style w:type="character" w:styleId="a8">
    <w:name w:val="line number"/>
    <w:basedOn w:val="a0"/>
    <w:rsid w:val="006A3D73"/>
  </w:style>
  <w:style w:type="character" w:styleId="Hyperlink">
    <w:name w:val="Hyperlink"/>
    <w:basedOn w:val="a0"/>
    <w:rsid w:val="006F2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hyperlink" Target="http://www.nevo.co.il/case/5698919" TargetMode="External"/><Relationship Id="rId18" Type="http://schemas.openxmlformats.org/officeDocument/2006/relationships/hyperlink" Target="http://www.nevo.co.il/case/6000036"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case/3983252" TargetMode="External"/><Relationship Id="rId17" Type="http://schemas.openxmlformats.org/officeDocument/2006/relationships/hyperlink" Target="http://www.nevo.co.il/case/17932979" TargetMode="External"/><Relationship Id="rId25" Type="http://schemas.openxmlformats.org/officeDocument/2006/relationships/hyperlink" Target="http://www.nevo.co.il/law/5227" TargetMode="External"/><Relationship Id="rId2" Type="http://schemas.openxmlformats.org/officeDocument/2006/relationships/settings" Target="settings.xml"/><Relationship Id="rId16" Type="http://schemas.openxmlformats.org/officeDocument/2006/relationships/hyperlink" Target="http://www.nevo.co.il/case/4346677" TargetMode="External"/><Relationship Id="rId20" Type="http://schemas.openxmlformats.org/officeDocument/2006/relationships/hyperlink" Target="http://www.nevo.co.il/case/17940554"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5227/2T" TargetMode="External"/><Relationship Id="rId5" Type="http://schemas.openxmlformats.org/officeDocument/2006/relationships/endnotes" Target="endnotes.xml"/><Relationship Id="rId15" Type="http://schemas.openxmlformats.org/officeDocument/2006/relationships/hyperlink" Target="http://www.nevo.co.il/case/419951" TargetMode="External"/><Relationship Id="rId23" Type="http://schemas.openxmlformats.org/officeDocument/2006/relationships/hyperlink" Target="http://www.nevo.co.il/law/5227/1T" TargetMode="External"/><Relationship Id="rId28" Type="http://schemas.openxmlformats.org/officeDocument/2006/relationships/footer" Target="footer1.xml"/><Relationship Id="rId10" Type="http://schemas.openxmlformats.org/officeDocument/2006/relationships/hyperlink" Target="http://www.nevo.co.il/law/5227/2T" TargetMode="External"/><Relationship Id="rId19" Type="http://schemas.openxmlformats.org/officeDocument/2006/relationships/hyperlink" Target="http://www.nevo.co.il/case/6181399"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5227/1T" TargetMode="External"/><Relationship Id="rId14" Type="http://schemas.openxmlformats.org/officeDocument/2006/relationships/hyperlink" Target="http://www.nevo.co.il/case/4213218"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1919</Words>
  <Characters>9598</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11495</CharactersWithSpaces>
  <SharedDoc>false</SharedDoc>
  <HLinks>
    <vt:vector size="120" baseType="variant">
      <vt:variant>
        <vt:i4>8323175</vt:i4>
      </vt:variant>
      <vt:variant>
        <vt:i4>57</vt:i4>
      </vt:variant>
      <vt:variant>
        <vt:i4>0</vt:i4>
      </vt:variant>
      <vt:variant>
        <vt:i4>5</vt:i4>
      </vt:variant>
      <vt:variant>
        <vt:lpwstr>http://www.nevo.co.il/law/5227</vt:lpwstr>
      </vt:variant>
      <vt:variant>
        <vt:lpwstr/>
      </vt:variant>
      <vt:variant>
        <vt:i4>5046344</vt:i4>
      </vt:variant>
      <vt:variant>
        <vt:i4>54</vt:i4>
      </vt:variant>
      <vt:variant>
        <vt:i4>0</vt:i4>
      </vt:variant>
      <vt:variant>
        <vt:i4>5</vt:i4>
      </vt:variant>
      <vt:variant>
        <vt:lpwstr>http://www.nevo.co.il/law/5227/2T</vt:lpwstr>
      </vt:variant>
      <vt:variant>
        <vt:lpwstr/>
      </vt:variant>
      <vt:variant>
        <vt:i4>5111880</vt:i4>
      </vt:variant>
      <vt:variant>
        <vt:i4>51</vt:i4>
      </vt:variant>
      <vt:variant>
        <vt:i4>0</vt:i4>
      </vt:variant>
      <vt:variant>
        <vt:i4>5</vt:i4>
      </vt:variant>
      <vt:variant>
        <vt:lpwstr>http://www.nevo.co.il/law/5227/1T</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3997810</vt:i4>
      </vt:variant>
      <vt:variant>
        <vt:i4>42</vt:i4>
      </vt:variant>
      <vt:variant>
        <vt:i4>0</vt:i4>
      </vt:variant>
      <vt:variant>
        <vt:i4>5</vt:i4>
      </vt:variant>
      <vt:variant>
        <vt:lpwstr>http://www.nevo.co.il/case/17940554</vt:lpwstr>
      </vt:variant>
      <vt:variant>
        <vt:lpwstr/>
      </vt:variant>
      <vt:variant>
        <vt:i4>3407997</vt:i4>
      </vt:variant>
      <vt:variant>
        <vt:i4>39</vt:i4>
      </vt:variant>
      <vt:variant>
        <vt:i4>0</vt:i4>
      </vt:variant>
      <vt:variant>
        <vt:i4>5</vt:i4>
      </vt:variant>
      <vt:variant>
        <vt:lpwstr>http://www.nevo.co.il/case/6181399</vt:lpwstr>
      </vt:variant>
      <vt:variant>
        <vt:lpwstr/>
      </vt:variant>
      <vt:variant>
        <vt:i4>3145847</vt:i4>
      </vt:variant>
      <vt:variant>
        <vt:i4>36</vt:i4>
      </vt:variant>
      <vt:variant>
        <vt:i4>0</vt:i4>
      </vt:variant>
      <vt:variant>
        <vt:i4>5</vt:i4>
      </vt:variant>
      <vt:variant>
        <vt:lpwstr>http://www.nevo.co.il/case/6000036</vt:lpwstr>
      </vt:variant>
      <vt:variant>
        <vt:lpwstr/>
      </vt:variant>
      <vt:variant>
        <vt:i4>3997817</vt:i4>
      </vt:variant>
      <vt:variant>
        <vt:i4>33</vt:i4>
      </vt:variant>
      <vt:variant>
        <vt:i4>0</vt:i4>
      </vt:variant>
      <vt:variant>
        <vt:i4>5</vt:i4>
      </vt:variant>
      <vt:variant>
        <vt:lpwstr>http://www.nevo.co.il/case/17932979</vt:lpwstr>
      </vt:variant>
      <vt:variant>
        <vt:lpwstr/>
      </vt:variant>
      <vt:variant>
        <vt:i4>3211382</vt:i4>
      </vt:variant>
      <vt:variant>
        <vt:i4>30</vt:i4>
      </vt:variant>
      <vt:variant>
        <vt:i4>0</vt:i4>
      </vt:variant>
      <vt:variant>
        <vt:i4>5</vt:i4>
      </vt:variant>
      <vt:variant>
        <vt:lpwstr>http://www.nevo.co.il/case/4346677</vt:lpwstr>
      </vt:variant>
      <vt:variant>
        <vt:lpwstr/>
      </vt:variant>
      <vt:variant>
        <vt:i4>524364</vt:i4>
      </vt:variant>
      <vt:variant>
        <vt:i4>27</vt:i4>
      </vt:variant>
      <vt:variant>
        <vt:i4>0</vt:i4>
      </vt:variant>
      <vt:variant>
        <vt:i4>5</vt:i4>
      </vt:variant>
      <vt:variant>
        <vt:lpwstr>http://www.nevo.co.il/case/419951</vt:lpwstr>
      </vt:variant>
      <vt:variant>
        <vt:lpwstr/>
      </vt:variant>
      <vt:variant>
        <vt:i4>4128884</vt:i4>
      </vt:variant>
      <vt:variant>
        <vt:i4>24</vt:i4>
      </vt:variant>
      <vt:variant>
        <vt:i4>0</vt:i4>
      </vt:variant>
      <vt:variant>
        <vt:i4>5</vt:i4>
      </vt:variant>
      <vt:variant>
        <vt:lpwstr>http://www.nevo.co.il/case/4213218</vt:lpwstr>
      </vt:variant>
      <vt:variant>
        <vt:lpwstr/>
      </vt:variant>
      <vt:variant>
        <vt:i4>3932283</vt:i4>
      </vt:variant>
      <vt:variant>
        <vt:i4>21</vt:i4>
      </vt:variant>
      <vt:variant>
        <vt:i4>0</vt:i4>
      </vt:variant>
      <vt:variant>
        <vt:i4>5</vt:i4>
      </vt:variant>
      <vt:variant>
        <vt:lpwstr>http://www.nevo.co.il/case/5698919</vt:lpwstr>
      </vt:variant>
      <vt:variant>
        <vt:lpwstr/>
      </vt:variant>
      <vt:variant>
        <vt:i4>3866747</vt:i4>
      </vt:variant>
      <vt:variant>
        <vt:i4>18</vt:i4>
      </vt:variant>
      <vt:variant>
        <vt:i4>0</vt:i4>
      </vt:variant>
      <vt:variant>
        <vt:i4>5</vt:i4>
      </vt:variant>
      <vt:variant>
        <vt:lpwstr>http://www.nevo.co.il/case/3983252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5046344</vt:i4>
      </vt:variant>
      <vt:variant>
        <vt:i4>12</vt:i4>
      </vt:variant>
      <vt:variant>
        <vt:i4>0</vt:i4>
      </vt:variant>
      <vt:variant>
        <vt:i4>5</vt:i4>
      </vt:variant>
      <vt:variant>
        <vt:lpwstr>http://www.nevo.co.il/law/5227/2T</vt:lpwstr>
      </vt:variant>
      <vt:variant>
        <vt:lpwstr/>
      </vt:variant>
      <vt:variant>
        <vt:i4>5111880</vt:i4>
      </vt:variant>
      <vt:variant>
        <vt:i4>9</vt:i4>
      </vt:variant>
      <vt:variant>
        <vt:i4>0</vt:i4>
      </vt:variant>
      <vt:variant>
        <vt:i4>5</vt:i4>
      </vt:variant>
      <vt:variant>
        <vt:lpwstr>http://www.nevo.co.il/law/5227/1T</vt:lpwstr>
      </vt:variant>
      <vt:variant>
        <vt:lpwstr/>
      </vt:variant>
      <vt:variant>
        <vt:i4>8323175</vt:i4>
      </vt:variant>
      <vt:variant>
        <vt:i4>6</vt:i4>
      </vt:variant>
      <vt:variant>
        <vt:i4>0</vt:i4>
      </vt:variant>
      <vt:variant>
        <vt:i4>5</vt:i4>
      </vt:variant>
      <vt:variant>
        <vt:lpwstr>http://www.nevo.co.il/law/5227</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41467</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סטפן מולטיסנטי</vt:lpwstr>
  </property>
  <property fmtid="{D5CDD505-2E9C-101B-9397-08002B2CF9AE}" pid="10" name="LAWYER">
    <vt:lpwstr>ענבל אביב</vt:lpwstr>
  </property>
  <property fmtid="{D5CDD505-2E9C-101B-9397-08002B2CF9AE}" pid="11" name="JUDGE">
    <vt:lpwstr>בכירה רובין לביא</vt:lpwstr>
  </property>
  <property fmtid="{D5CDD505-2E9C-101B-9397-08002B2CF9AE}" pid="12" name="CITY">
    <vt:lpwstr>ק"ג</vt:lpwstr>
  </property>
  <property fmtid="{D5CDD505-2E9C-101B-9397-08002B2CF9AE}" pid="13" name="DATE">
    <vt:lpwstr>20130512</vt:lpwstr>
  </property>
  <property fmtid="{D5CDD505-2E9C-101B-9397-08002B2CF9AE}" pid="14" name="TYPE_N_DATE">
    <vt:lpwstr>38020130512</vt:lpwstr>
  </property>
  <property fmtid="{D5CDD505-2E9C-101B-9397-08002B2CF9AE}" pid="15" name="WORDNUMPAGES">
    <vt:lpwstr>7</vt:lpwstr>
  </property>
  <property fmtid="{D5CDD505-2E9C-101B-9397-08002B2CF9AE}" pid="16" name="TYPE_ABS_DATE">
    <vt:lpwstr>380020130512</vt:lpwstr>
  </property>
  <property fmtid="{D5CDD505-2E9C-101B-9397-08002B2CF9AE}" pid="17" name="CASESLISTTMP1">
    <vt:lpwstr>3983252;5698919;4213218;419951;4346677;17932979;6000036;6181399;17940554</vt:lpwstr>
  </property>
  <property fmtid="{D5CDD505-2E9C-101B-9397-08002B2CF9AE}" pid="18" name="LAWLISTTMP1">
    <vt:lpwstr>70301</vt:lpwstr>
  </property>
  <property fmtid="{D5CDD505-2E9C-101B-9397-08002B2CF9AE}" pid="19" name="LAWLISTTMP2">
    <vt:lpwstr>4216:2</vt:lpwstr>
  </property>
  <property fmtid="{D5CDD505-2E9C-101B-9397-08002B2CF9AE}" pid="20" name="LAWLISTTMP3">
    <vt:lpwstr>5227/001T;002T</vt:lpwstr>
  </property>
</Properties>
</file>