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07897" w:rsidRPr="00414DC0" w14:paraId="384B624E" w14:textId="77777777">
        <w:trPr>
          <w:trHeight w:hRule="exact" w:val="418"/>
          <w:jc w:val="center"/>
        </w:trPr>
        <w:tc>
          <w:tcPr>
            <w:tcW w:w="8720" w:type="dxa"/>
            <w:gridSpan w:val="3"/>
          </w:tcPr>
          <w:p w14:paraId="661B16ED" w14:textId="77777777" w:rsidR="00E07897" w:rsidRPr="00414DC0" w:rsidRDefault="00414DC0">
            <w:pPr>
              <w:pStyle w:val="a3"/>
              <w:tabs>
                <w:tab w:val="clear" w:pos="8306"/>
              </w:tabs>
              <w:jc w:val="center"/>
              <w:rPr>
                <w:rFonts w:ascii="Tahoma" w:hAnsi="Tahoma" w:cs="Tahoma"/>
                <w:b/>
                <w:bCs/>
                <w:color w:val="000080"/>
                <w:sz w:val="20"/>
                <w:szCs w:val="20"/>
                <w:rtl/>
              </w:rPr>
            </w:pPr>
            <w:bookmarkStart w:id="0" w:name="LastJudge"/>
            <w:r w:rsidRPr="00414DC0">
              <w:rPr>
                <w:rFonts w:ascii="Tahoma" w:hAnsi="Tahoma" w:cs="Tahoma"/>
                <w:b/>
                <w:bCs/>
                <w:color w:val="000080"/>
                <w:sz w:val="20"/>
                <w:szCs w:val="20"/>
                <w:rtl/>
              </w:rPr>
              <w:t>בית משפט השלום בנתניה</w:t>
            </w:r>
          </w:p>
        </w:tc>
      </w:tr>
      <w:tr w:rsidR="00E07897" w:rsidRPr="00414DC0" w14:paraId="49B8893D" w14:textId="77777777">
        <w:trPr>
          <w:trHeight w:val="337"/>
          <w:jc w:val="center"/>
        </w:trPr>
        <w:tc>
          <w:tcPr>
            <w:tcW w:w="6396" w:type="dxa"/>
          </w:tcPr>
          <w:p w14:paraId="3F072CDE" w14:textId="77777777" w:rsidR="00E07897" w:rsidRPr="00414DC0" w:rsidRDefault="00414DC0">
            <w:pPr>
              <w:rPr>
                <w:b/>
                <w:bCs/>
                <w:sz w:val="26"/>
                <w:szCs w:val="26"/>
                <w:rtl/>
              </w:rPr>
            </w:pPr>
            <w:r w:rsidRPr="00414DC0">
              <w:rPr>
                <w:b/>
                <w:bCs/>
                <w:sz w:val="26"/>
                <w:szCs w:val="26"/>
                <w:rtl/>
              </w:rPr>
              <w:t>ת"פ</w:t>
            </w:r>
            <w:r w:rsidRPr="00414DC0">
              <w:rPr>
                <w:rFonts w:hint="cs"/>
                <w:b/>
                <w:bCs/>
                <w:sz w:val="26"/>
                <w:szCs w:val="26"/>
                <w:rtl/>
              </w:rPr>
              <w:t xml:space="preserve"> </w:t>
            </w:r>
            <w:r w:rsidRPr="00414DC0">
              <w:rPr>
                <w:b/>
                <w:bCs/>
                <w:sz w:val="26"/>
                <w:szCs w:val="26"/>
                <w:rtl/>
              </w:rPr>
              <w:t>42673-04-12</w:t>
            </w:r>
            <w:r w:rsidRPr="00414DC0">
              <w:rPr>
                <w:rFonts w:hint="cs"/>
                <w:b/>
                <w:bCs/>
                <w:sz w:val="26"/>
                <w:szCs w:val="26"/>
                <w:rtl/>
              </w:rPr>
              <w:t xml:space="preserve"> </w:t>
            </w:r>
            <w:r w:rsidRPr="00414DC0">
              <w:rPr>
                <w:b/>
                <w:bCs/>
                <w:sz w:val="26"/>
                <w:szCs w:val="26"/>
                <w:rtl/>
              </w:rPr>
              <w:t>מדינת ישראל נ' גאבר(עציר)</w:t>
            </w:r>
          </w:p>
          <w:p w14:paraId="11511505" w14:textId="77777777" w:rsidR="00E07897" w:rsidRPr="00414DC0" w:rsidRDefault="00E07897">
            <w:pPr>
              <w:rPr>
                <w:b/>
                <w:bCs/>
                <w:sz w:val="26"/>
                <w:szCs w:val="26"/>
                <w:rtl/>
              </w:rPr>
            </w:pPr>
          </w:p>
        </w:tc>
        <w:tc>
          <w:tcPr>
            <w:tcW w:w="236" w:type="dxa"/>
          </w:tcPr>
          <w:p w14:paraId="6EA02885" w14:textId="77777777" w:rsidR="00E07897" w:rsidRPr="00414DC0" w:rsidRDefault="00E07897">
            <w:pPr>
              <w:pStyle w:val="a3"/>
              <w:jc w:val="right"/>
              <w:rPr>
                <w:b/>
                <w:bCs/>
                <w:sz w:val="26"/>
                <w:szCs w:val="26"/>
                <w:rtl/>
              </w:rPr>
            </w:pPr>
          </w:p>
        </w:tc>
        <w:tc>
          <w:tcPr>
            <w:tcW w:w="2088" w:type="dxa"/>
          </w:tcPr>
          <w:p w14:paraId="113F7001" w14:textId="77777777" w:rsidR="00E07897" w:rsidRPr="00414DC0" w:rsidRDefault="00414DC0">
            <w:pPr>
              <w:pStyle w:val="a3"/>
              <w:tabs>
                <w:tab w:val="clear" w:pos="4153"/>
              </w:tabs>
              <w:jc w:val="right"/>
              <w:rPr>
                <w:b/>
                <w:bCs/>
                <w:sz w:val="26"/>
                <w:szCs w:val="26"/>
                <w:rtl/>
              </w:rPr>
            </w:pPr>
            <w:r w:rsidRPr="00414DC0">
              <w:rPr>
                <w:b/>
                <w:bCs/>
                <w:sz w:val="26"/>
                <w:szCs w:val="26"/>
                <w:rtl/>
              </w:rPr>
              <w:t>09 אפריל 2013</w:t>
            </w:r>
          </w:p>
        </w:tc>
      </w:tr>
    </w:tbl>
    <w:p w14:paraId="4775CFD0" w14:textId="77777777" w:rsidR="00E07897" w:rsidRPr="00414DC0" w:rsidRDefault="00E07897">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E07897" w:rsidRPr="00414DC0" w14:paraId="28CB9D46" w14:textId="77777777">
        <w:trPr>
          <w:trHeight w:val="337"/>
          <w:jc w:val="center"/>
        </w:trPr>
        <w:tc>
          <w:tcPr>
            <w:tcW w:w="1592" w:type="dxa"/>
          </w:tcPr>
          <w:p w14:paraId="0DB2328F" w14:textId="77777777" w:rsidR="00E07897" w:rsidRPr="00414DC0" w:rsidRDefault="00414DC0">
            <w:pPr>
              <w:pStyle w:val="a3"/>
              <w:bidi w:val="0"/>
              <w:spacing w:line="360" w:lineRule="auto"/>
              <w:jc w:val="both"/>
              <w:rPr>
                <w:rFonts w:ascii="Times New Roman" w:hAnsi="Times New Roman"/>
              </w:rPr>
            </w:pPr>
            <w:r w:rsidRPr="00414DC0">
              <w:rPr>
                <w:rFonts w:ascii="Times New Roman" w:hAnsi="Times New Roman"/>
              </w:rPr>
              <w:t xml:space="preserve">   </w:t>
            </w:r>
          </w:p>
        </w:tc>
        <w:tc>
          <w:tcPr>
            <w:tcW w:w="7128" w:type="dxa"/>
          </w:tcPr>
          <w:p w14:paraId="084A632E" w14:textId="77777777" w:rsidR="00E07897" w:rsidRPr="00414DC0" w:rsidRDefault="00414DC0">
            <w:pPr>
              <w:pStyle w:val="a3"/>
              <w:jc w:val="right"/>
              <w:rPr>
                <w:b/>
                <w:bCs/>
                <w:sz w:val="26"/>
                <w:szCs w:val="26"/>
                <w:rtl/>
              </w:rPr>
            </w:pPr>
            <w:r w:rsidRPr="00414DC0">
              <w:rPr>
                <w:rFonts w:hint="cs"/>
                <w:rtl/>
              </w:rPr>
              <w:t xml:space="preserve"> 42691-04-12</w:t>
            </w:r>
          </w:p>
        </w:tc>
      </w:tr>
    </w:tbl>
    <w:p w14:paraId="265D5DCC" w14:textId="77777777" w:rsidR="00E07897" w:rsidRPr="00414DC0" w:rsidRDefault="00E0789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07897" w:rsidRPr="00414DC0" w14:paraId="5A9F6DA8" w14:textId="77777777">
        <w:trPr>
          <w:gridAfter w:val="1"/>
          <w:wAfter w:w="55" w:type="dxa"/>
        </w:trPr>
        <w:tc>
          <w:tcPr>
            <w:tcW w:w="8719" w:type="dxa"/>
            <w:gridSpan w:val="2"/>
          </w:tcPr>
          <w:p w14:paraId="66E42D01" w14:textId="77777777" w:rsidR="00E07897" w:rsidRPr="00414DC0" w:rsidRDefault="00414DC0">
            <w:pPr>
              <w:spacing w:line="360" w:lineRule="auto"/>
              <w:jc w:val="both"/>
              <w:rPr>
                <w:rFonts w:ascii="Times New Roman" w:eastAsia="Times New Roman" w:hAnsi="Times New Roman"/>
                <w:b/>
                <w:bCs/>
                <w:sz w:val="26"/>
                <w:szCs w:val="26"/>
                <w:rtl/>
              </w:rPr>
            </w:pPr>
            <w:r w:rsidRPr="00414DC0">
              <w:rPr>
                <w:rFonts w:ascii="Times New Roman" w:eastAsia="Times New Roman" w:hAnsi="Times New Roman" w:hint="cs"/>
                <w:b/>
                <w:bCs/>
                <w:sz w:val="26"/>
                <w:szCs w:val="26"/>
                <w:rtl/>
              </w:rPr>
              <w:t>בפני כב' ה</w:t>
            </w:r>
            <w:r w:rsidRPr="00414DC0">
              <w:rPr>
                <w:rFonts w:ascii="Times New Roman" w:eastAsia="Times New Roman" w:hAnsi="Times New Roman" w:hint="cs"/>
                <w:rtl/>
              </w:rPr>
              <w:t>שופטת גלית ציגלר</w:t>
            </w:r>
            <w:r w:rsidRPr="00414DC0">
              <w:rPr>
                <w:rStyle w:val="TimesNewRomanTimesNewRoman"/>
                <w:rFonts w:eastAsia="Times New Roman"/>
                <w:rtl/>
              </w:rPr>
              <w:t xml:space="preserve"> </w:t>
            </w:r>
          </w:p>
        </w:tc>
      </w:tr>
      <w:tr w:rsidR="00E07897" w:rsidRPr="00414DC0" w14:paraId="6B55B9E2" w14:textId="77777777">
        <w:tc>
          <w:tcPr>
            <w:tcW w:w="2880" w:type="dxa"/>
          </w:tcPr>
          <w:p w14:paraId="313EAE42" w14:textId="77777777" w:rsidR="00E07897" w:rsidRPr="00414DC0" w:rsidRDefault="00414DC0">
            <w:pPr>
              <w:ind w:left="26"/>
              <w:rPr>
                <w:rFonts w:ascii="Times New Roman" w:eastAsia="Times New Roman" w:hAnsi="Times New Roman"/>
                <w:b/>
                <w:bCs/>
                <w:sz w:val="26"/>
                <w:szCs w:val="26"/>
                <w:rtl/>
              </w:rPr>
            </w:pPr>
            <w:bookmarkStart w:id="1" w:name="FirstAppellant"/>
            <w:r w:rsidRPr="00414DC0">
              <w:rPr>
                <w:rFonts w:ascii="Times New Roman" w:eastAsia="Times New Roman" w:hAnsi="Times New Roman" w:hint="cs"/>
                <w:b/>
                <w:bCs/>
                <w:sz w:val="26"/>
                <w:szCs w:val="26"/>
                <w:rtl/>
              </w:rPr>
              <w:t>ה</w:t>
            </w:r>
            <w:r w:rsidRPr="00414DC0">
              <w:rPr>
                <w:rFonts w:ascii="Times New Roman" w:eastAsia="Times New Roman" w:hAnsi="Times New Roman" w:hint="cs"/>
                <w:rtl/>
              </w:rPr>
              <w:t xml:space="preserve">מאשימה  </w:t>
            </w:r>
          </w:p>
        </w:tc>
        <w:tc>
          <w:tcPr>
            <w:tcW w:w="5922" w:type="dxa"/>
            <w:gridSpan w:val="2"/>
          </w:tcPr>
          <w:p w14:paraId="4CAFE6DA" w14:textId="77777777" w:rsidR="00E07897" w:rsidRPr="00414DC0" w:rsidRDefault="00414DC0">
            <w:pPr>
              <w:rPr>
                <w:rFonts w:ascii="Times New Roman" w:eastAsia="Times New Roman" w:hAnsi="Times New Roman"/>
                <w:b/>
                <w:bCs/>
                <w:sz w:val="26"/>
                <w:szCs w:val="26"/>
                <w:rtl/>
              </w:rPr>
            </w:pPr>
            <w:r w:rsidRPr="00414DC0">
              <w:rPr>
                <w:rFonts w:ascii="Times New Roman" w:eastAsia="Times New Roman" w:hAnsi="Times New Roman" w:hint="cs"/>
                <w:rtl/>
              </w:rPr>
              <w:t>מדינת ישראל</w:t>
            </w:r>
          </w:p>
          <w:p w14:paraId="133820F9" w14:textId="77777777" w:rsidR="00E07897" w:rsidRPr="00414DC0" w:rsidRDefault="00E07897">
            <w:pPr>
              <w:rPr>
                <w:rFonts w:ascii="Times New Roman" w:eastAsia="Times New Roman" w:hAnsi="Times New Roman"/>
                <w:b/>
                <w:bCs/>
                <w:sz w:val="26"/>
                <w:szCs w:val="26"/>
                <w:rtl/>
              </w:rPr>
            </w:pPr>
          </w:p>
        </w:tc>
      </w:tr>
      <w:bookmarkEnd w:id="1"/>
      <w:tr w:rsidR="00E07897" w:rsidRPr="00414DC0" w14:paraId="17F136D4" w14:textId="77777777">
        <w:tc>
          <w:tcPr>
            <w:tcW w:w="8802" w:type="dxa"/>
            <w:gridSpan w:val="3"/>
          </w:tcPr>
          <w:p w14:paraId="52C9139A" w14:textId="77777777" w:rsidR="00E07897" w:rsidRPr="00414DC0" w:rsidRDefault="00E07897">
            <w:pPr>
              <w:jc w:val="both"/>
              <w:rPr>
                <w:rFonts w:ascii="Arial" w:eastAsia="Times New Roman" w:hAnsi="Arial"/>
                <w:b/>
                <w:bCs/>
                <w:sz w:val="26"/>
                <w:szCs w:val="26"/>
                <w:rtl/>
              </w:rPr>
            </w:pPr>
          </w:p>
          <w:p w14:paraId="0701E892" w14:textId="77777777" w:rsidR="00E07897" w:rsidRPr="00414DC0" w:rsidRDefault="00414DC0">
            <w:pPr>
              <w:jc w:val="center"/>
              <w:rPr>
                <w:rFonts w:ascii="Arial" w:eastAsia="Times New Roman" w:hAnsi="Arial"/>
                <w:b/>
                <w:bCs/>
                <w:sz w:val="26"/>
                <w:szCs w:val="26"/>
                <w:rtl/>
              </w:rPr>
            </w:pPr>
            <w:r w:rsidRPr="00414DC0">
              <w:rPr>
                <w:rFonts w:ascii="Arial" w:eastAsia="Times New Roman" w:hAnsi="Arial"/>
                <w:b/>
                <w:bCs/>
                <w:sz w:val="26"/>
                <w:szCs w:val="26"/>
                <w:rtl/>
              </w:rPr>
              <w:t>נגד</w:t>
            </w:r>
          </w:p>
          <w:p w14:paraId="6F43D28C" w14:textId="77777777" w:rsidR="00E07897" w:rsidRPr="00414DC0" w:rsidRDefault="00E07897">
            <w:pPr>
              <w:jc w:val="center"/>
              <w:rPr>
                <w:rFonts w:ascii="Arial" w:eastAsia="Times New Roman" w:hAnsi="Arial"/>
                <w:b/>
                <w:bCs/>
                <w:sz w:val="26"/>
                <w:szCs w:val="26"/>
              </w:rPr>
            </w:pPr>
          </w:p>
        </w:tc>
      </w:tr>
      <w:tr w:rsidR="00E07897" w:rsidRPr="00414DC0" w14:paraId="010398DC" w14:textId="77777777">
        <w:tc>
          <w:tcPr>
            <w:tcW w:w="2880" w:type="dxa"/>
          </w:tcPr>
          <w:p w14:paraId="1BD12122" w14:textId="77777777" w:rsidR="00E07897" w:rsidRPr="00414DC0" w:rsidRDefault="00414DC0">
            <w:pPr>
              <w:ind w:left="26"/>
              <w:rPr>
                <w:rFonts w:ascii="Times New Roman" w:eastAsia="Times New Roman" w:hAnsi="Times New Roman"/>
                <w:b/>
                <w:bCs/>
                <w:sz w:val="26"/>
                <w:szCs w:val="26"/>
                <w:rtl/>
              </w:rPr>
            </w:pPr>
            <w:r w:rsidRPr="00414DC0">
              <w:rPr>
                <w:rFonts w:ascii="Times New Roman" w:eastAsia="Times New Roman" w:hAnsi="Times New Roman" w:hint="cs"/>
                <w:b/>
                <w:bCs/>
                <w:sz w:val="26"/>
                <w:szCs w:val="26"/>
                <w:rtl/>
              </w:rPr>
              <w:t>ה</w:t>
            </w:r>
            <w:r w:rsidRPr="00414DC0">
              <w:rPr>
                <w:rFonts w:ascii="Times New Roman" w:eastAsia="Times New Roman" w:hAnsi="Times New Roman" w:hint="cs"/>
                <w:rtl/>
              </w:rPr>
              <w:t xml:space="preserve">נאשם </w:t>
            </w:r>
          </w:p>
        </w:tc>
        <w:tc>
          <w:tcPr>
            <w:tcW w:w="5922" w:type="dxa"/>
            <w:gridSpan w:val="2"/>
          </w:tcPr>
          <w:p w14:paraId="40F0DF15" w14:textId="77777777" w:rsidR="00E07897" w:rsidRPr="00414DC0" w:rsidRDefault="00414DC0">
            <w:pPr>
              <w:rPr>
                <w:rFonts w:ascii="Times New Roman" w:eastAsia="Times New Roman" w:hAnsi="Times New Roman"/>
                <w:b/>
                <w:bCs/>
                <w:sz w:val="26"/>
                <w:szCs w:val="26"/>
                <w:rtl/>
              </w:rPr>
            </w:pPr>
            <w:r w:rsidRPr="00414DC0">
              <w:rPr>
                <w:rFonts w:ascii="Times New Roman" w:eastAsia="Times New Roman" w:hAnsi="Times New Roman" w:hint="cs"/>
                <w:rtl/>
              </w:rPr>
              <w:t>עומר גאבר (עציר)</w:t>
            </w:r>
          </w:p>
          <w:p w14:paraId="73AAF846" w14:textId="77777777" w:rsidR="00E07897" w:rsidRPr="00414DC0" w:rsidRDefault="00E07897">
            <w:pPr>
              <w:rPr>
                <w:rFonts w:ascii="Times New Roman" w:eastAsia="Times New Roman" w:hAnsi="Times New Roman"/>
                <w:b/>
                <w:bCs/>
                <w:sz w:val="26"/>
                <w:szCs w:val="26"/>
                <w:rtl/>
              </w:rPr>
            </w:pPr>
          </w:p>
        </w:tc>
      </w:tr>
    </w:tbl>
    <w:p w14:paraId="020BD41E" w14:textId="77777777" w:rsidR="00E07897" w:rsidRPr="00414DC0" w:rsidRDefault="00414DC0">
      <w:pPr>
        <w:spacing w:line="360" w:lineRule="auto"/>
        <w:jc w:val="both"/>
        <w:rPr>
          <w:sz w:val="6"/>
          <w:szCs w:val="6"/>
          <w:rtl/>
        </w:rPr>
      </w:pPr>
      <w:r w:rsidRPr="00414DC0">
        <w:rPr>
          <w:sz w:val="6"/>
          <w:szCs w:val="6"/>
          <w:rtl/>
        </w:rPr>
        <w:t>&lt;#2#&gt;</w:t>
      </w:r>
    </w:p>
    <w:p w14:paraId="1AD52C1D" w14:textId="77777777" w:rsidR="00E07897" w:rsidRPr="00414DC0" w:rsidRDefault="00414DC0">
      <w:pPr>
        <w:pStyle w:val="12"/>
        <w:rPr>
          <w:u w:val="none"/>
          <w:rtl/>
        </w:rPr>
      </w:pPr>
      <w:r w:rsidRPr="00414DC0">
        <w:rPr>
          <w:rFonts w:hint="cs"/>
          <w:u w:val="none"/>
          <w:rtl/>
        </w:rPr>
        <w:t>נוכחים:</w:t>
      </w:r>
    </w:p>
    <w:p w14:paraId="7F0A0FC3" w14:textId="77777777" w:rsidR="00E07897" w:rsidRPr="00414DC0" w:rsidRDefault="00414DC0">
      <w:pPr>
        <w:pStyle w:val="12"/>
        <w:rPr>
          <w:b w:val="0"/>
          <w:bCs w:val="0"/>
          <w:u w:val="none"/>
          <w:rtl/>
        </w:rPr>
      </w:pPr>
      <w:bookmarkStart w:id="2" w:name="FirstLawyer"/>
      <w:r w:rsidRPr="00414DC0">
        <w:rPr>
          <w:rFonts w:hint="cs"/>
          <w:b w:val="0"/>
          <w:bCs w:val="0"/>
          <w:u w:val="none"/>
          <w:rtl/>
        </w:rPr>
        <w:t>ב"כ</w:t>
      </w:r>
      <w:bookmarkEnd w:id="2"/>
      <w:r w:rsidRPr="00414DC0">
        <w:rPr>
          <w:rFonts w:hint="cs"/>
          <w:b w:val="0"/>
          <w:bCs w:val="0"/>
          <w:u w:val="none"/>
          <w:rtl/>
        </w:rPr>
        <w:t xml:space="preserve"> המאשימה עו"ד צ'פניק</w:t>
      </w:r>
    </w:p>
    <w:p w14:paraId="400B9860" w14:textId="77777777" w:rsidR="00F56581" w:rsidRDefault="00414DC0">
      <w:pPr>
        <w:pStyle w:val="12"/>
        <w:rPr>
          <w:b w:val="0"/>
          <w:bCs w:val="0"/>
          <w:u w:val="none"/>
          <w:rtl/>
        </w:rPr>
      </w:pPr>
      <w:r w:rsidRPr="00414DC0">
        <w:rPr>
          <w:rFonts w:hint="cs"/>
          <w:b w:val="0"/>
          <w:bCs w:val="0"/>
          <w:u w:val="none"/>
          <w:rtl/>
        </w:rPr>
        <w:t>הנאשם הובא וב"כ עו"ד עידו רז</w:t>
      </w:r>
      <w:bookmarkStart w:id="3" w:name="LawTable"/>
      <w:bookmarkEnd w:id="3"/>
    </w:p>
    <w:p w14:paraId="17E165BB" w14:textId="77777777" w:rsidR="00F56581" w:rsidRPr="00F56581" w:rsidRDefault="00F56581" w:rsidP="00F56581">
      <w:pPr>
        <w:pStyle w:val="12"/>
        <w:spacing w:after="120" w:line="240" w:lineRule="exact"/>
        <w:ind w:left="283" w:hanging="283"/>
        <w:jc w:val="both"/>
        <w:rPr>
          <w:rFonts w:ascii="FrankRuehl" w:hAnsi="FrankRuehl" w:cs="FrankRuehl"/>
          <w:b w:val="0"/>
          <w:bCs w:val="0"/>
          <w:u w:val="none"/>
          <w:rtl/>
        </w:rPr>
      </w:pPr>
    </w:p>
    <w:p w14:paraId="3D087C05" w14:textId="77777777" w:rsidR="00F56581" w:rsidRPr="00F56581" w:rsidRDefault="00F56581" w:rsidP="00F56581">
      <w:pPr>
        <w:pStyle w:val="12"/>
        <w:spacing w:after="120" w:line="240" w:lineRule="exact"/>
        <w:ind w:left="283" w:hanging="283"/>
        <w:jc w:val="both"/>
        <w:rPr>
          <w:rFonts w:ascii="FrankRuehl" w:hAnsi="FrankRuehl" w:cs="FrankRuehl"/>
          <w:b w:val="0"/>
          <w:bCs w:val="0"/>
          <w:u w:val="none"/>
          <w:rtl/>
        </w:rPr>
      </w:pPr>
      <w:r w:rsidRPr="00F56581">
        <w:rPr>
          <w:rFonts w:ascii="FrankRuehl" w:hAnsi="FrankRuehl" w:cs="FrankRuehl"/>
          <w:b w:val="0"/>
          <w:bCs w:val="0"/>
          <w:u w:val="none"/>
          <w:rtl/>
        </w:rPr>
        <w:t xml:space="preserve">חקיקה שאוזכרה: </w:t>
      </w:r>
    </w:p>
    <w:p w14:paraId="098A916E" w14:textId="77777777" w:rsidR="00F56581" w:rsidRPr="00F56581" w:rsidRDefault="00F56581" w:rsidP="00F56581">
      <w:pPr>
        <w:pStyle w:val="12"/>
        <w:spacing w:after="120" w:line="240" w:lineRule="exact"/>
        <w:ind w:left="283" w:hanging="283"/>
        <w:jc w:val="both"/>
        <w:rPr>
          <w:rFonts w:ascii="FrankRuehl" w:hAnsi="FrankRuehl" w:cs="FrankRuehl"/>
          <w:b w:val="0"/>
          <w:bCs w:val="0"/>
          <w:u w:val="none"/>
          <w:rtl/>
        </w:rPr>
      </w:pPr>
      <w:hyperlink r:id="rId6" w:history="1">
        <w:r w:rsidRPr="00F56581">
          <w:rPr>
            <w:rFonts w:ascii="FrankRuehl" w:hAnsi="FrankRuehl" w:cs="FrankRuehl"/>
            <w:b w:val="0"/>
            <w:bCs w:val="0"/>
            <w:color w:val="0000FF"/>
            <w:rtl/>
          </w:rPr>
          <w:t>פקודת הסמים המסוכנים [נוסח חדש], תשל"ג-1973</w:t>
        </w:r>
      </w:hyperlink>
      <w:r w:rsidRPr="00F56581">
        <w:rPr>
          <w:rFonts w:ascii="FrankRuehl" w:hAnsi="FrankRuehl" w:cs="FrankRuehl"/>
          <w:b w:val="0"/>
          <w:bCs w:val="0"/>
          <w:u w:val="none"/>
          <w:rtl/>
        </w:rPr>
        <w:t xml:space="preserve">: סע'  </w:t>
      </w:r>
      <w:hyperlink r:id="rId7" w:history="1">
        <w:r w:rsidRPr="00F56581">
          <w:rPr>
            <w:rFonts w:ascii="FrankRuehl" w:hAnsi="FrankRuehl" w:cs="FrankRuehl"/>
            <w:b w:val="0"/>
            <w:bCs w:val="0"/>
            <w:color w:val="0000FF"/>
            <w:rtl/>
          </w:rPr>
          <w:t>7(א)</w:t>
        </w:r>
      </w:hyperlink>
      <w:r w:rsidRPr="00F56581">
        <w:rPr>
          <w:rFonts w:ascii="FrankRuehl" w:hAnsi="FrankRuehl" w:cs="FrankRuehl"/>
          <w:b w:val="0"/>
          <w:bCs w:val="0"/>
          <w:u w:val="none"/>
          <w:rtl/>
        </w:rPr>
        <w:t xml:space="preserve">, </w:t>
      </w:r>
      <w:hyperlink r:id="rId8" w:history="1">
        <w:r w:rsidRPr="00F56581">
          <w:rPr>
            <w:rFonts w:ascii="FrankRuehl" w:hAnsi="FrankRuehl" w:cs="FrankRuehl"/>
            <w:b w:val="0"/>
            <w:bCs w:val="0"/>
            <w:color w:val="0000FF"/>
            <w:rtl/>
          </w:rPr>
          <w:t>7(ג)</w:t>
        </w:r>
      </w:hyperlink>
    </w:p>
    <w:p w14:paraId="23F9D2A0" w14:textId="77777777" w:rsidR="00F56581" w:rsidRPr="00F56581" w:rsidRDefault="00F56581" w:rsidP="00F56581">
      <w:pPr>
        <w:pStyle w:val="12"/>
        <w:spacing w:after="120" w:line="240" w:lineRule="exact"/>
        <w:ind w:left="283" w:hanging="283"/>
        <w:jc w:val="both"/>
        <w:rPr>
          <w:rFonts w:ascii="FrankRuehl" w:hAnsi="FrankRuehl" w:cs="FrankRuehl"/>
          <w:b w:val="0"/>
          <w:bCs w:val="0"/>
          <w:u w:val="none"/>
          <w:rtl/>
        </w:rPr>
      </w:pPr>
      <w:hyperlink r:id="rId9" w:history="1">
        <w:r w:rsidRPr="00F56581">
          <w:rPr>
            <w:rFonts w:ascii="FrankRuehl" w:hAnsi="FrankRuehl" w:cs="FrankRuehl"/>
            <w:b w:val="0"/>
            <w:bCs w:val="0"/>
            <w:color w:val="0000FF"/>
            <w:rtl/>
          </w:rPr>
          <w:t>חוק העונשין, תשל"ז-1977</w:t>
        </w:r>
      </w:hyperlink>
      <w:r w:rsidRPr="00F56581">
        <w:rPr>
          <w:rFonts w:ascii="FrankRuehl" w:hAnsi="FrankRuehl" w:cs="FrankRuehl"/>
          <w:b w:val="0"/>
          <w:bCs w:val="0"/>
          <w:u w:val="none"/>
          <w:rtl/>
        </w:rPr>
        <w:t xml:space="preserve">: סע'  </w:t>
      </w:r>
      <w:hyperlink r:id="rId10" w:history="1">
        <w:r w:rsidRPr="00F56581">
          <w:rPr>
            <w:rFonts w:ascii="FrankRuehl" w:hAnsi="FrankRuehl" w:cs="FrankRuehl"/>
            <w:b w:val="0"/>
            <w:bCs w:val="0"/>
            <w:color w:val="0000FF"/>
            <w:rtl/>
          </w:rPr>
          <w:t>413</w:t>
        </w:r>
      </w:hyperlink>
      <w:r w:rsidRPr="00F56581">
        <w:rPr>
          <w:rFonts w:ascii="FrankRuehl" w:hAnsi="FrankRuehl" w:cs="FrankRuehl"/>
          <w:b w:val="0"/>
          <w:bCs w:val="0"/>
          <w:u w:val="none"/>
          <w:rtl/>
        </w:rPr>
        <w:t xml:space="preserve">, </w:t>
      </w:r>
      <w:hyperlink r:id="rId11" w:history="1">
        <w:r w:rsidRPr="00F56581">
          <w:rPr>
            <w:rFonts w:ascii="FrankRuehl" w:hAnsi="FrankRuehl" w:cs="FrankRuehl"/>
            <w:b w:val="0"/>
            <w:bCs w:val="0"/>
            <w:color w:val="0000FF"/>
            <w:rtl/>
          </w:rPr>
          <w:t>413 ו'</w:t>
        </w:r>
      </w:hyperlink>
      <w:r w:rsidRPr="00F56581">
        <w:rPr>
          <w:rFonts w:ascii="FrankRuehl" w:hAnsi="FrankRuehl" w:cs="FrankRuehl"/>
          <w:b w:val="0"/>
          <w:bCs w:val="0"/>
          <w:u w:val="none"/>
          <w:rtl/>
        </w:rPr>
        <w:t xml:space="preserve">, </w:t>
      </w:r>
      <w:hyperlink r:id="rId12" w:history="1">
        <w:r w:rsidRPr="00F56581">
          <w:rPr>
            <w:rFonts w:ascii="FrankRuehl" w:hAnsi="FrankRuehl" w:cs="FrankRuehl"/>
            <w:b w:val="0"/>
            <w:bCs w:val="0"/>
            <w:color w:val="0000FF"/>
            <w:rtl/>
          </w:rPr>
          <w:t>ה' 1 לפרק יא'</w:t>
        </w:r>
      </w:hyperlink>
    </w:p>
    <w:p w14:paraId="4211F74D" w14:textId="77777777" w:rsidR="00F56581" w:rsidRPr="00F56581" w:rsidRDefault="00F56581" w:rsidP="00F56581">
      <w:pPr>
        <w:pStyle w:val="12"/>
        <w:spacing w:after="120" w:line="240" w:lineRule="exact"/>
        <w:ind w:left="283" w:hanging="283"/>
        <w:jc w:val="both"/>
        <w:rPr>
          <w:rFonts w:ascii="FrankRuehl" w:hAnsi="FrankRuehl" w:cs="FrankRuehl"/>
          <w:b w:val="0"/>
          <w:bCs w:val="0"/>
          <w:u w:val="none"/>
          <w:rtl/>
        </w:rPr>
      </w:pPr>
    </w:p>
    <w:p w14:paraId="46492122" w14:textId="77777777" w:rsidR="00F56581" w:rsidRPr="00F56581" w:rsidRDefault="00F56581">
      <w:pPr>
        <w:pStyle w:val="12"/>
        <w:rPr>
          <w:b w:val="0"/>
          <w:bCs w:val="0"/>
          <w:u w:val="none"/>
          <w:rtl/>
        </w:rPr>
      </w:pPr>
      <w:bookmarkStart w:id="4" w:name="LawTable_End"/>
      <w:bookmarkEnd w:id="4"/>
    </w:p>
    <w:p w14:paraId="7E88FF39" w14:textId="77777777" w:rsidR="00F56581" w:rsidRPr="00F56581" w:rsidRDefault="00F56581">
      <w:pPr>
        <w:pStyle w:val="12"/>
        <w:rPr>
          <w:b w:val="0"/>
          <w:bCs w:val="0"/>
          <w:u w:val="none"/>
          <w:rtl/>
        </w:rPr>
      </w:pPr>
    </w:p>
    <w:p w14:paraId="68B420CB" w14:textId="77777777" w:rsidR="00E07897" w:rsidRPr="00F56581" w:rsidRDefault="00E07897">
      <w:pPr>
        <w:pStyle w:val="12"/>
        <w:rPr>
          <w:b w:val="0"/>
          <w:bCs w:val="0"/>
          <w:u w:val="none"/>
          <w:rtl/>
        </w:rPr>
      </w:pPr>
    </w:p>
    <w:p w14:paraId="615B0BF2" w14:textId="77777777" w:rsidR="00FF063F" w:rsidRPr="00FF063F" w:rsidRDefault="00FF063F">
      <w:pPr>
        <w:pStyle w:val="12"/>
        <w:rPr>
          <w:b w:val="0"/>
          <w:bCs w:val="0"/>
          <w:u w:val="none"/>
          <w:rtl/>
        </w:rPr>
      </w:pPr>
    </w:p>
    <w:p w14:paraId="7CE63AF2" w14:textId="77777777" w:rsidR="00FF063F" w:rsidRPr="00FF063F" w:rsidRDefault="00FF063F">
      <w:pPr>
        <w:pStyle w:val="12"/>
        <w:rPr>
          <w:b w:val="0"/>
          <w:bCs w:val="0"/>
          <w:u w:val="none"/>
          <w:rtl/>
        </w:rPr>
      </w:pPr>
    </w:p>
    <w:p w14:paraId="277055AB" w14:textId="77777777" w:rsidR="00E07897" w:rsidRPr="00FF063F" w:rsidRDefault="00E07897">
      <w:pPr>
        <w:pStyle w:val="12"/>
        <w:rPr>
          <w:b w:val="0"/>
          <w:bCs w:val="0"/>
          <w:u w:val="none"/>
          <w:rtl/>
        </w:rPr>
      </w:pPr>
    </w:p>
    <w:p w14:paraId="1B934F6C" w14:textId="77777777" w:rsidR="00250812" w:rsidRPr="00250812" w:rsidRDefault="00250812">
      <w:pPr>
        <w:pStyle w:val="12"/>
        <w:rPr>
          <w:b w:val="0"/>
          <w:bCs w:val="0"/>
          <w:u w:val="none"/>
          <w:rtl/>
        </w:rPr>
      </w:pPr>
    </w:p>
    <w:p w14:paraId="7D5AB4F4" w14:textId="77777777" w:rsidR="00250812" w:rsidRPr="00250812" w:rsidRDefault="00250812">
      <w:pPr>
        <w:pStyle w:val="12"/>
        <w:rPr>
          <w:b w:val="0"/>
          <w:bCs w:val="0"/>
          <w:u w:val="none"/>
          <w:rtl/>
        </w:rPr>
      </w:pPr>
    </w:p>
    <w:p w14:paraId="1BDCE2DD" w14:textId="77777777" w:rsidR="00E07897" w:rsidRPr="00250812" w:rsidRDefault="00E07897">
      <w:pPr>
        <w:pStyle w:val="12"/>
        <w:rPr>
          <w:b w:val="0"/>
          <w:bCs w:val="0"/>
          <w:u w:val="none"/>
          <w:rtl/>
        </w:rPr>
      </w:pPr>
    </w:p>
    <w:p w14:paraId="03F7F342" w14:textId="77777777" w:rsidR="00414DC0" w:rsidRPr="00414DC0" w:rsidRDefault="00414DC0" w:rsidP="00414DC0">
      <w:pPr>
        <w:spacing w:line="360" w:lineRule="auto"/>
        <w:ind w:firstLine="720"/>
        <w:jc w:val="center"/>
        <w:rPr>
          <w:rFonts w:ascii="Arial" w:hAnsi="Arial"/>
          <w:b/>
          <w:bCs/>
          <w:sz w:val="28"/>
          <w:szCs w:val="28"/>
          <w:u w:val="single"/>
          <w:rtl/>
        </w:rPr>
      </w:pPr>
      <w:bookmarkStart w:id="5" w:name="PsakDin"/>
      <w:bookmarkEnd w:id="0"/>
      <w:r w:rsidRPr="00414DC0">
        <w:rPr>
          <w:rFonts w:ascii="Arial" w:hAnsi="Arial"/>
          <w:b/>
          <w:bCs/>
          <w:sz w:val="28"/>
          <w:szCs w:val="28"/>
          <w:u w:val="single"/>
          <w:rtl/>
        </w:rPr>
        <w:t>גזר דין</w:t>
      </w:r>
    </w:p>
    <w:bookmarkEnd w:id="5"/>
    <w:p w14:paraId="5A3BDC94" w14:textId="77777777" w:rsidR="00E07897" w:rsidRDefault="00414DC0">
      <w:pPr>
        <w:spacing w:line="360" w:lineRule="auto"/>
        <w:ind w:firstLine="720"/>
        <w:jc w:val="both"/>
        <w:rPr>
          <w:rFonts w:ascii="Arial" w:hAnsi="Arial"/>
          <w:b/>
          <w:bCs/>
          <w:sz w:val="28"/>
          <w:szCs w:val="28"/>
          <w:u w:val="single"/>
        </w:rPr>
      </w:pPr>
      <w:r>
        <w:rPr>
          <w:rFonts w:ascii="Arial" w:hAnsi="Arial" w:hint="cs"/>
          <w:b/>
          <w:bCs/>
          <w:sz w:val="28"/>
          <w:szCs w:val="28"/>
          <w:u w:val="single"/>
          <w:rtl/>
        </w:rPr>
        <w:t>כתבי האישום</w:t>
      </w:r>
    </w:p>
    <w:p w14:paraId="4589FD0C" w14:textId="77777777" w:rsidR="00E07897" w:rsidRDefault="00414DC0">
      <w:pPr>
        <w:spacing w:line="360" w:lineRule="auto"/>
        <w:ind w:left="720" w:hanging="720"/>
        <w:jc w:val="both"/>
        <w:rPr>
          <w:rFonts w:ascii="Arial" w:hAnsi="Arial"/>
          <w:sz w:val="28"/>
          <w:szCs w:val="28"/>
          <w:rtl/>
        </w:rPr>
      </w:pPr>
      <w:r>
        <w:rPr>
          <w:rFonts w:ascii="Arial" w:hAnsi="Arial" w:hint="cs"/>
          <w:sz w:val="28"/>
          <w:szCs w:val="28"/>
          <w:rtl/>
        </w:rPr>
        <w:t>1.</w:t>
      </w:r>
      <w:r>
        <w:rPr>
          <w:rFonts w:ascii="Arial" w:hAnsi="Arial" w:hint="cs"/>
          <w:sz w:val="28"/>
          <w:szCs w:val="28"/>
          <w:rtl/>
        </w:rPr>
        <w:tab/>
      </w:r>
      <w:bookmarkStart w:id="6" w:name="ABSTRACT_START"/>
      <w:bookmarkEnd w:id="6"/>
      <w:r>
        <w:rPr>
          <w:rFonts w:ascii="Arial" w:hAnsi="Arial" w:hint="cs"/>
          <w:sz w:val="28"/>
          <w:szCs w:val="28"/>
          <w:rtl/>
        </w:rPr>
        <w:t xml:space="preserve">כנגד הנאשם הוגשו שני כתבי אישום, האחד בבית המשפט בכפר סבא ולפיו ביום 22.2.09 עת שהה הנאשם בבית מעצר, הוא נלקח לבדיקת סמים במהלכה נמצאו בגופו 3 חבילות של סם מסוכן מסוג הירואין במשקל 23.9 גרם נטו. </w:t>
      </w:r>
    </w:p>
    <w:p w14:paraId="59BD82AF" w14:textId="77777777" w:rsidR="00E07897" w:rsidRDefault="00414DC0">
      <w:pPr>
        <w:spacing w:line="360" w:lineRule="auto"/>
        <w:ind w:left="720" w:hanging="720"/>
        <w:jc w:val="both"/>
        <w:rPr>
          <w:rFonts w:ascii="Arial" w:hAnsi="Arial"/>
          <w:sz w:val="28"/>
          <w:szCs w:val="28"/>
          <w:rtl/>
        </w:rPr>
      </w:pPr>
      <w:bookmarkStart w:id="7" w:name="ABSTRACT_END"/>
      <w:bookmarkEnd w:id="7"/>
      <w:r>
        <w:rPr>
          <w:rFonts w:ascii="Arial" w:hAnsi="Arial" w:hint="cs"/>
          <w:sz w:val="28"/>
          <w:szCs w:val="28"/>
          <w:rtl/>
        </w:rPr>
        <w:tab/>
        <w:t xml:space="preserve">כתב האישום תוקן לקולא, הנאשם הודה והורשע בעבירה של החזקת סם לצריכה עצמית לפי </w:t>
      </w:r>
      <w:hyperlink r:id="rId13" w:history="1">
        <w:r w:rsidR="00FF063F" w:rsidRPr="00FF063F">
          <w:rPr>
            <w:rFonts w:ascii="Arial" w:hAnsi="Arial"/>
            <w:color w:val="0000FF"/>
            <w:sz w:val="28"/>
            <w:szCs w:val="28"/>
            <w:u w:val="single"/>
            <w:rtl/>
          </w:rPr>
          <w:t>סעיף 7(א)</w:t>
        </w:r>
      </w:hyperlink>
      <w:r>
        <w:rPr>
          <w:rFonts w:ascii="Arial" w:hAnsi="Arial" w:hint="cs"/>
          <w:sz w:val="28"/>
          <w:szCs w:val="28"/>
          <w:rtl/>
        </w:rPr>
        <w:t xml:space="preserve"> + </w:t>
      </w:r>
      <w:hyperlink r:id="rId14" w:history="1">
        <w:r w:rsidR="00FF063F" w:rsidRPr="00FF063F">
          <w:rPr>
            <w:rFonts w:ascii="Arial" w:hAnsi="Arial"/>
            <w:color w:val="0000FF"/>
            <w:sz w:val="28"/>
            <w:szCs w:val="28"/>
            <w:u w:val="single"/>
            <w:rtl/>
          </w:rPr>
          <w:t>7(ג)</w:t>
        </w:r>
      </w:hyperlink>
      <w:r>
        <w:rPr>
          <w:rFonts w:ascii="Arial" w:hAnsi="Arial" w:hint="cs"/>
          <w:sz w:val="28"/>
          <w:szCs w:val="28"/>
          <w:rtl/>
        </w:rPr>
        <w:t xml:space="preserve"> סייפא ל</w:t>
      </w:r>
      <w:hyperlink r:id="rId15" w:history="1">
        <w:r w:rsidR="00250812" w:rsidRPr="00250812">
          <w:rPr>
            <w:rStyle w:val="Hyperlink"/>
            <w:rFonts w:ascii="Arial" w:hAnsi="Arial"/>
            <w:sz w:val="28"/>
            <w:szCs w:val="28"/>
            <w:rtl/>
          </w:rPr>
          <w:t>פקודת הסמים המסוכנים</w:t>
        </w:r>
      </w:hyperlink>
      <w:r>
        <w:rPr>
          <w:rFonts w:ascii="Arial" w:hAnsi="Arial" w:hint="cs"/>
          <w:sz w:val="28"/>
          <w:szCs w:val="28"/>
          <w:rtl/>
        </w:rPr>
        <w:t xml:space="preserve">. </w:t>
      </w:r>
    </w:p>
    <w:p w14:paraId="564B5ECC" w14:textId="77777777" w:rsidR="00E07897" w:rsidRDefault="00414DC0">
      <w:pPr>
        <w:spacing w:line="360" w:lineRule="auto"/>
        <w:ind w:left="720"/>
        <w:jc w:val="both"/>
        <w:rPr>
          <w:rFonts w:ascii="Times New Roman" w:hAnsi="Times New Roman"/>
          <w:sz w:val="28"/>
          <w:szCs w:val="28"/>
          <w:rtl/>
        </w:rPr>
      </w:pPr>
      <w:r>
        <w:rPr>
          <w:rFonts w:hint="cs"/>
          <w:sz w:val="28"/>
          <w:szCs w:val="28"/>
          <w:rtl/>
        </w:rPr>
        <w:t xml:space="preserve">כתב האישום הנוסף התרחש ביום 21.4.12, עת פרץ הנאשם לרכב השייך למתלונן. גם כתב אישום זה תוקן לקולא והנאשם הודה והורשע בעבירה של פריצה לרכב לפי </w:t>
      </w:r>
      <w:hyperlink r:id="rId16" w:history="1">
        <w:r w:rsidR="00FF063F" w:rsidRPr="00FF063F">
          <w:rPr>
            <w:color w:val="0000FF"/>
            <w:sz w:val="28"/>
            <w:szCs w:val="28"/>
            <w:u w:val="single"/>
            <w:rtl/>
          </w:rPr>
          <w:t>סעיף 413 ו'</w:t>
        </w:r>
      </w:hyperlink>
      <w:r>
        <w:rPr>
          <w:rFonts w:hint="cs"/>
          <w:sz w:val="28"/>
          <w:szCs w:val="28"/>
          <w:rtl/>
        </w:rPr>
        <w:t xml:space="preserve"> ל</w:t>
      </w:r>
      <w:hyperlink r:id="rId17" w:history="1">
        <w:r w:rsidR="00250812" w:rsidRPr="00250812">
          <w:rPr>
            <w:rStyle w:val="Hyperlink"/>
            <w:sz w:val="28"/>
            <w:szCs w:val="28"/>
            <w:rtl/>
          </w:rPr>
          <w:t>חוק העונשין</w:t>
        </w:r>
      </w:hyperlink>
      <w:r>
        <w:rPr>
          <w:rFonts w:hint="cs"/>
          <w:sz w:val="28"/>
          <w:szCs w:val="28"/>
          <w:rtl/>
        </w:rPr>
        <w:t>.</w:t>
      </w:r>
    </w:p>
    <w:p w14:paraId="24808F2E" w14:textId="77777777" w:rsidR="00E07897" w:rsidRDefault="00414DC0">
      <w:pPr>
        <w:spacing w:line="360" w:lineRule="auto"/>
        <w:jc w:val="both"/>
        <w:rPr>
          <w:b/>
          <w:bCs/>
          <w:sz w:val="28"/>
          <w:szCs w:val="28"/>
          <w:u w:val="single"/>
          <w:rtl/>
        </w:rPr>
      </w:pPr>
      <w:r>
        <w:rPr>
          <w:rFonts w:hint="cs"/>
          <w:b/>
          <w:bCs/>
          <w:sz w:val="28"/>
          <w:szCs w:val="28"/>
          <w:rtl/>
        </w:rPr>
        <w:tab/>
      </w:r>
    </w:p>
    <w:p w14:paraId="73018DBB" w14:textId="77777777" w:rsidR="00E07897" w:rsidRDefault="00414DC0">
      <w:pPr>
        <w:spacing w:line="360" w:lineRule="auto"/>
        <w:ind w:left="720" w:hanging="720"/>
        <w:jc w:val="both"/>
        <w:rPr>
          <w:sz w:val="28"/>
          <w:szCs w:val="28"/>
          <w:rtl/>
        </w:rPr>
      </w:pPr>
      <w:r>
        <w:rPr>
          <w:rFonts w:hint="cs"/>
          <w:sz w:val="28"/>
          <w:szCs w:val="28"/>
          <w:rtl/>
        </w:rPr>
        <w:lastRenderedPageBreak/>
        <w:t>2.</w:t>
      </w:r>
      <w:r>
        <w:rPr>
          <w:rFonts w:hint="cs"/>
          <w:sz w:val="28"/>
          <w:szCs w:val="28"/>
          <w:rtl/>
        </w:rPr>
        <w:tab/>
        <w:t xml:space="preserve">בתיק של בית משפט זה, בעבירת הפריצה לרכב, הגיעו הצדדים להסדר טיעון, וביקשו להטיל על הנאשם מאסר בפועל של 16 חודשים, הכולל הפעלת עונשי מאסר מותנים שהיו תלויים ועומדים כנגדו, לצד מאסר על תנאי. </w:t>
      </w:r>
    </w:p>
    <w:p w14:paraId="1DA73DB7" w14:textId="77777777" w:rsidR="00E07897" w:rsidRDefault="00414DC0">
      <w:pPr>
        <w:spacing w:line="360" w:lineRule="auto"/>
        <w:ind w:left="720"/>
        <w:jc w:val="both"/>
        <w:rPr>
          <w:sz w:val="28"/>
          <w:szCs w:val="28"/>
          <w:rtl/>
        </w:rPr>
      </w:pPr>
      <w:r>
        <w:rPr>
          <w:rFonts w:hint="cs"/>
          <w:sz w:val="28"/>
          <w:szCs w:val="28"/>
          <w:rtl/>
        </w:rPr>
        <w:t>בתיק בו הורשע בעבירות סמים, טענו הצדדים לעונש בנפרד, ולפיכך ידון כל תיק לגופו.</w:t>
      </w:r>
    </w:p>
    <w:p w14:paraId="33F755D8" w14:textId="77777777" w:rsidR="00E07897" w:rsidRDefault="00E07897">
      <w:pPr>
        <w:spacing w:line="360" w:lineRule="auto"/>
        <w:ind w:left="720"/>
        <w:jc w:val="both"/>
        <w:rPr>
          <w:sz w:val="28"/>
          <w:szCs w:val="28"/>
          <w:rtl/>
        </w:rPr>
      </w:pPr>
    </w:p>
    <w:p w14:paraId="32A51A6F" w14:textId="77777777" w:rsidR="00E07897" w:rsidRDefault="00E07897">
      <w:pPr>
        <w:spacing w:line="360" w:lineRule="auto"/>
        <w:ind w:left="720"/>
        <w:jc w:val="both"/>
        <w:rPr>
          <w:sz w:val="28"/>
          <w:szCs w:val="28"/>
          <w:rtl/>
        </w:rPr>
      </w:pPr>
    </w:p>
    <w:p w14:paraId="02F3DB6F" w14:textId="77777777" w:rsidR="00E07897" w:rsidRDefault="00250812">
      <w:pPr>
        <w:spacing w:line="360" w:lineRule="auto"/>
        <w:ind w:left="720" w:hanging="720"/>
        <w:jc w:val="both"/>
        <w:rPr>
          <w:sz w:val="28"/>
          <w:szCs w:val="28"/>
          <w:rtl/>
        </w:rPr>
      </w:pPr>
      <w:hyperlink r:id="rId18" w:history="1">
        <w:r w:rsidRPr="00250812">
          <w:rPr>
            <w:b/>
            <w:bCs/>
            <w:color w:val="0000FF"/>
            <w:sz w:val="28"/>
            <w:szCs w:val="28"/>
            <w:u w:val="single"/>
            <w:rtl/>
          </w:rPr>
          <w:t>ת"פ 42673-04-12</w:t>
        </w:r>
        <w:r w:rsidRPr="00250812">
          <w:rPr>
            <w:b/>
            <w:bCs/>
            <w:color w:val="0000FF"/>
            <w:sz w:val="28"/>
            <w:szCs w:val="28"/>
            <w:u w:val="single"/>
            <w:rtl/>
          </w:rPr>
          <w:cr/>
        </w:r>
      </w:hyperlink>
      <w:r w:rsidR="00414DC0">
        <w:rPr>
          <w:rFonts w:hint="cs"/>
          <w:sz w:val="28"/>
          <w:szCs w:val="28"/>
          <w:rtl/>
        </w:rPr>
        <w:t>3.</w:t>
      </w:r>
      <w:r w:rsidR="00414DC0">
        <w:rPr>
          <w:rFonts w:hint="cs"/>
          <w:sz w:val="28"/>
          <w:szCs w:val="28"/>
          <w:rtl/>
        </w:rPr>
        <w:tab/>
        <w:t xml:space="preserve">באשר להסדר הטיעון – הצדדים טענו כי כתב האישום תוקן לקולא בשל קושי ראייתי, כי ההסדר הושג לאור עברו של הנאשם הכולל מאסרים בפועל שלא הועילו כדי להרתיעו, מחד גיסא, ולאור הודייתו ולקיחת האחריות מאידך גיסא, ויש בו כדי לענות על האינטרס הציבורי ועל הגמול המגיע לנאשם בגין העבירה שביצע. </w:t>
      </w:r>
    </w:p>
    <w:p w14:paraId="6035F342" w14:textId="77777777" w:rsidR="00E07897" w:rsidRDefault="00414DC0">
      <w:pPr>
        <w:spacing w:line="360" w:lineRule="auto"/>
        <w:ind w:left="720" w:hanging="720"/>
        <w:jc w:val="both"/>
        <w:rPr>
          <w:sz w:val="28"/>
          <w:szCs w:val="28"/>
          <w:rtl/>
        </w:rPr>
      </w:pPr>
      <w:r>
        <w:rPr>
          <w:rFonts w:hint="cs"/>
          <w:sz w:val="28"/>
          <w:szCs w:val="28"/>
          <w:rtl/>
        </w:rPr>
        <w:tab/>
      </w:r>
    </w:p>
    <w:p w14:paraId="10C22531" w14:textId="77777777" w:rsidR="00E07897" w:rsidRDefault="00414DC0">
      <w:pPr>
        <w:spacing w:line="360" w:lineRule="auto"/>
        <w:ind w:left="720" w:hanging="720"/>
        <w:jc w:val="both"/>
        <w:rPr>
          <w:sz w:val="28"/>
          <w:szCs w:val="28"/>
          <w:rtl/>
        </w:rPr>
      </w:pPr>
      <w:r>
        <w:rPr>
          <w:rFonts w:hint="cs"/>
          <w:sz w:val="28"/>
          <w:szCs w:val="28"/>
          <w:rtl/>
        </w:rPr>
        <w:tab/>
        <w:t xml:space="preserve">ב"כ הנאשם הוסיפה, כי ההסדר בין הצדדים הושג תוך חיסכון זמן שיפוטי יקר, לאור העובדה כי בעבר היה הנאשם מכור לסמים, והיום הוא מטופל באופן רציף, והעונש הוא קשה וממשי. </w:t>
      </w:r>
    </w:p>
    <w:p w14:paraId="031976BC" w14:textId="77777777" w:rsidR="00E07897" w:rsidRDefault="00E07897">
      <w:pPr>
        <w:spacing w:line="360" w:lineRule="auto"/>
        <w:ind w:left="720" w:hanging="720"/>
        <w:jc w:val="both"/>
        <w:rPr>
          <w:sz w:val="28"/>
          <w:szCs w:val="28"/>
          <w:rtl/>
        </w:rPr>
      </w:pPr>
    </w:p>
    <w:p w14:paraId="02ECCB0A" w14:textId="77777777" w:rsidR="00E07897" w:rsidRDefault="00414DC0">
      <w:pPr>
        <w:spacing w:line="360" w:lineRule="auto"/>
        <w:ind w:left="720" w:hanging="720"/>
        <w:jc w:val="both"/>
        <w:rPr>
          <w:sz w:val="28"/>
          <w:szCs w:val="28"/>
          <w:rtl/>
        </w:rPr>
      </w:pPr>
      <w:r>
        <w:rPr>
          <w:rFonts w:hint="cs"/>
          <w:sz w:val="28"/>
          <w:szCs w:val="28"/>
          <w:rtl/>
        </w:rPr>
        <w:t>4.</w:t>
      </w:r>
      <w:r>
        <w:rPr>
          <w:rFonts w:hint="cs"/>
          <w:sz w:val="28"/>
          <w:szCs w:val="28"/>
          <w:rtl/>
        </w:rPr>
        <w:tab/>
        <w:t>הלכה היא כי בית המשפט נוהג לכבד הסדרי טיעון, אלא אם יש בהם חריגה מרף הענישה הנוהג בתיקים דומים, ויש לצאת מהנחה כי התביעה שקלה את כלל השיקולים הרלבנטיים ולנגד עיניה עומדת ההגנה על האינטרס הציבורי.</w:t>
      </w:r>
    </w:p>
    <w:p w14:paraId="5135EFB6" w14:textId="77777777" w:rsidR="00E07897" w:rsidRDefault="00414DC0">
      <w:pPr>
        <w:spacing w:line="360" w:lineRule="auto"/>
        <w:ind w:left="720"/>
        <w:jc w:val="both"/>
        <w:rPr>
          <w:sz w:val="28"/>
          <w:szCs w:val="28"/>
          <w:rtl/>
        </w:rPr>
      </w:pPr>
      <w:r>
        <w:rPr>
          <w:rFonts w:hint="cs"/>
          <w:sz w:val="28"/>
          <w:szCs w:val="28"/>
          <w:rtl/>
        </w:rPr>
        <w:t>דומה כי ההסדר במקרה זה, אכן נותן מענה של ממש, וענישה של מאסר בפועל אשר מביאה לידי ביטוי את כלל השיקולים הקשורים בגמול על המעשה, טיבה של העבירה ונסיבותיו של הנאשם, באופן שיש לכבד את ההסדר.</w:t>
      </w:r>
    </w:p>
    <w:p w14:paraId="1D3A08FC" w14:textId="77777777" w:rsidR="00E07897" w:rsidRDefault="00E07897">
      <w:pPr>
        <w:spacing w:line="360" w:lineRule="auto"/>
        <w:ind w:left="720"/>
        <w:jc w:val="both"/>
        <w:rPr>
          <w:sz w:val="28"/>
          <w:szCs w:val="28"/>
          <w:rtl/>
        </w:rPr>
      </w:pPr>
    </w:p>
    <w:p w14:paraId="56775EA6" w14:textId="77777777" w:rsidR="00E07897" w:rsidRDefault="00250812">
      <w:pPr>
        <w:spacing w:line="360" w:lineRule="auto"/>
        <w:ind w:left="720" w:hanging="720"/>
        <w:jc w:val="both"/>
        <w:rPr>
          <w:sz w:val="28"/>
          <w:szCs w:val="28"/>
          <w:rtl/>
        </w:rPr>
      </w:pPr>
      <w:hyperlink r:id="rId19" w:history="1">
        <w:r w:rsidRPr="00250812">
          <w:rPr>
            <w:rStyle w:val="Hyperlink"/>
            <w:b/>
            <w:bCs/>
            <w:sz w:val="28"/>
            <w:szCs w:val="28"/>
            <w:rtl/>
          </w:rPr>
          <w:t>ת"פ 43128-10-10</w:t>
        </w:r>
        <w:r w:rsidRPr="00250812">
          <w:rPr>
            <w:rStyle w:val="Hyperlink"/>
            <w:b/>
            <w:bCs/>
            <w:sz w:val="28"/>
            <w:szCs w:val="28"/>
            <w:rtl/>
          </w:rPr>
          <w:cr/>
        </w:r>
      </w:hyperlink>
      <w:r w:rsidR="00414DC0">
        <w:rPr>
          <w:rFonts w:hint="cs"/>
          <w:sz w:val="28"/>
          <w:szCs w:val="28"/>
          <w:rtl/>
        </w:rPr>
        <w:t>5.</w:t>
      </w:r>
      <w:r w:rsidR="00414DC0">
        <w:rPr>
          <w:rFonts w:hint="cs"/>
          <w:sz w:val="28"/>
          <w:szCs w:val="28"/>
          <w:rtl/>
        </w:rPr>
        <w:tab/>
        <w:t xml:space="preserve">הנאשם הודה כי החזיק סמים מסוג הרואין בכמות גדולה של 23.9 גרם, בעת ששהה בתנאי מעצר בבית הכלא. </w:t>
      </w:r>
    </w:p>
    <w:p w14:paraId="3C76DB80" w14:textId="77777777" w:rsidR="00E07897" w:rsidRDefault="00414DC0">
      <w:pPr>
        <w:spacing w:line="360" w:lineRule="auto"/>
        <w:ind w:left="720" w:hanging="720"/>
        <w:jc w:val="both"/>
        <w:rPr>
          <w:sz w:val="28"/>
          <w:szCs w:val="28"/>
          <w:rtl/>
        </w:rPr>
      </w:pPr>
      <w:r>
        <w:rPr>
          <w:rFonts w:hint="cs"/>
          <w:sz w:val="28"/>
          <w:szCs w:val="28"/>
          <w:rtl/>
        </w:rPr>
        <w:tab/>
        <w:t xml:space="preserve">לטענת המאשימה מדובר בעבירה חמורה הטומנת בחובה פוטנציאל להגברת </w:t>
      </w:r>
      <w:r>
        <w:rPr>
          <w:rFonts w:hint="cs"/>
          <w:sz w:val="28"/>
          <w:szCs w:val="28"/>
        </w:rPr>
        <w:t xml:space="preserve"> </w:t>
      </w:r>
      <w:r>
        <w:rPr>
          <w:rFonts w:hint="cs"/>
          <w:sz w:val="28"/>
          <w:szCs w:val="28"/>
          <w:rtl/>
        </w:rPr>
        <w:t>האלימות בתוך הכלא, ומקשה על השלטונות שם לנהל חיי יומיום סבירים, כאשר סוג זה של סם הוא בעל מדרג של חומרה גבוה.</w:t>
      </w:r>
    </w:p>
    <w:p w14:paraId="36CF8522" w14:textId="77777777" w:rsidR="00E07897" w:rsidRDefault="00414DC0">
      <w:pPr>
        <w:spacing w:line="360" w:lineRule="auto"/>
        <w:ind w:left="720"/>
        <w:jc w:val="both"/>
        <w:rPr>
          <w:sz w:val="28"/>
          <w:szCs w:val="28"/>
          <w:rtl/>
        </w:rPr>
      </w:pPr>
      <w:r>
        <w:rPr>
          <w:rFonts w:hint="cs"/>
          <w:sz w:val="28"/>
          <w:szCs w:val="28"/>
          <w:rtl/>
        </w:rPr>
        <w:lastRenderedPageBreak/>
        <w:t xml:space="preserve">לטענת המאשימה, מתחם הענישה הראוי הינו עונש של מאסר בפועל שיכול לנוע בין מספר חודשי מאסר ועד ל-14 חודשים.  </w:t>
      </w:r>
    </w:p>
    <w:p w14:paraId="523335B4" w14:textId="77777777" w:rsidR="00E07897" w:rsidRDefault="00414DC0">
      <w:pPr>
        <w:spacing w:line="360" w:lineRule="auto"/>
        <w:ind w:left="720"/>
        <w:jc w:val="both"/>
        <w:rPr>
          <w:sz w:val="28"/>
          <w:szCs w:val="28"/>
          <w:rtl/>
        </w:rPr>
      </w:pPr>
      <w:r>
        <w:rPr>
          <w:rFonts w:hint="cs"/>
          <w:sz w:val="28"/>
          <w:szCs w:val="28"/>
          <w:rtl/>
        </w:rPr>
        <w:t>לטענת ב"כ המאשימה, עברו המכביד של הנאשם לצד טיב הסם ונסיבות החזקתו, מצדיקים הטלת מאסר ברף העליון של המתחם, בצירוף רכיבי ענישה נוספים, תוך שהפנה ל</w:t>
      </w:r>
      <w:hyperlink r:id="rId20" w:history="1">
        <w:r w:rsidR="00250812" w:rsidRPr="00250812">
          <w:rPr>
            <w:rStyle w:val="Hyperlink"/>
            <w:sz w:val="28"/>
            <w:szCs w:val="28"/>
            <w:rtl/>
          </w:rPr>
          <w:t>ת"פ 9825-01-09</w:t>
        </w:r>
      </w:hyperlink>
      <w:r>
        <w:rPr>
          <w:rFonts w:hint="cs"/>
          <w:sz w:val="28"/>
          <w:szCs w:val="28"/>
          <w:rtl/>
        </w:rPr>
        <w:t xml:space="preserve"> (בית משפט השלום בנצרת), הכולל הפניות לפסיקה נוספת, המדברת על החומרה בה רואים בתי המשפט עבירות של החזקת סם בין כתלי הכלא, ועל הטלת</w:t>
      </w:r>
      <w:r>
        <w:rPr>
          <w:rFonts w:hint="cs"/>
          <w:sz w:val="28"/>
          <w:szCs w:val="28"/>
        </w:rPr>
        <w:t xml:space="preserve"> </w:t>
      </w:r>
      <w:r>
        <w:rPr>
          <w:rFonts w:hint="cs"/>
          <w:sz w:val="28"/>
          <w:szCs w:val="28"/>
          <w:rtl/>
        </w:rPr>
        <w:t xml:space="preserve">עונשי מאסר בפועל לתקופות של מספר חודשים לא מבוטל. </w:t>
      </w:r>
    </w:p>
    <w:p w14:paraId="11A017C1" w14:textId="77777777" w:rsidR="00E07897" w:rsidRDefault="00E07897">
      <w:pPr>
        <w:spacing w:line="360" w:lineRule="auto"/>
        <w:jc w:val="both"/>
        <w:rPr>
          <w:sz w:val="28"/>
          <w:szCs w:val="28"/>
          <w:rtl/>
        </w:rPr>
      </w:pPr>
    </w:p>
    <w:p w14:paraId="45BC0707" w14:textId="77777777" w:rsidR="00E07897" w:rsidRDefault="00414DC0">
      <w:pPr>
        <w:spacing w:line="360" w:lineRule="auto"/>
        <w:ind w:left="720" w:hanging="720"/>
        <w:jc w:val="both"/>
        <w:rPr>
          <w:sz w:val="28"/>
          <w:szCs w:val="28"/>
          <w:rtl/>
        </w:rPr>
      </w:pPr>
      <w:r>
        <w:rPr>
          <w:rFonts w:hint="cs"/>
          <w:sz w:val="28"/>
          <w:szCs w:val="28"/>
          <w:rtl/>
        </w:rPr>
        <w:t>6.</w:t>
      </w:r>
      <w:r>
        <w:rPr>
          <w:rFonts w:hint="cs"/>
          <w:sz w:val="28"/>
          <w:szCs w:val="28"/>
          <w:rtl/>
        </w:rPr>
        <w:tab/>
        <w:t xml:space="preserve">מנגד טען הסניגור, כי יש לבחון את מכלול הנסיבות, ובהן השיהוי בהגשת כתב האישום, המלמד שהתביעה לא סברה שמדובר במעשה חמור,  מה גם שהמסוכנות שבסם היא לנאשם עצמו ולא לאחרים. </w:t>
      </w:r>
    </w:p>
    <w:p w14:paraId="59666F0F" w14:textId="77777777" w:rsidR="00E07897" w:rsidRDefault="00414DC0">
      <w:pPr>
        <w:spacing w:line="360" w:lineRule="auto"/>
        <w:ind w:left="720" w:hanging="720"/>
        <w:jc w:val="both"/>
        <w:rPr>
          <w:sz w:val="28"/>
          <w:szCs w:val="28"/>
          <w:rtl/>
        </w:rPr>
      </w:pPr>
      <w:r>
        <w:rPr>
          <w:rFonts w:hint="cs"/>
          <w:sz w:val="28"/>
          <w:szCs w:val="28"/>
          <w:rtl/>
        </w:rPr>
        <w:tab/>
        <w:t>הסניגור טען כי מתחם הענישה צריך להיות נמוך יותר, והוא יכול לנוע בין מאסר על תנאי ועד מאסר שירוצה בעבודות שירות, תוך שהציג פסיקה התומכת בטענותיו (</w:t>
      </w:r>
      <w:r w:rsidRPr="008D5A5F">
        <w:rPr>
          <w:color w:val="000000"/>
          <w:sz w:val="28"/>
          <w:szCs w:val="28"/>
          <w:rtl/>
        </w:rPr>
        <w:t>ת"פ 4105/05</w:t>
      </w:r>
      <w:r>
        <w:rPr>
          <w:rFonts w:hint="cs"/>
          <w:sz w:val="28"/>
          <w:szCs w:val="28"/>
          <w:rtl/>
        </w:rPr>
        <w:t xml:space="preserve"> (שלום באר שבע); </w:t>
      </w:r>
      <w:hyperlink r:id="rId21" w:history="1">
        <w:r w:rsidR="00250812" w:rsidRPr="00250812">
          <w:rPr>
            <w:rStyle w:val="Hyperlink"/>
            <w:sz w:val="28"/>
            <w:szCs w:val="28"/>
            <w:rtl/>
          </w:rPr>
          <w:t>ת"פ 63020-10-10</w:t>
        </w:r>
      </w:hyperlink>
      <w:r>
        <w:rPr>
          <w:rFonts w:hint="cs"/>
          <w:sz w:val="28"/>
          <w:szCs w:val="28"/>
          <w:rtl/>
        </w:rPr>
        <w:t xml:space="preserve">, </w:t>
      </w:r>
      <w:hyperlink r:id="rId22" w:history="1">
        <w:r w:rsidR="00250812" w:rsidRPr="00250812">
          <w:rPr>
            <w:rStyle w:val="Hyperlink"/>
            <w:sz w:val="28"/>
            <w:szCs w:val="28"/>
            <w:rtl/>
          </w:rPr>
          <w:t>ת"פ 7856/08</w:t>
        </w:r>
      </w:hyperlink>
      <w:r>
        <w:rPr>
          <w:rFonts w:hint="cs"/>
          <w:sz w:val="28"/>
          <w:szCs w:val="28"/>
          <w:rtl/>
        </w:rPr>
        <w:t xml:space="preserve"> (שלום תל אביב)).</w:t>
      </w:r>
    </w:p>
    <w:p w14:paraId="49BF7248" w14:textId="77777777" w:rsidR="00E07897" w:rsidRDefault="00E07897">
      <w:pPr>
        <w:spacing w:line="360" w:lineRule="auto"/>
        <w:ind w:left="720" w:hanging="720"/>
        <w:jc w:val="both"/>
        <w:rPr>
          <w:sz w:val="28"/>
          <w:szCs w:val="28"/>
          <w:rtl/>
        </w:rPr>
      </w:pPr>
    </w:p>
    <w:p w14:paraId="50901A35" w14:textId="77777777" w:rsidR="00E07897" w:rsidRDefault="00414DC0">
      <w:pPr>
        <w:spacing w:line="360" w:lineRule="auto"/>
        <w:ind w:left="720" w:hanging="720"/>
        <w:jc w:val="both"/>
        <w:rPr>
          <w:sz w:val="28"/>
          <w:szCs w:val="28"/>
          <w:rtl/>
        </w:rPr>
      </w:pPr>
      <w:r>
        <w:rPr>
          <w:rFonts w:hint="cs"/>
          <w:sz w:val="28"/>
          <w:szCs w:val="28"/>
          <w:rtl/>
        </w:rPr>
        <w:t>7.</w:t>
      </w:r>
      <w:r>
        <w:rPr>
          <w:rFonts w:hint="cs"/>
          <w:sz w:val="28"/>
          <w:szCs w:val="28"/>
          <w:rtl/>
        </w:rPr>
        <w:tab/>
        <w:t>בחנתי את טיעוני הצדדים, ויאמר כי הפסיקה שהגיש הסניגור אינה ממין העניין שכן היא עוסקת בהחזקת סם שלא בין כתלי הכלא, ולטעמי יש לכך משמעות רבה שכן החזקת הסמים מלבד המסוכנות הטבועה בהם, יש בה מסוכנות נוספת ואמיתית כשמדובר בהחזקה בין כתלי הכלא, בשל השימוש שיכול להיעשות בהם, והקושי של שלטונות הכלא להתמודד עם התוצאות הנילוות לעבירה זו.</w:t>
      </w:r>
    </w:p>
    <w:p w14:paraId="434A4C3B" w14:textId="77777777" w:rsidR="00E07897" w:rsidRDefault="00E07897">
      <w:pPr>
        <w:spacing w:line="360" w:lineRule="auto"/>
        <w:ind w:left="720" w:hanging="720"/>
        <w:jc w:val="both"/>
        <w:rPr>
          <w:sz w:val="28"/>
          <w:szCs w:val="28"/>
          <w:rtl/>
        </w:rPr>
      </w:pPr>
    </w:p>
    <w:p w14:paraId="145B3945" w14:textId="77777777" w:rsidR="00E07897" w:rsidRDefault="00414DC0">
      <w:pPr>
        <w:spacing w:line="360" w:lineRule="auto"/>
        <w:ind w:left="720" w:hanging="720"/>
        <w:jc w:val="both"/>
        <w:rPr>
          <w:sz w:val="28"/>
          <w:szCs w:val="28"/>
          <w:rtl/>
        </w:rPr>
      </w:pPr>
      <w:r>
        <w:rPr>
          <w:rFonts w:hint="cs"/>
          <w:sz w:val="28"/>
          <w:szCs w:val="28"/>
          <w:rtl/>
        </w:rPr>
        <w:tab/>
        <w:t xml:space="preserve">בבחינת הפסיקה עולה כי אכן קיימת התייחסות מחמירה של בתי המשפט למי שנתפס מחזיק סמים בכלא, כאשר גם לטיב הסם ולכמות יש משמעות. </w:t>
      </w:r>
    </w:p>
    <w:p w14:paraId="0AB0CAA3" w14:textId="77777777" w:rsidR="00E07897" w:rsidRDefault="00E07897">
      <w:pPr>
        <w:spacing w:line="360" w:lineRule="auto"/>
        <w:ind w:left="720"/>
        <w:jc w:val="both"/>
        <w:rPr>
          <w:sz w:val="28"/>
          <w:szCs w:val="28"/>
          <w:rtl/>
        </w:rPr>
      </w:pPr>
    </w:p>
    <w:p w14:paraId="3B5A7607" w14:textId="77777777" w:rsidR="00E07897" w:rsidRDefault="00414DC0">
      <w:pPr>
        <w:spacing w:line="360" w:lineRule="auto"/>
        <w:ind w:left="720"/>
        <w:jc w:val="both"/>
        <w:rPr>
          <w:sz w:val="28"/>
          <w:szCs w:val="28"/>
          <w:rtl/>
        </w:rPr>
      </w:pPr>
      <w:r>
        <w:rPr>
          <w:rFonts w:hint="cs"/>
          <w:sz w:val="28"/>
          <w:szCs w:val="28"/>
          <w:rtl/>
        </w:rPr>
        <w:t>ב</w:t>
      </w:r>
      <w:hyperlink r:id="rId23" w:history="1">
        <w:r w:rsidR="00250812" w:rsidRPr="00250812">
          <w:rPr>
            <w:rStyle w:val="Hyperlink"/>
            <w:sz w:val="28"/>
            <w:szCs w:val="28"/>
            <w:rtl/>
          </w:rPr>
          <w:t>עפ"א 159/09</w:t>
        </w:r>
      </w:hyperlink>
      <w:r>
        <w:rPr>
          <w:rFonts w:hint="cs"/>
          <w:sz w:val="28"/>
          <w:szCs w:val="28"/>
          <w:rtl/>
        </w:rPr>
        <w:t xml:space="preserve"> (נצרת), הותיר בית המשפט המחוזי על כנו עונש מאסר בפועל בן שמונה חודשים, שנגזר על מערער אשר הורשע בעבירה של החזקת סם מסוג הירואין לצריכה עצמית במשקל 0.202 בהיותו בתוך הכלא; </w:t>
      </w:r>
    </w:p>
    <w:p w14:paraId="186EC7D5" w14:textId="77777777" w:rsidR="00E07897" w:rsidRDefault="00414DC0">
      <w:pPr>
        <w:spacing w:line="360" w:lineRule="auto"/>
        <w:ind w:left="720"/>
        <w:jc w:val="both"/>
        <w:rPr>
          <w:sz w:val="28"/>
          <w:szCs w:val="28"/>
          <w:rtl/>
        </w:rPr>
      </w:pPr>
      <w:r>
        <w:rPr>
          <w:rFonts w:hint="cs"/>
          <w:sz w:val="28"/>
          <w:szCs w:val="28"/>
          <w:rtl/>
        </w:rPr>
        <w:t>ב</w:t>
      </w:r>
      <w:r w:rsidRPr="008D5A5F">
        <w:rPr>
          <w:color w:val="000000"/>
          <w:sz w:val="28"/>
          <w:szCs w:val="28"/>
          <w:rtl/>
        </w:rPr>
        <w:t>עפ"א 279/09</w:t>
      </w:r>
      <w:r>
        <w:rPr>
          <w:rFonts w:hint="cs"/>
          <w:sz w:val="28"/>
          <w:szCs w:val="28"/>
          <w:rtl/>
        </w:rPr>
        <w:t xml:space="preserve"> (נצרת) דחה בית המשפט המחוזי את ערעורו של נאשם שהורשע בהחזקת סם מסוג הירואין לצריכה עצמית במשקל 0.4997, בהיותו אסיר בכלא, ונגזר עליו עונש מאסר בפועל בן 10 חודשים;  </w:t>
      </w:r>
    </w:p>
    <w:p w14:paraId="6CF4EF52" w14:textId="77777777" w:rsidR="00E07897" w:rsidRDefault="00414DC0">
      <w:pPr>
        <w:spacing w:line="360" w:lineRule="auto"/>
        <w:ind w:left="720"/>
        <w:jc w:val="both"/>
        <w:rPr>
          <w:sz w:val="28"/>
          <w:szCs w:val="28"/>
          <w:rtl/>
        </w:rPr>
      </w:pPr>
      <w:r>
        <w:rPr>
          <w:rFonts w:hint="cs"/>
          <w:sz w:val="28"/>
          <w:szCs w:val="28"/>
          <w:rtl/>
        </w:rPr>
        <w:t>ב</w:t>
      </w:r>
      <w:hyperlink r:id="rId24" w:history="1">
        <w:r w:rsidR="00250812" w:rsidRPr="00250812">
          <w:rPr>
            <w:rStyle w:val="Hyperlink"/>
            <w:sz w:val="28"/>
            <w:szCs w:val="28"/>
            <w:rtl/>
          </w:rPr>
          <w:t>ת"פ 54451-06-12</w:t>
        </w:r>
      </w:hyperlink>
      <w:r>
        <w:rPr>
          <w:rFonts w:hint="cs"/>
          <w:sz w:val="28"/>
          <w:szCs w:val="28"/>
          <w:rtl/>
        </w:rPr>
        <w:t xml:space="preserve"> במסגרת הסדר טיעון נגזרו על הנאשם שהודה בהחזקת סם מסוג חשיש במשקל 16.01 גרם בכלא, 10 חודשי מאסר בפועל, שחלקם חופפפים למאסר אותו הוא מרצה.</w:t>
      </w:r>
    </w:p>
    <w:p w14:paraId="0B8E1ECB" w14:textId="77777777" w:rsidR="00E07897" w:rsidRDefault="00414DC0">
      <w:pPr>
        <w:spacing w:line="360" w:lineRule="auto"/>
        <w:ind w:left="720" w:hanging="720"/>
        <w:jc w:val="both"/>
        <w:rPr>
          <w:sz w:val="28"/>
          <w:szCs w:val="28"/>
          <w:rtl/>
        </w:rPr>
      </w:pPr>
      <w:r>
        <w:rPr>
          <w:rFonts w:hint="cs"/>
          <w:sz w:val="28"/>
          <w:szCs w:val="28"/>
          <w:rtl/>
        </w:rPr>
        <w:tab/>
        <w:t>לטעמי, בנסיבות אלו, מתחם הענישה ההולם לעבירה זו הוא בין מאסר בפועל לתקופה קצרה ועד למאסר בן 12 חודשים.</w:t>
      </w:r>
    </w:p>
    <w:p w14:paraId="66400AEA" w14:textId="77777777" w:rsidR="00E07897" w:rsidRDefault="00E07897">
      <w:pPr>
        <w:spacing w:line="360" w:lineRule="auto"/>
        <w:ind w:left="720" w:hanging="720"/>
        <w:jc w:val="both"/>
        <w:rPr>
          <w:sz w:val="28"/>
          <w:szCs w:val="28"/>
          <w:rtl/>
        </w:rPr>
      </w:pPr>
    </w:p>
    <w:p w14:paraId="41EFA38D" w14:textId="77777777" w:rsidR="00E07897" w:rsidRDefault="00414DC0">
      <w:pPr>
        <w:spacing w:line="360" w:lineRule="auto"/>
        <w:ind w:left="720" w:hanging="720"/>
        <w:jc w:val="both"/>
        <w:rPr>
          <w:sz w:val="28"/>
          <w:szCs w:val="28"/>
          <w:rtl/>
        </w:rPr>
      </w:pPr>
      <w:r>
        <w:rPr>
          <w:rFonts w:hint="cs"/>
          <w:sz w:val="28"/>
          <w:szCs w:val="28"/>
          <w:rtl/>
        </w:rPr>
        <w:t>8.</w:t>
      </w:r>
      <w:r>
        <w:rPr>
          <w:rFonts w:hint="cs"/>
          <w:sz w:val="28"/>
          <w:szCs w:val="28"/>
          <w:rtl/>
        </w:rPr>
        <w:tab/>
        <w:t xml:space="preserve">הנאשם, יליד 1980, בעל עבר פלילי מכביד בעבירות מגוונות הכוללות סמים, רכוש, אלימות, החזקת סכין, עבירות רכב ואחרות, בגינן אף ריצה מאסרים בפועל לתקופות ממושכות, ותלויים ועומדים כנגדו מאסרים על תנאי – לא בעבירות סמים, ונראה כי הדרך בה בחר לנהל את חייו אינה דרך הישר. </w:t>
      </w:r>
    </w:p>
    <w:p w14:paraId="21622B52" w14:textId="77777777" w:rsidR="00E07897" w:rsidRDefault="00E07897">
      <w:pPr>
        <w:spacing w:line="360" w:lineRule="auto"/>
        <w:ind w:left="720" w:hanging="720"/>
        <w:jc w:val="both"/>
        <w:rPr>
          <w:sz w:val="28"/>
          <w:szCs w:val="28"/>
          <w:rtl/>
        </w:rPr>
      </w:pPr>
    </w:p>
    <w:p w14:paraId="4E24AD20" w14:textId="77777777" w:rsidR="00E07897" w:rsidRDefault="00414DC0">
      <w:pPr>
        <w:spacing w:line="360" w:lineRule="auto"/>
        <w:ind w:left="720" w:hanging="720"/>
        <w:jc w:val="both"/>
        <w:rPr>
          <w:sz w:val="28"/>
          <w:szCs w:val="28"/>
          <w:rtl/>
        </w:rPr>
      </w:pPr>
      <w:r>
        <w:rPr>
          <w:rFonts w:hint="cs"/>
          <w:sz w:val="28"/>
          <w:szCs w:val="28"/>
          <w:rtl/>
        </w:rPr>
        <w:tab/>
        <w:t xml:space="preserve">הסניגור טען כי אין לנאשם עבר בעבירות סמים, כי חלף זמן מאז ביצוע העבירה, וכיום אין הוא צורך הרואין אלא מטופל באופן קבוע בתחליפי סם. ואכן, חלף זמן מאז בוצעה העבירה ועד להגשת כתב האישום, אולם אין מדובר בפרק זמן ובשיהוי בלתי סביר, ולדעתי אין הדבר מפחית מטיבה ומחומרתה של העבירה. </w:t>
      </w:r>
    </w:p>
    <w:p w14:paraId="70127146" w14:textId="77777777" w:rsidR="00E07897" w:rsidRDefault="00414DC0">
      <w:pPr>
        <w:spacing w:line="360" w:lineRule="auto"/>
        <w:ind w:left="720" w:hanging="720"/>
        <w:jc w:val="both"/>
        <w:rPr>
          <w:sz w:val="28"/>
          <w:szCs w:val="28"/>
          <w:rtl/>
        </w:rPr>
      </w:pPr>
      <w:r>
        <w:rPr>
          <w:rFonts w:hint="cs"/>
          <w:sz w:val="28"/>
          <w:szCs w:val="28"/>
          <w:rtl/>
        </w:rPr>
        <w:tab/>
        <w:t xml:space="preserve">לצד החומרה, יש להביא בחשבון את הודיית הנאשם ולקיחת האחריות, תיקון כתב האישום לקולא וחסכון בזמן שיפוטי יקר. </w:t>
      </w:r>
    </w:p>
    <w:p w14:paraId="0E9083AB" w14:textId="77777777" w:rsidR="00E07897" w:rsidRDefault="00414DC0">
      <w:pPr>
        <w:spacing w:line="360" w:lineRule="auto"/>
        <w:ind w:left="720" w:hanging="720"/>
        <w:jc w:val="both"/>
        <w:rPr>
          <w:sz w:val="28"/>
          <w:szCs w:val="28"/>
          <w:rtl/>
        </w:rPr>
      </w:pPr>
      <w:r>
        <w:rPr>
          <w:rFonts w:hint="cs"/>
          <w:sz w:val="28"/>
          <w:szCs w:val="28"/>
          <w:rtl/>
        </w:rPr>
        <w:tab/>
        <w:t xml:space="preserve">לא הובאו ראיות ממשיות לעניין צריכת הסמים הנוכחית, ולא ניתן לראות בכך משום שיקולי שיקום שיש להם השפעה על הענישה. </w:t>
      </w:r>
    </w:p>
    <w:p w14:paraId="5917E6B3" w14:textId="77777777" w:rsidR="00E07897" w:rsidRDefault="00414DC0">
      <w:pPr>
        <w:spacing w:line="360" w:lineRule="auto"/>
        <w:ind w:left="720" w:hanging="720"/>
        <w:jc w:val="both"/>
        <w:rPr>
          <w:sz w:val="28"/>
          <w:szCs w:val="28"/>
          <w:rtl/>
        </w:rPr>
      </w:pPr>
      <w:r>
        <w:rPr>
          <w:rFonts w:hint="cs"/>
          <w:sz w:val="28"/>
          <w:szCs w:val="28"/>
          <w:rtl/>
        </w:rPr>
        <w:tab/>
        <w:t xml:space="preserve">עוד יש לציין, כי הנאשם נמצא בתנאי מעצר מזה מספר חודשים, מאז נתפס בגין עבירת הפריצה לרכב נשוא התיק האחר שבפניי. </w:t>
      </w:r>
    </w:p>
    <w:p w14:paraId="04FA47FC" w14:textId="77777777" w:rsidR="00E07897" w:rsidRDefault="00E07897">
      <w:pPr>
        <w:spacing w:line="360" w:lineRule="auto"/>
        <w:ind w:left="720" w:hanging="720"/>
        <w:jc w:val="both"/>
        <w:rPr>
          <w:sz w:val="28"/>
          <w:szCs w:val="28"/>
          <w:rtl/>
        </w:rPr>
      </w:pPr>
    </w:p>
    <w:p w14:paraId="10A831B1" w14:textId="77777777" w:rsidR="00E07897" w:rsidRDefault="00414DC0">
      <w:pPr>
        <w:spacing w:line="360" w:lineRule="auto"/>
        <w:ind w:left="720" w:hanging="720"/>
        <w:jc w:val="both"/>
        <w:rPr>
          <w:sz w:val="28"/>
          <w:szCs w:val="28"/>
          <w:rtl/>
        </w:rPr>
      </w:pPr>
      <w:r>
        <w:rPr>
          <w:rFonts w:hint="cs"/>
          <w:sz w:val="28"/>
          <w:szCs w:val="28"/>
          <w:rtl/>
        </w:rPr>
        <w:t>9.</w:t>
      </w:r>
      <w:r>
        <w:rPr>
          <w:rFonts w:hint="cs"/>
          <w:sz w:val="28"/>
          <w:szCs w:val="28"/>
          <w:rtl/>
        </w:rPr>
        <w:tab/>
        <w:t>לאחר שקלול כלל הגורמים שציינתי לרבות טיבן של העבירות ונסיבותיו האישיות של הנאשם, לצד הצורך בענישה מרתיעה שתהווה מסר הן לו עצמו והן לאחרים, בהתחשב בהסדר אליו הגיע הנאשם עם המאשימה ובענישה הנדרשת בעבירת הסם, אני גוזרת עליו את העונשים הבאים:</w:t>
      </w:r>
    </w:p>
    <w:p w14:paraId="1F870E0C" w14:textId="77777777" w:rsidR="00E07897" w:rsidRDefault="00414DC0">
      <w:pPr>
        <w:spacing w:line="360" w:lineRule="auto"/>
        <w:jc w:val="both"/>
        <w:rPr>
          <w:b/>
          <w:bCs/>
          <w:sz w:val="28"/>
          <w:szCs w:val="28"/>
          <w:rtl/>
        </w:rPr>
      </w:pPr>
      <w:r>
        <w:rPr>
          <w:rFonts w:hint="cs"/>
          <w:b/>
          <w:bCs/>
          <w:sz w:val="28"/>
          <w:szCs w:val="28"/>
          <w:rtl/>
        </w:rPr>
        <w:tab/>
      </w:r>
    </w:p>
    <w:p w14:paraId="1B32A56C" w14:textId="77777777" w:rsidR="00E07897" w:rsidRDefault="00414DC0">
      <w:pPr>
        <w:spacing w:line="360" w:lineRule="auto"/>
        <w:ind w:left="720" w:hanging="720"/>
        <w:jc w:val="both"/>
        <w:rPr>
          <w:sz w:val="28"/>
          <w:szCs w:val="28"/>
          <w:rtl/>
        </w:rPr>
      </w:pPr>
      <w:r>
        <w:rPr>
          <w:rFonts w:hint="cs"/>
          <w:b/>
          <w:bCs/>
          <w:sz w:val="28"/>
          <w:szCs w:val="28"/>
          <w:u w:val="single"/>
          <w:rtl/>
        </w:rPr>
        <w:t>ב</w:t>
      </w:r>
      <w:hyperlink r:id="rId25" w:history="1">
        <w:r w:rsidR="00250812" w:rsidRPr="00250812">
          <w:rPr>
            <w:b/>
            <w:bCs/>
            <w:color w:val="0000FF"/>
            <w:sz w:val="28"/>
            <w:szCs w:val="28"/>
            <w:u w:val="single"/>
            <w:rtl/>
          </w:rPr>
          <w:t>ת"פ 42673-04-12</w:t>
        </w:r>
        <w:r w:rsidR="00250812" w:rsidRPr="00250812">
          <w:rPr>
            <w:b/>
            <w:bCs/>
            <w:color w:val="0000FF"/>
            <w:sz w:val="28"/>
            <w:szCs w:val="28"/>
            <w:u w:val="single"/>
            <w:rtl/>
          </w:rPr>
          <w:cr/>
        </w:r>
      </w:hyperlink>
      <w:r>
        <w:rPr>
          <w:rFonts w:hint="cs"/>
          <w:sz w:val="28"/>
          <w:szCs w:val="28"/>
          <w:rtl/>
        </w:rPr>
        <w:tab/>
        <w:t>א.</w:t>
      </w:r>
      <w:r>
        <w:rPr>
          <w:rFonts w:hint="cs"/>
          <w:sz w:val="28"/>
          <w:szCs w:val="28"/>
          <w:rtl/>
        </w:rPr>
        <w:tab/>
        <w:t>10 חודשי מאסר בפועל;</w:t>
      </w:r>
    </w:p>
    <w:p w14:paraId="0100E985" w14:textId="77777777" w:rsidR="00E07897" w:rsidRDefault="00414DC0">
      <w:pPr>
        <w:spacing w:line="360" w:lineRule="auto"/>
        <w:ind w:left="1440" w:hanging="720"/>
        <w:jc w:val="both"/>
        <w:rPr>
          <w:sz w:val="28"/>
          <w:szCs w:val="28"/>
          <w:rtl/>
        </w:rPr>
      </w:pPr>
      <w:r>
        <w:rPr>
          <w:rFonts w:hint="cs"/>
          <w:sz w:val="28"/>
          <w:szCs w:val="28"/>
          <w:rtl/>
        </w:rPr>
        <w:t>ב.</w:t>
      </w:r>
      <w:r>
        <w:rPr>
          <w:rFonts w:hint="cs"/>
          <w:sz w:val="28"/>
          <w:szCs w:val="28"/>
          <w:rtl/>
        </w:rPr>
        <w:tab/>
        <w:t>אני מפעילה את המאסרים המותנים שהוטלו על הנאשם ב</w:t>
      </w:r>
      <w:r w:rsidRPr="008D5A5F">
        <w:rPr>
          <w:color w:val="000000"/>
          <w:sz w:val="28"/>
          <w:szCs w:val="28"/>
          <w:rtl/>
        </w:rPr>
        <w:t>ת"פ 2042/09</w:t>
      </w:r>
      <w:r>
        <w:rPr>
          <w:rFonts w:hint="cs"/>
          <w:sz w:val="28"/>
          <w:szCs w:val="28"/>
          <w:rtl/>
        </w:rPr>
        <w:t xml:space="preserve"> (שלום כפר סבא) לתקופה של תשעה חודשים,  ובצירוף תיקים ב</w:t>
      </w:r>
      <w:r w:rsidRPr="008D5A5F">
        <w:rPr>
          <w:color w:val="000000"/>
          <w:sz w:val="28"/>
          <w:szCs w:val="28"/>
          <w:rtl/>
        </w:rPr>
        <w:t>ת"פ 2560/08</w:t>
      </w:r>
      <w:r>
        <w:rPr>
          <w:rFonts w:hint="cs"/>
          <w:sz w:val="28"/>
          <w:szCs w:val="28"/>
          <w:rtl/>
        </w:rPr>
        <w:t xml:space="preserve"> (שלום כפר סבא), לששה חודשים. </w:t>
      </w:r>
    </w:p>
    <w:p w14:paraId="1B0B3928" w14:textId="77777777" w:rsidR="00E07897" w:rsidRDefault="00414DC0">
      <w:pPr>
        <w:spacing w:line="360" w:lineRule="auto"/>
        <w:ind w:left="1440" w:hanging="720"/>
        <w:jc w:val="both"/>
        <w:rPr>
          <w:sz w:val="28"/>
          <w:szCs w:val="28"/>
          <w:rtl/>
        </w:rPr>
      </w:pPr>
      <w:r>
        <w:rPr>
          <w:rFonts w:hint="cs"/>
          <w:sz w:val="28"/>
          <w:szCs w:val="28"/>
          <w:rtl/>
        </w:rPr>
        <w:tab/>
        <w:t>העונשים ירוצו בחופף ובמצטבר, ובסך הכל ירצה הנאשם 16 חודשי מאסר בפועל.</w:t>
      </w:r>
    </w:p>
    <w:p w14:paraId="189C82F6" w14:textId="77777777" w:rsidR="00E07897" w:rsidRDefault="00414DC0">
      <w:pPr>
        <w:spacing w:line="360" w:lineRule="auto"/>
        <w:ind w:left="1440" w:hanging="720"/>
        <w:jc w:val="both"/>
        <w:rPr>
          <w:sz w:val="28"/>
          <w:szCs w:val="28"/>
          <w:rtl/>
        </w:rPr>
      </w:pPr>
      <w:r>
        <w:rPr>
          <w:rFonts w:hint="cs"/>
          <w:sz w:val="28"/>
          <w:szCs w:val="28"/>
          <w:rtl/>
        </w:rPr>
        <w:tab/>
        <w:t>תקופת המאסר תחושב מיום 21.4.12.</w:t>
      </w:r>
    </w:p>
    <w:p w14:paraId="4758C4A9" w14:textId="77777777" w:rsidR="00E07897" w:rsidRDefault="00E07897">
      <w:pPr>
        <w:spacing w:line="360" w:lineRule="auto"/>
        <w:ind w:left="1440" w:hanging="720"/>
        <w:jc w:val="both"/>
        <w:rPr>
          <w:sz w:val="28"/>
          <w:szCs w:val="28"/>
          <w:rtl/>
        </w:rPr>
      </w:pPr>
    </w:p>
    <w:p w14:paraId="337D6CD0" w14:textId="77777777" w:rsidR="00E07897" w:rsidRDefault="00414DC0">
      <w:pPr>
        <w:spacing w:line="360" w:lineRule="auto"/>
        <w:ind w:left="1440" w:hanging="720"/>
        <w:jc w:val="both"/>
        <w:rPr>
          <w:sz w:val="28"/>
          <w:szCs w:val="28"/>
          <w:rtl/>
        </w:rPr>
      </w:pPr>
      <w:r>
        <w:rPr>
          <w:rFonts w:hint="cs"/>
          <w:sz w:val="28"/>
          <w:szCs w:val="28"/>
          <w:rtl/>
        </w:rPr>
        <w:t>ג.</w:t>
      </w:r>
      <w:r>
        <w:rPr>
          <w:rFonts w:hint="cs"/>
          <w:sz w:val="28"/>
          <w:szCs w:val="28"/>
          <w:rtl/>
        </w:rPr>
        <w:tab/>
        <w:t xml:space="preserve">עשרה חודשי מאסר על תנאי לתקופה של שלוש שנים,  והתנאי הוא שהנאשם לא יעבור כל עבירה כנגד רכב, על פי </w:t>
      </w:r>
      <w:hyperlink r:id="rId26" w:history="1">
        <w:r w:rsidR="00FF063F" w:rsidRPr="00FF063F">
          <w:rPr>
            <w:color w:val="0000FF"/>
            <w:sz w:val="28"/>
            <w:szCs w:val="28"/>
            <w:u w:val="single"/>
            <w:rtl/>
          </w:rPr>
          <w:t>סימן ה' 1 לפרק יא'</w:t>
        </w:r>
      </w:hyperlink>
      <w:r>
        <w:rPr>
          <w:rFonts w:hint="cs"/>
          <w:sz w:val="28"/>
          <w:szCs w:val="28"/>
          <w:rtl/>
        </w:rPr>
        <w:t xml:space="preserve"> ל</w:t>
      </w:r>
      <w:hyperlink r:id="rId27" w:history="1">
        <w:r w:rsidR="00250812" w:rsidRPr="00250812">
          <w:rPr>
            <w:rStyle w:val="Hyperlink"/>
            <w:sz w:val="28"/>
            <w:szCs w:val="28"/>
            <w:rtl/>
          </w:rPr>
          <w:t>חוק העונשין</w:t>
        </w:r>
      </w:hyperlink>
      <w:r>
        <w:rPr>
          <w:rFonts w:hint="cs"/>
          <w:sz w:val="28"/>
          <w:szCs w:val="28"/>
          <w:rtl/>
        </w:rPr>
        <w:t xml:space="preserve">, או כל עבירה כנגד רכוש, למעט על פי </w:t>
      </w:r>
      <w:hyperlink r:id="rId28" w:history="1">
        <w:r w:rsidR="00FF063F" w:rsidRPr="00FF063F">
          <w:rPr>
            <w:color w:val="0000FF"/>
            <w:sz w:val="28"/>
            <w:szCs w:val="28"/>
            <w:u w:val="single"/>
            <w:rtl/>
          </w:rPr>
          <w:t>סעיף 413</w:t>
        </w:r>
      </w:hyperlink>
      <w:r>
        <w:rPr>
          <w:rFonts w:hint="cs"/>
          <w:sz w:val="28"/>
          <w:szCs w:val="28"/>
          <w:rtl/>
        </w:rPr>
        <w:t xml:space="preserve"> לחוק העונשין.</w:t>
      </w:r>
    </w:p>
    <w:p w14:paraId="6DC42873" w14:textId="77777777" w:rsidR="00E07897" w:rsidRDefault="00E07897">
      <w:pPr>
        <w:spacing w:line="360" w:lineRule="auto"/>
        <w:ind w:left="1440" w:hanging="720"/>
        <w:jc w:val="both"/>
        <w:rPr>
          <w:sz w:val="28"/>
          <w:szCs w:val="28"/>
          <w:rtl/>
        </w:rPr>
      </w:pPr>
    </w:p>
    <w:p w14:paraId="1950A928" w14:textId="77777777" w:rsidR="00E07897" w:rsidRDefault="00250812">
      <w:pPr>
        <w:spacing w:line="360" w:lineRule="auto"/>
        <w:rPr>
          <w:sz w:val="28"/>
          <w:szCs w:val="28"/>
          <w:rtl/>
        </w:rPr>
      </w:pPr>
      <w:hyperlink r:id="rId29" w:history="1">
        <w:r w:rsidRPr="00250812">
          <w:rPr>
            <w:rStyle w:val="Hyperlink"/>
            <w:b/>
            <w:bCs/>
            <w:sz w:val="28"/>
            <w:szCs w:val="28"/>
            <w:rtl/>
          </w:rPr>
          <w:t>ת"פ 43128-10-10</w:t>
        </w:r>
        <w:r w:rsidRPr="00250812">
          <w:rPr>
            <w:rStyle w:val="Hyperlink"/>
            <w:b/>
            <w:bCs/>
            <w:sz w:val="28"/>
            <w:szCs w:val="28"/>
            <w:rtl/>
          </w:rPr>
          <w:cr/>
        </w:r>
      </w:hyperlink>
      <w:r w:rsidR="00414DC0">
        <w:rPr>
          <w:rFonts w:hint="cs"/>
          <w:sz w:val="28"/>
          <w:szCs w:val="28"/>
          <w:rtl/>
        </w:rPr>
        <w:tab/>
        <w:t>א.</w:t>
      </w:r>
      <w:r w:rsidR="00414DC0">
        <w:rPr>
          <w:rFonts w:hint="cs"/>
          <w:sz w:val="28"/>
          <w:szCs w:val="28"/>
          <w:rtl/>
        </w:rPr>
        <w:tab/>
        <w:t>10 חודשי מאסר בפועל;</w:t>
      </w:r>
    </w:p>
    <w:p w14:paraId="4676343B" w14:textId="77777777" w:rsidR="00E07897" w:rsidRDefault="00414DC0">
      <w:pPr>
        <w:spacing w:line="360" w:lineRule="auto"/>
        <w:ind w:left="1440"/>
        <w:rPr>
          <w:sz w:val="28"/>
          <w:szCs w:val="28"/>
          <w:rtl/>
        </w:rPr>
      </w:pPr>
      <w:r>
        <w:rPr>
          <w:rFonts w:hint="cs"/>
          <w:sz w:val="28"/>
          <w:szCs w:val="28"/>
          <w:rtl/>
        </w:rPr>
        <w:t xml:space="preserve">המאסר ירוצה בחופף ובמצטבר למאסר שהוטל בתיק לעיל, כך שבסך הכל ירצה הנאשם עונש של  24  חודשי מאסר בפועל. </w:t>
      </w:r>
    </w:p>
    <w:p w14:paraId="3FBE86F6" w14:textId="77777777" w:rsidR="00E07897" w:rsidRDefault="00414DC0">
      <w:pPr>
        <w:spacing w:line="360" w:lineRule="auto"/>
        <w:ind w:left="1440" w:hanging="720"/>
        <w:rPr>
          <w:sz w:val="28"/>
          <w:szCs w:val="28"/>
          <w:rtl/>
        </w:rPr>
      </w:pPr>
      <w:r>
        <w:rPr>
          <w:rFonts w:hint="cs"/>
          <w:sz w:val="28"/>
          <w:szCs w:val="28"/>
          <w:rtl/>
        </w:rPr>
        <w:t>ב.</w:t>
      </w:r>
      <w:r>
        <w:rPr>
          <w:rFonts w:hint="cs"/>
          <w:sz w:val="28"/>
          <w:szCs w:val="28"/>
          <w:rtl/>
        </w:rPr>
        <w:tab/>
        <w:t>ארבעה חודשי מאסר על תנאי לתקופה של שלוש שנים, והתנאי הוא שהנאשם לא יעבור את העבירה בה הורשע.</w:t>
      </w:r>
    </w:p>
    <w:p w14:paraId="0B4C68CE" w14:textId="77777777" w:rsidR="00E07897" w:rsidRDefault="00414DC0">
      <w:pPr>
        <w:spacing w:line="360" w:lineRule="auto"/>
        <w:ind w:left="1440" w:hanging="720"/>
        <w:rPr>
          <w:sz w:val="28"/>
          <w:szCs w:val="28"/>
          <w:rtl/>
        </w:rPr>
      </w:pPr>
      <w:r>
        <w:rPr>
          <w:rFonts w:hint="cs"/>
          <w:sz w:val="28"/>
          <w:szCs w:val="28"/>
          <w:rtl/>
        </w:rPr>
        <w:t>ג.</w:t>
      </w:r>
      <w:r>
        <w:rPr>
          <w:rFonts w:hint="cs"/>
          <w:sz w:val="28"/>
          <w:szCs w:val="28"/>
          <w:rtl/>
        </w:rPr>
        <w:tab/>
        <w:t xml:space="preserve">שבעה חודשי מאסר על תנאי לתקופה של שלוש שנים, והתנאי הוא שהנאשם לא יעבור כל עבירה אחרת על </w:t>
      </w:r>
      <w:hyperlink r:id="rId30" w:history="1">
        <w:r w:rsidR="00250812" w:rsidRPr="00250812">
          <w:rPr>
            <w:rStyle w:val="Hyperlink"/>
            <w:sz w:val="28"/>
            <w:szCs w:val="28"/>
            <w:rtl/>
          </w:rPr>
          <w:t>פקודת הסמים המסוכנים</w:t>
        </w:r>
      </w:hyperlink>
      <w:r>
        <w:rPr>
          <w:rFonts w:hint="cs"/>
          <w:sz w:val="28"/>
          <w:szCs w:val="28"/>
          <w:rtl/>
        </w:rPr>
        <w:t xml:space="preserve">. </w:t>
      </w:r>
    </w:p>
    <w:p w14:paraId="0D5D6DB9" w14:textId="77777777" w:rsidR="00E07897" w:rsidRDefault="00414DC0">
      <w:pPr>
        <w:spacing w:line="360" w:lineRule="auto"/>
        <w:ind w:left="1440" w:hanging="720"/>
        <w:rPr>
          <w:sz w:val="28"/>
          <w:szCs w:val="28"/>
          <w:rtl/>
        </w:rPr>
      </w:pPr>
      <w:r>
        <w:rPr>
          <w:rFonts w:hint="cs"/>
          <w:sz w:val="28"/>
          <w:szCs w:val="28"/>
          <w:rtl/>
        </w:rPr>
        <w:t>ד.</w:t>
      </w:r>
      <w:r>
        <w:rPr>
          <w:rFonts w:hint="cs"/>
          <w:sz w:val="28"/>
          <w:szCs w:val="28"/>
          <w:rtl/>
        </w:rPr>
        <w:tab/>
        <w:t>המוצגים נשוא רשימת במ/4 יושמדו לאחר חלוף מועד הערעור.</w:t>
      </w:r>
    </w:p>
    <w:p w14:paraId="5446FF3D" w14:textId="77777777" w:rsidR="00E07897" w:rsidRDefault="00414DC0">
      <w:pPr>
        <w:jc w:val="center"/>
        <w:rPr>
          <w:rFonts w:ascii="Arial" w:hAnsi="Arial"/>
          <w:rtl/>
        </w:rPr>
      </w:pPr>
      <w:r>
        <w:rPr>
          <w:rFonts w:ascii="Arial" w:hAnsi="Arial" w:hint="cs"/>
          <w:rtl/>
        </w:rPr>
        <w:t xml:space="preserve"> </w:t>
      </w:r>
    </w:p>
    <w:p w14:paraId="42BAA75E" w14:textId="77777777" w:rsidR="00E07897" w:rsidRDefault="00414DC0">
      <w:pPr>
        <w:ind w:firstLine="720"/>
        <w:rPr>
          <w:rFonts w:ascii="Arial" w:hAnsi="Arial"/>
          <w:b/>
          <w:bCs/>
          <w:sz w:val="28"/>
          <w:szCs w:val="28"/>
          <w:u w:val="single"/>
          <w:rtl/>
        </w:rPr>
      </w:pPr>
      <w:r>
        <w:rPr>
          <w:rFonts w:ascii="Arial" w:hAnsi="Arial" w:hint="cs"/>
          <w:b/>
          <w:bCs/>
          <w:sz w:val="28"/>
          <w:szCs w:val="28"/>
          <w:u w:val="single"/>
          <w:rtl/>
        </w:rPr>
        <w:t>זכות ערעור תוך 45 יום.</w:t>
      </w:r>
    </w:p>
    <w:p w14:paraId="0DB3A3AF" w14:textId="77777777" w:rsidR="00E07897" w:rsidRDefault="00E07897">
      <w:pPr>
        <w:jc w:val="center"/>
        <w:rPr>
          <w:rFonts w:ascii="Arial" w:hAnsi="Arial"/>
          <w:rtl/>
        </w:rPr>
      </w:pPr>
    </w:p>
    <w:p w14:paraId="3F9B1E95" w14:textId="77777777" w:rsidR="00E07897" w:rsidRDefault="00414DC0">
      <w:pPr>
        <w:jc w:val="center"/>
        <w:rPr>
          <w:rFonts w:ascii="Arial" w:hAnsi="Arial" w:cs="FrankRuehl"/>
          <w:sz w:val="6"/>
          <w:szCs w:val="6"/>
          <w:rtl/>
        </w:rPr>
      </w:pPr>
      <w:r>
        <w:rPr>
          <w:rFonts w:ascii="Arial" w:hAnsi="Arial" w:cs="FrankRuehl"/>
          <w:sz w:val="6"/>
          <w:szCs w:val="6"/>
          <w:rtl/>
        </w:rPr>
        <w:t>&lt;#5#&gt;</w:t>
      </w:r>
    </w:p>
    <w:p w14:paraId="3CF101D6" w14:textId="77777777" w:rsidR="00E07897" w:rsidRDefault="00E07897">
      <w:pPr>
        <w:jc w:val="right"/>
        <w:rPr>
          <w:rtl/>
        </w:rPr>
      </w:pPr>
    </w:p>
    <w:p w14:paraId="04E04211" w14:textId="77777777" w:rsidR="00E07897" w:rsidRDefault="00414DC0">
      <w:pPr>
        <w:jc w:val="right"/>
        <w:rPr>
          <w:rtl/>
        </w:rPr>
      </w:pPr>
      <w:r>
        <w:rPr>
          <w:b/>
          <w:bCs/>
          <w:rtl/>
        </w:rPr>
        <w:t xml:space="preserve">ניתנה והודעה היום כ"ט ניסן תשע"ג, 09/04/2013 במעמד הנוכחים. </w:t>
      </w:r>
    </w:p>
    <w:p w14:paraId="2A53390E" w14:textId="77777777" w:rsidR="00414DC0" w:rsidRPr="00414DC0" w:rsidRDefault="00414DC0" w:rsidP="00414DC0">
      <w:pPr>
        <w:keepNext/>
        <w:rPr>
          <w:color w:val="000000"/>
          <w:sz w:val="22"/>
          <w:szCs w:val="22"/>
          <w:rtl/>
        </w:rPr>
      </w:pPr>
    </w:p>
    <w:p w14:paraId="55C08E60" w14:textId="77777777" w:rsidR="006C3A52" w:rsidRPr="006C3A52" w:rsidRDefault="006C3A52" w:rsidP="006C3A52">
      <w:pPr>
        <w:keepNext/>
        <w:rPr>
          <w:rFonts w:hint="cs"/>
          <w:color w:val="000000"/>
          <w:sz w:val="22"/>
          <w:szCs w:val="22"/>
          <w:rtl/>
        </w:rPr>
      </w:pPr>
    </w:p>
    <w:p w14:paraId="5722CCDE" w14:textId="77777777" w:rsidR="006C3A52" w:rsidRPr="006C3A52" w:rsidRDefault="006C3A52" w:rsidP="006C3A52">
      <w:pPr>
        <w:keepNext/>
        <w:rPr>
          <w:color w:val="000000"/>
          <w:sz w:val="22"/>
          <w:szCs w:val="22"/>
          <w:rtl/>
        </w:rPr>
      </w:pPr>
      <w:r w:rsidRPr="006C3A52">
        <w:rPr>
          <w:color w:val="000000"/>
          <w:sz w:val="22"/>
          <w:szCs w:val="22"/>
          <w:rtl/>
        </w:rPr>
        <w:t>גלית ציגלר 54678313-/</w:t>
      </w:r>
    </w:p>
    <w:p w14:paraId="6D1A523D" w14:textId="77777777" w:rsidR="00E07897" w:rsidRPr="00414DC0" w:rsidRDefault="00414DC0">
      <w:pPr>
        <w:jc w:val="center"/>
        <w:rPr>
          <w:color w:val="FFFFFF"/>
          <w:sz w:val="2"/>
          <w:szCs w:val="2"/>
          <w:rtl/>
        </w:rPr>
      </w:pPr>
      <w:r w:rsidRPr="00414DC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07897" w14:paraId="1BEB3831" w14:textId="77777777">
        <w:trPr>
          <w:trHeight w:val="364"/>
          <w:jc w:val="right"/>
        </w:trPr>
        <w:tc>
          <w:tcPr>
            <w:tcW w:w="3708" w:type="dxa"/>
          </w:tcPr>
          <w:p w14:paraId="25D1D616" w14:textId="77777777" w:rsidR="00E07897" w:rsidRPr="00414DC0" w:rsidRDefault="00414DC0">
            <w:pPr>
              <w:jc w:val="center"/>
              <w:rPr>
                <w:rFonts w:ascii="Times New Roman" w:eastAsia="Times New Roman" w:hAnsi="Times New Roman" w:cs="Times New Roman"/>
                <w:color w:val="FFFFFF"/>
                <w:sz w:val="2"/>
                <w:szCs w:val="2"/>
              </w:rPr>
            </w:pPr>
            <w:r w:rsidRPr="00414DC0">
              <w:rPr>
                <w:rFonts w:ascii="Times New Roman" w:eastAsia="Times New Roman" w:hAnsi="Times New Roman" w:cs="Times New Roman"/>
                <w:color w:val="FFFFFF"/>
                <w:sz w:val="2"/>
                <w:szCs w:val="2"/>
                <w:rtl/>
              </w:rPr>
              <w:t>54678313</w:t>
            </w:r>
          </w:p>
          <w:p w14:paraId="7E0EE16E" w14:textId="77777777" w:rsidR="00E07897" w:rsidRDefault="00E07897">
            <w:pPr>
              <w:jc w:val="center"/>
              <w:rPr>
                <w:rFonts w:ascii="Times New Roman" w:eastAsia="Times New Roman" w:hAnsi="Times New Roman" w:cs="Times New Roman"/>
                <w:rtl/>
              </w:rPr>
            </w:pPr>
          </w:p>
        </w:tc>
      </w:tr>
      <w:tr w:rsidR="00E07897" w14:paraId="4980D003" w14:textId="77777777">
        <w:trPr>
          <w:trHeight w:val="415"/>
          <w:jc w:val="right"/>
        </w:trPr>
        <w:tc>
          <w:tcPr>
            <w:tcW w:w="3708" w:type="dxa"/>
          </w:tcPr>
          <w:p w14:paraId="29D773C3" w14:textId="77777777" w:rsidR="00E07897" w:rsidRDefault="00414DC0">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6DB8EA90" w14:textId="77777777" w:rsidR="00E07897" w:rsidRPr="006C3A52" w:rsidRDefault="006C3A52">
      <w:pPr>
        <w:jc w:val="right"/>
        <w:rPr>
          <w:color w:val="FFFFFF"/>
          <w:sz w:val="2"/>
          <w:szCs w:val="2"/>
          <w:rtl/>
        </w:rPr>
      </w:pPr>
      <w:r w:rsidRPr="006C3A52">
        <w:rPr>
          <w:color w:val="FFFFFF"/>
          <w:sz w:val="2"/>
          <w:szCs w:val="2"/>
          <w:rtl/>
        </w:rPr>
        <w:t>5129371</w:t>
      </w:r>
    </w:p>
    <w:p w14:paraId="6A0B9098" w14:textId="77777777" w:rsidR="00E07897" w:rsidRPr="006C3A52" w:rsidRDefault="006C3A52">
      <w:pPr>
        <w:spacing w:line="360" w:lineRule="auto"/>
        <w:jc w:val="both"/>
        <w:rPr>
          <w:color w:val="FFFFFF"/>
          <w:sz w:val="2"/>
          <w:szCs w:val="2"/>
          <w:rtl/>
        </w:rPr>
      </w:pPr>
      <w:bookmarkStart w:id="8" w:name="_GoBack"/>
      <w:bookmarkEnd w:id="8"/>
      <w:r w:rsidRPr="006C3A52">
        <w:rPr>
          <w:color w:val="FFFFFF"/>
          <w:sz w:val="2"/>
          <w:szCs w:val="2"/>
          <w:rtl/>
        </w:rPr>
        <w:t>54678313</w:t>
      </w:r>
      <w:r w:rsidR="00414DC0" w:rsidRPr="006C3A52">
        <w:rPr>
          <w:color w:val="FFFFFF"/>
          <w:sz w:val="2"/>
          <w:szCs w:val="2"/>
          <w:rtl/>
        </w:rPr>
        <w:t xml:space="preserve"> </w:t>
      </w:r>
    </w:p>
    <w:p w14:paraId="58B701D7" w14:textId="77777777" w:rsidR="00E07897" w:rsidRDefault="00414DC0">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7FCE8126" w14:textId="77777777" w:rsidR="00414DC0" w:rsidRDefault="00414DC0" w:rsidP="00414DC0">
      <w:r w:rsidRPr="00414DC0">
        <w:rPr>
          <w:color w:val="000000"/>
          <w:rtl/>
        </w:rPr>
        <w:t>נוסח מסמך זה כפוף לשינויי ניסוח ועריכה</w:t>
      </w:r>
    </w:p>
    <w:p w14:paraId="303D8C29" w14:textId="77777777" w:rsidR="00414DC0" w:rsidRDefault="00414DC0" w:rsidP="00414DC0">
      <w:pPr>
        <w:rPr>
          <w:rtl/>
        </w:rPr>
      </w:pPr>
    </w:p>
    <w:p w14:paraId="4436D663" w14:textId="77777777" w:rsidR="00414DC0" w:rsidRDefault="00414DC0" w:rsidP="00414DC0">
      <w:pPr>
        <w:jc w:val="center"/>
        <w:rPr>
          <w:color w:val="0000FF"/>
          <w:u w:val="single"/>
        </w:rPr>
      </w:pPr>
      <w:r w:rsidRPr="008D5A5F">
        <w:rPr>
          <w:color w:val="000000"/>
          <w:rtl/>
        </w:rPr>
        <w:t>בעניין עריכה ושינויים במסמכי פסיקה, חקיקה ועוד באתר נבו – הקש כאן</w:t>
      </w:r>
    </w:p>
    <w:sectPr w:rsidR="00414DC0" w:rsidSect="006C3A52">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F9BA5" w14:textId="77777777" w:rsidR="00D44148" w:rsidRPr="00F40ACC" w:rsidRDefault="00D44148">
      <w:pPr>
        <w:rPr>
          <w:rFonts w:cs="Arial"/>
          <w:szCs w:val="20"/>
        </w:rPr>
      </w:pPr>
      <w:r>
        <w:separator/>
      </w:r>
    </w:p>
  </w:endnote>
  <w:endnote w:type="continuationSeparator" w:id="0">
    <w:p w14:paraId="6768E488" w14:textId="77777777" w:rsidR="00D44148" w:rsidRPr="00F40ACC" w:rsidRDefault="00D4414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4B7FF" w14:textId="77777777" w:rsidR="00D44148" w:rsidRDefault="00D44148" w:rsidP="006C3A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23A003" w14:textId="77777777" w:rsidR="00D44148" w:rsidRPr="006C3A52" w:rsidRDefault="00D44148" w:rsidP="006C3A52">
    <w:pPr>
      <w:pStyle w:val="a4"/>
      <w:pBdr>
        <w:top w:val="single" w:sz="4" w:space="1" w:color="auto"/>
        <w:between w:val="single" w:sz="4" w:space="0" w:color="auto"/>
      </w:pBdr>
      <w:spacing w:after="60"/>
      <w:jc w:val="center"/>
      <w:rPr>
        <w:rFonts w:ascii="FrankRuehl" w:hAnsi="FrankRuehl" w:cs="FrankRuehl"/>
        <w:color w:val="000000"/>
      </w:rPr>
    </w:pPr>
    <w:r w:rsidRPr="006C3A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C5793" w14:textId="77777777" w:rsidR="00D44148" w:rsidRDefault="00D44148" w:rsidP="006C3A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16B8">
      <w:rPr>
        <w:rFonts w:ascii="FrankRuehl" w:hAnsi="FrankRuehl" w:cs="FrankRuehl"/>
        <w:noProof/>
        <w:rtl/>
      </w:rPr>
      <w:t>1</w:t>
    </w:r>
    <w:r>
      <w:rPr>
        <w:rFonts w:ascii="FrankRuehl" w:hAnsi="FrankRuehl" w:cs="FrankRuehl"/>
        <w:rtl/>
      </w:rPr>
      <w:fldChar w:fldCharType="end"/>
    </w:r>
  </w:p>
  <w:p w14:paraId="6C58866E" w14:textId="77777777" w:rsidR="00D44148" w:rsidRPr="006C3A52" w:rsidRDefault="00D44148" w:rsidP="006C3A52">
    <w:pPr>
      <w:pStyle w:val="a4"/>
      <w:pBdr>
        <w:top w:val="single" w:sz="4" w:space="1" w:color="auto"/>
        <w:between w:val="single" w:sz="4" w:space="0" w:color="auto"/>
      </w:pBdr>
      <w:spacing w:after="60"/>
      <w:jc w:val="center"/>
      <w:rPr>
        <w:rFonts w:ascii="FrankRuehl" w:hAnsi="FrankRuehl" w:cs="FrankRuehl"/>
        <w:color w:val="000000"/>
      </w:rPr>
    </w:pPr>
    <w:r w:rsidRPr="006C3A52">
      <w:rPr>
        <w:rFonts w:ascii="FrankRuehl" w:hAnsi="FrankRuehl" w:cs="FrankRuehl"/>
        <w:color w:val="000000"/>
      </w:rPr>
      <w:pict w14:anchorId="24A27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318D3" w14:textId="77777777" w:rsidR="00D44148" w:rsidRPr="00F40ACC" w:rsidRDefault="00D44148">
      <w:pPr>
        <w:rPr>
          <w:rFonts w:cs="Arial"/>
          <w:szCs w:val="20"/>
        </w:rPr>
      </w:pPr>
      <w:r>
        <w:separator/>
      </w:r>
    </w:p>
  </w:footnote>
  <w:footnote w:type="continuationSeparator" w:id="0">
    <w:p w14:paraId="382DBAC8" w14:textId="77777777" w:rsidR="00D44148" w:rsidRPr="00F40ACC" w:rsidRDefault="00D4414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1F5F" w14:textId="77777777" w:rsidR="00D44148" w:rsidRPr="006C3A52" w:rsidRDefault="00D44148" w:rsidP="006C3A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42673-04-12</w:t>
    </w:r>
    <w:r>
      <w:rPr>
        <w:color w:val="000000"/>
        <w:sz w:val="22"/>
        <w:szCs w:val="22"/>
        <w:rtl/>
      </w:rPr>
      <w:tab/>
      <w:t xml:space="preserve"> מדינת ישראל נ' עומר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F04CB" w14:textId="77777777" w:rsidR="00D44148" w:rsidRPr="006C3A52" w:rsidRDefault="00D44148" w:rsidP="006C3A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42673-04-12</w:t>
    </w:r>
    <w:r>
      <w:rPr>
        <w:color w:val="000000"/>
        <w:sz w:val="22"/>
        <w:szCs w:val="22"/>
        <w:rtl/>
      </w:rPr>
      <w:tab/>
      <w:t xml:space="preserve"> מדינת ישראל נ' עומר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7897"/>
    <w:rsid w:val="00022A7A"/>
    <w:rsid w:val="00076D8E"/>
    <w:rsid w:val="000916B8"/>
    <w:rsid w:val="000C1265"/>
    <w:rsid w:val="00250812"/>
    <w:rsid w:val="00372D87"/>
    <w:rsid w:val="00414DC0"/>
    <w:rsid w:val="00673641"/>
    <w:rsid w:val="006C3A52"/>
    <w:rsid w:val="00716C43"/>
    <w:rsid w:val="007C1975"/>
    <w:rsid w:val="008D5A5F"/>
    <w:rsid w:val="0096116E"/>
    <w:rsid w:val="00D44148"/>
    <w:rsid w:val="00E07897"/>
    <w:rsid w:val="00F56581"/>
    <w:rsid w:val="00FF0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4AE15"/>
  <w15:chartTrackingRefBased/>
  <w15:docId w15:val="{763773DE-5C7D-4483-B5B5-8E1B170A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89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07897"/>
    <w:pPr>
      <w:tabs>
        <w:tab w:val="center" w:pos="4153"/>
        <w:tab w:val="right" w:pos="8306"/>
      </w:tabs>
    </w:pPr>
  </w:style>
  <w:style w:type="paragraph" w:styleId="a4">
    <w:name w:val="footer"/>
    <w:basedOn w:val="a"/>
    <w:rsid w:val="00E07897"/>
    <w:pPr>
      <w:tabs>
        <w:tab w:val="center" w:pos="4153"/>
        <w:tab w:val="right" w:pos="8306"/>
      </w:tabs>
    </w:pPr>
  </w:style>
  <w:style w:type="character" w:styleId="a5">
    <w:name w:val="page number"/>
    <w:basedOn w:val="a0"/>
    <w:rsid w:val="00E07897"/>
  </w:style>
  <w:style w:type="character" w:customStyle="1" w:styleId="TimesNewRomanTimesNewRoman">
    <w:name w:val="סגנון (לטיני) Times New Roman (עברית ושפות אחרות) Times New Roman..."/>
    <w:basedOn w:val="a0"/>
    <w:rsid w:val="00E0789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0789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07897"/>
    <w:pPr>
      <w:spacing w:line="360" w:lineRule="auto"/>
      <w:jc w:val="both"/>
    </w:pPr>
    <w:rPr>
      <w:rFonts w:ascii="Times New Roman" w:eastAsia="Times New Roman" w:hAnsi="Times New Roman"/>
    </w:rPr>
  </w:style>
  <w:style w:type="character" w:styleId="a6">
    <w:name w:val="line number"/>
    <w:basedOn w:val="a0"/>
    <w:rsid w:val="00E07897"/>
  </w:style>
  <w:style w:type="character" w:styleId="Hyperlink">
    <w:name w:val="Hyperlink"/>
    <w:basedOn w:val="a0"/>
    <w:rsid w:val="00414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4514253" TargetMode="External"/><Relationship Id="rId26" Type="http://schemas.openxmlformats.org/officeDocument/2006/relationships/hyperlink" Target="http://www.nevo.co.il/law/70301/jaCe1S" TargetMode="External"/><Relationship Id="rId3" Type="http://schemas.openxmlformats.org/officeDocument/2006/relationships/webSettings" Target="webSettings.xml"/><Relationship Id="rId21" Type="http://schemas.openxmlformats.org/officeDocument/2006/relationships/hyperlink" Target="http://www.nevo.co.il/case/5702777"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70301/jaCe1S"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514253"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413f" TargetMode="External"/><Relationship Id="rId20" Type="http://schemas.openxmlformats.org/officeDocument/2006/relationships/hyperlink" Target="http://www.nevo.co.il/case/5170076" TargetMode="External"/><Relationship Id="rId29" Type="http://schemas.openxmlformats.org/officeDocument/2006/relationships/hyperlink" Target="http://www.nevo.co.il/case/29484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13f" TargetMode="External"/><Relationship Id="rId24" Type="http://schemas.openxmlformats.org/officeDocument/2006/relationships/hyperlink" Target="http://www.nevo.co.il/case/374939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831189" TargetMode="External"/><Relationship Id="rId28" Type="http://schemas.openxmlformats.org/officeDocument/2006/relationships/hyperlink" Target="http://www.nevo.co.il/law/70301/413" TargetMode="External"/><Relationship Id="rId36" Type="http://schemas.openxmlformats.org/officeDocument/2006/relationships/theme" Target="theme/theme1.xml"/><Relationship Id="rId10" Type="http://schemas.openxmlformats.org/officeDocument/2006/relationships/hyperlink" Target="http://www.nevo.co.il/law/70301/413" TargetMode="External"/><Relationship Id="rId19" Type="http://schemas.openxmlformats.org/officeDocument/2006/relationships/hyperlink" Target="http://www.nevo.co.il/case/29484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528298"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1313</Words>
  <Characters>6567</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7865</CharactersWithSpaces>
  <SharedDoc>false</SharedDoc>
  <HLinks>
    <vt:vector size="150" baseType="variant">
      <vt:variant>
        <vt:i4>8257637</vt:i4>
      </vt:variant>
      <vt:variant>
        <vt:i4>72</vt:i4>
      </vt:variant>
      <vt:variant>
        <vt:i4>0</vt:i4>
      </vt:variant>
      <vt:variant>
        <vt:i4>5</vt:i4>
      </vt:variant>
      <vt:variant>
        <vt:lpwstr>http://www.nevo.co.il/law/4216</vt:lpwstr>
      </vt:variant>
      <vt:variant>
        <vt:lpwstr/>
      </vt:variant>
      <vt:variant>
        <vt:i4>3342453</vt:i4>
      </vt:variant>
      <vt:variant>
        <vt:i4>69</vt:i4>
      </vt:variant>
      <vt:variant>
        <vt:i4>0</vt:i4>
      </vt:variant>
      <vt:variant>
        <vt:i4>5</vt:i4>
      </vt:variant>
      <vt:variant>
        <vt:lpwstr>http://www.nevo.co.il/case/2948401</vt:lpwstr>
      </vt:variant>
      <vt:variant>
        <vt:lpwstr/>
      </vt:variant>
      <vt:variant>
        <vt:i4>6553697</vt:i4>
      </vt:variant>
      <vt:variant>
        <vt:i4>66</vt:i4>
      </vt:variant>
      <vt:variant>
        <vt:i4>0</vt:i4>
      </vt:variant>
      <vt:variant>
        <vt:i4>5</vt:i4>
      </vt:variant>
      <vt:variant>
        <vt:lpwstr>http://www.nevo.co.il/law/70301/413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2228333</vt:i4>
      </vt:variant>
      <vt:variant>
        <vt:i4>60</vt:i4>
      </vt:variant>
      <vt:variant>
        <vt:i4>0</vt:i4>
      </vt:variant>
      <vt:variant>
        <vt:i4>5</vt:i4>
      </vt:variant>
      <vt:variant>
        <vt:lpwstr>http://www.nevo.co.il/law/70301/jaCe1S</vt:lpwstr>
      </vt:variant>
      <vt:variant>
        <vt:lpwstr/>
      </vt:variant>
      <vt:variant>
        <vt:i4>3407984</vt:i4>
      </vt:variant>
      <vt:variant>
        <vt:i4>57</vt:i4>
      </vt:variant>
      <vt:variant>
        <vt:i4>0</vt:i4>
      </vt:variant>
      <vt:variant>
        <vt:i4>5</vt:i4>
      </vt:variant>
      <vt:variant>
        <vt:lpwstr>http://www.nevo.co.il/case/4514253</vt:lpwstr>
      </vt:variant>
      <vt:variant>
        <vt:lpwstr/>
      </vt:variant>
      <vt:variant>
        <vt:i4>3211379</vt:i4>
      </vt:variant>
      <vt:variant>
        <vt:i4>54</vt:i4>
      </vt:variant>
      <vt:variant>
        <vt:i4>0</vt:i4>
      </vt:variant>
      <vt:variant>
        <vt:i4>5</vt:i4>
      </vt:variant>
      <vt:variant>
        <vt:lpwstr>http://www.nevo.co.il/case/3749395</vt:lpwstr>
      </vt:variant>
      <vt:variant>
        <vt:lpwstr/>
      </vt:variant>
      <vt:variant>
        <vt:i4>4063349</vt:i4>
      </vt:variant>
      <vt:variant>
        <vt:i4>51</vt:i4>
      </vt:variant>
      <vt:variant>
        <vt:i4>0</vt:i4>
      </vt:variant>
      <vt:variant>
        <vt:i4>5</vt:i4>
      </vt:variant>
      <vt:variant>
        <vt:lpwstr>http://www.nevo.co.il/case/5831189</vt:lpwstr>
      </vt:variant>
      <vt:variant>
        <vt:lpwstr/>
      </vt:variant>
      <vt:variant>
        <vt:i4>3801200</vt:i4>
      </vt:variant>
      <vt:variant>
        <vt:i4>48</vt:i4>
      </vt:variant>
      <vt:variant>
        <vt:i4>0</vt:i4>
      </vt:variant>
      <vt:variant>
        <vt:i4>5</vt:i4>
      </vt:variant>
      <vt:variant>
        <vt:lpwstr>http://www.nevo.co.il/case/2528298</vt:lpwstr>
      </vt:variant>
      <vt:variant>
        <vt:lpwstr/>
      </vt:variant>
      <vt:variant>
        <vt:i4>3473526</vt:i4>
      </vt:variant>
      <vt:variant>
        <vt:i4>45</vt:i4>
      </vt:variant>
      <vt:variant>
        <vt:i4>0</vt:i4>
      </vt:variant>
      <vt:variant>
        <vt:i4>5</vt:i4>
      </vt:variant>
      <vt:variant>
        <vt:lpwstr>http://www.nevo.co.il/case/5702777</vt:lpwstr>
      </vt:variant>
      <vt:variant>
        <vt:lpwstr/>
      </vt:variant>
      <vt:variant>
        <vt:i4>3407986</vt:i4>
      </vt:variant>
      <vt:variant>
        <vt:i4>42</vt:i4>
      </vt:variant>
      <vt:variant>
        <vt:i4>0</vt:i4>
      </vt:variant>
      <vt:variant>
        <vt:i4>5</vt:i4>
      </vt:variant>
      <vt:variant>
        <vt:lpwstr>http://www.nevo.co.il/case/5170076</vt:lpwstr>
      </vt:variant>
      <vt:variant>
        <vt:lpwstr/>
      </vt:variant>
      <vt:variant>
        <vt:i4>3342453</vt:i4>
      </vt:variant>
      <vt:variant>
        <vt:i4>39</vt:i4>
      </vt:variant>
      <vt:variant>
        <vt:i4>0</vt:i4>
      </vt:variant>
      <vt:variant>
        <vt:i4>5</vt:i4>
      </vt:variant>
      <vt:variant>
        <vt:lpwstr>http://www.nevo.co.il/case/2948401</vt:lpwstr>
      </vt:variant>
      <vt:variant>
        <vt:lpwstr/>
      </vt:variant>
      <vt:variant>
        <vt:i4>3407984</vt:i4>
      </vt:variant>
      <vt:variant>
        <vt:i4>36</vt:i4>
      </vt:variant>
      <vt:variant>
        <vt:i4>0</vt:i4>
      </vt:variant>
      <vt:variant>
        <vt:i4>5</vt:i4>
      </vt:variant>
      <vt:variant>
        <vt:lpwstr>http://www.nevo.co.il/case/4514253</vt:lpwstr>
      </vt:variant>
      <vt:variant>
        <vt:lpwstr/>
      </vt:variant>
      <vt:variant>
        <vt:i4>7995492</vt:i4>
      </vt:variant>
      <vt:variant>
        <vt:i4>33</vt:i4>
      </vt:variant>
      <vt:variant>
        <vt:i4>0</vt:i4>
      </vt:variant>
      <vt:variant>
        <vt:i4>5</vt:i4>
      </vt:variant>
      <vt:variant>
        <vt:lpwstr>http://www.nevo.co.il/law/70301</vt:lpwstr>
      </vt:variant>
      <vt:variant>
        <vt:lpwstr/>
      </vt:variant>
      <vt:variant>
        <vt:i4>131154</vt:i4>
      </vt:variant>
      <vt:variant>
        <vt:i4>30</vt:i4>
      </vt:variant>
      <vt:variant>
        <vt:i4>0</vt:i4>
      </vt:variant>
      <vt:variant>
        <vt:i4>5</vt:i4>
      </vt:variant>
      <vt:variant>
        <vt:lpwstr>http://www.nevo.co.il/law/70301/413f</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2228333</vt:i4>
      </vt:variant>
      <vt:variant>
        <vt:i4>18</vt:i4>
      </vt:variant>
      <vt:variant>
        <vt:i4>0</vt:i4>
      </vt:variant>
      <vt:variant>
        <vt:i4>5</vt:i4>
      </vt:variant>
      <vt:variant>
        <vt:lpwstr>http://www.nevo.co.il/law/70301/jaCe1S</vt:lpwstr>
      </vt:variant>
      <vt:variant>
        <vt:lpwstr/>
      </vt:variant>
      <vt:variant>
        <vt:i4>131154</vt:i4>
      </vt:variant>
      <vt:variant>
        <vt:i4>15</vt:i4>
      </vt:variant>
      <vt:variant>
        <vt:i4>0</vt:i4>
      </vt:variant>
      <vt:variant>
        <vt:i4>5</vt:i4>
      </vt:variant>
      <vt:variant>
        <vt:lpwstr>http://www.nevo.co.il/law/70301/413f</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42673</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עומר גאבר</vt:lpwstr>
  </property>
  <property fmtid="{D5CDD505-2E9C-101B-9397-08002B2CF9AE}" pid="10" name="LAWYER">
    <vt:lpwstr>צ'פניק;עידו רז</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20130409</vt:lpwstr>
  </property>
  <property fmtid="{D5CDD505-2E9C-101B-9397-08002B2CF9AE}" pid="14" name="TYPE_N_DATE">
    <vt:lpwstr>38020130409</vt:lpwstr>
  </property>
  <property fmtid="{D5CDD505-2E9C-101B-9397-08002B2CF9AE}" pid="15" name="WORDNUMPAGES">
    <vt:lpwstr>5</vt:lpwstr>
  </property>
  <property fmtid="{D5CDD505-2E9C-101B-9397-08002B2CF9AE}" pid="16" name="TYPE_ABS_DATE">
    <vt:lpwstr>380020130409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4514253:2;2948401:2;5170076;5702777;2528298;5831189;3749395</vt:lpwstr>
  </property>
  <property fmtid="{D5CDD505-2E9C-101B-9397-08002B2CF9AE}" pid="36" name="LAWLISTTMP1">
    <vt:lpwstr>4216/007.a;007.c</vt:lpwstr>
  </property>
  <property fmtid="{D5CDD505-2E9C-101B-9397-08002B2CF9AE}" pid="37" name="LAWLISTTMP2">
    <vt:lpwstr>70301/413f;jaCe1S;413</vt:lpwstr>
  </property>
</Properties>
</file>