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C46DF4" w:rsidRPr="00C46DF4" w14:paraId="2E34FE37" w14:textId="77777777" w:rsidTr="002F2714">
        <w:trPr>
          <w:trHeight w:hRule="exact" w:val="418"/>
          <w:jc w:val="center"/>
        </w:trPr>
        <w:tc>
          <w:tcPr>
            <w:tcW w:w="8720" w:type="dxa"/>
            <w:gridSpan w:val="3"/>
          </w:tcPr>
          <w:p w14:paraId="2391DF6C" w14:textId="77777777" w:rsidR="00C46DF4" w:rsidRPr="00C46DF4" w:rsidRDefault="00C46DF4" w:rsidP="002F2714">
            <w:pPr>
              <w:pStyle w:val="a3"/>
              <w:tabs>
                <w:tab w:val="clear" w:pos="8306"/>
              </w:tabs>
              <w:jc w:val="center"/>
              <w:rPr>
                <w:rFonts w:ascii="Tahoma" w:hAnsi="Tahoma" w:cs="Tahoma"/>
                <w:b/>
                <w:bCs/>
                <w:color w:val="000080"/>
                <w:sz w:val="20"/>
                <w:szCs w:val="20"/>
                <w:rtl/>
              </w:rPr>
            </w:pPr>
            <w:bookmarkStart w:id="0" w:name="LastJudge"/>
            <w:r w:rsidRPr="00C46DF4">
              <w:rPr>
                <w:rFonts w:ascii="Tahoma" w:hAnsi="Tahoma" w:cs="Tahoma"/>
                <w:b/>
                <w:bCs/>
                <w:color w:val="000080"/>
                <w:sz w:val="20"/>
                <w:szCs w:val="20"/>
                <w:rtl/>
              </w:rPr>
              <w:t>בית משפט השלום בתל אביב - יפו</w:t>
            </w:r>
          </w:p>
        </w:tc>
      </w:tr>
      <w:tr w:rsidR="00C46DF4" w:rsidRPr="00C46DF4" w14:paraId="4F5C9CC6" w14:textId="77777777" w:rsidTr="002F2714">
        <w:trPr>
          <w:trHeight w:val="337"/>
          <w:jc w:val="center"/>
        </w:trPr>
        <w:tc>
          <w:tcPr>
            <w:tcW w:w="3973" w:type="dxa"/>
          </w:tcPr>
          <w:p w14:paraId="42093E80" w14:textId="77777777" w:rsidR="00C46DF4" w:rsidRPr="00C46DF4" w:rsidRDefault="00C46DF4" w:rsidP="002F2714">
            <w:pPr>
              <w:rPr>
                <w:b/>
                <w:bCs/>
                <w:sz w:val="26"/>
                <w:szCs w:val="26"/>
                <w:rtl/>
              </w:rPr>
            </w:pPr>
            <w:r w:rsidRPr="00C46DF4">
              <w:rPr>
                <w:b/>
                <w:bCs/>
                <w:sz w:val="26"/>
                <w:szCs w:val="26"/>
                <w:rtl/>
              </w:rPr>
              <w:t>ת"פ 20585-05-12 מדינת ישראל נ' משטה</w:t>
            </w:r>
          </w:p>
          <w:p w14:paraId="77AF8904" w14:textId="77777777" w:rsidR="00C46DF4" w:rsidRPr="00C46DF4" w:rsidRDefault="00C46DF4" w:rsidP="002F2714">
            <w:pPr>
              <w:rPr>
                <w:b/>
                <w:bCs/>
                <w:sz w:val="26"/>
                <w:szCs w:val="26"/>
                <w:rtl/>
              </w:rPr>
            </w:pPr>
          </w:p>
        </w:tc>
        <w:tc>
          <w:tcPr>
            <w:tcW w:w="1068" w:type="dxa"/>
          </w:tcPr>
          <w:p w14:paraId="24285A76" w14:textId="77777777" w:rsidR="00C46DF4" w:rsidRPr="00C46DF4" w:rsidRDefault="00C46DF4" w:rsidP="002F2714">
            <w:pPr>
              <w:pStyle w:val="a3"/>
              <w:jc w:val="right"/>
              <w:rPr>
                <w:b/>
                <w:bCs/>
                <w:sz w:val="26"/>
                <w:szCs w:val="26"/>
                <w:rtl/>
              </w:rPr>
            </w:pPr>
          </w:p>
        </w:tc>
        <w:tc>
          <w:tcPr>
            <w:tcW w:w="3679" w:type="dxa"/>
          </w:tcPr>
          <w:p w14:paraId="3B232C05" w14:textId="77777777" w:rsidR="00C46DF4" w:rsidRPr="00C46DF4" w:rsidRDefault="00C46DF4" w:rsidP="002F2714">
            <w:pPr>
              <w:pStyle w:val="a3"/>
              <w:tabs>
                <w:tab w:val="clear" w:pos="4153"/>
              </w:tabs>
              <w:jc w:val="right"/>
              <w:rPr>
                <w:b/>
                <w:bCs/>
                <w:sz w:val="26"/>
                <w:szCs w:val="26"/>
                <w:rtl/>
              </w:rPr>
            </w:pPr>
            <w:r w:rsidRPr="00C46DF4">
              <w:rPr>
                <w:b/>
                <w:bCs/>
                <w:sz w:val="26"/>
                <w:szCs w:val="26"/>
                <w:rtl/>
              </w:rPr>
              <w:t>12 ספטמבר 2013</w:t>
            </w:r>
          </w:p>
        </w:tc>
      </w:tr>
    </w:tbl>
    <w:p w14:paraId="2EF7336B" w14:textId="77777777" w:rsidR="00C46DF4" w:rsidRPr="00C46DF4" w:rsidRDefault="00C46DF4" w:rsidP="00C46DF4">
      <w:pPr>
        <w:pStyle w:val="a3"/>
        <w:jc w:val="center"/>
        <w:rPr>
          <w:rFonts w:ascii="Tahoma" w:hAnsi="Tahoma" w:cs="Tahoma"/>
          <w:b/>
          <w:bCs/>
          <w:color w:val="000080"/>
          <w:sz w:val="20"/>
          <w:szCs w:val="20"/>
          <w:rtl/>
        </w:rPr>
      </w:pPr>
    </w:p>
    <w:p w14:paraId="5C7C6164" w14:textId="77777777" w:rsidR="00BE4ACB" w:rsidRPr="00C46DF4" w:rsidRDefault="00BE4ACB" w:rsidP="00271CED">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C46DF4" w:rsidRPr="00C46DF4" w14:paraId="72717453" w14:textId="77777777" w:rsidTr="002F2714">
        <w:trPr>
          <w:trHeight w:val="337"/>
          <w:jc w:val="center"/>
        </w:trPr>
        <w:tc>
          <w:tcPr>
            <w:tcW w:w="5856" w:type="dxa"/>
          </w:tcPr>
          <w:p w14:paraId="2AB12B25" w14:textId="77777777" w:rsidR="00C46DF4" w:rsidRPr="00C46DF4" w:rsidRDefault="00C46DF4" w:rsidP="002F2714">
            <w:pPr>
              <w:spacing w:line="360" w:lineRule="auto"/>
              <w:jc w:val="both"/>
              <w:rPr>
                <w:b/>
                <w:bCs/>
                <w:sz w:val="26"/>
                <w:szCs w:val="26"/>
                <w:rtl/>
              </w:rPr>
            </w:pPr>
            <w:r w:rsidRPr="00C46DF4">
              <w:rPr>
                <w:b/>
                <w:bCs/>
                <w:sz w:val="26"/>
                <w:szCs w:val="26"/>
                <w:rtl/>
              </w:rPr>
              <w:t>בפני כב' השופטת לימור מרגולין-יחידי</w:t>
            </w:r>
          </w:p>
        </w:tc>
        <w:tc>
          <w:tcPr>
            <w:tcW w:w="236" w:type="dxa"/>
          </w:tcPr>
          <w:p w14:paraId="69D100E8" w14:textId="77777777" w:rsidR="00C46DF4" w:rsidRPr="00C46DF4" w:rsidRDefault="00C46DF4" w:rsidP="002F2714">
            <w:pPr>
              <w:pStyle w:val="a3"/>
              <w:jc w:val="both"/>
              <w:rPr>
                <w:b/>
                <w:bCs/>
                <w:sz w:val="26"/>
                <w:szCs w:val="26"/>
                <w:rtl/>
              </w:rPr>
            </w:pPr>
          </w:p>
        </w:tc>
        <w:tc>
          <w:tcPr>
            <w:tcW w:w="2628" w:type="dxa"/>
          </w:tcPr>
          <w:p w14:paraId="121CB5A7" w14:textId="77777777" w:rsidR="00C46DF4" w:rsidRPr="00C46DF4" w:rsidRDefault="00C46DF4" w:rsidP="002F2714">
            <w:pPr>
              <w:pStyle w:val="a3"/>
              <w:jc w:val="both"/>
              <w:rPr>
                <w:b/>
                <w:bCs/>
                <w:sz w:val="26"/>
                <w:szCs w:val="26"/>
                <w:rtl/>
              </w:rPr>
            </w:pPr>
            <w:r w:rsidRPr="00C46DF4">
              <w:rPr>
                <w:b/>
                <w:bCs/>
                <w:sz w:val="26"/>
                <w:szCs w:val="26"/>
                <w:rtl/>
              </w:rPr>
              <w:t xml:space="preserve">20638-05-12 </w:t>
            </w:r>
          </w:p>
        </w:tc>
      </w:tr>
    </w:tbl>
    <w:p w14:paraId="058877E3" w14:textId="77777777" w:rsidR="00C46DF4" w:rsidRPr="00C46DF4" w:rsidRDefault="00C46DF4" w:rsidP="00271CED">
      <w:pPr>
        <w:suppressLineNumbers/>
        <w:spacing w:line="360" w:lineRule="auto"/>
        <w:jc w:val="both"/>
        <w:rPr>
          <w:rFonts w:ascii="Arial" w:hAnsi="Arial"/>
          <w:rtl/>
        </w:rPr>
      </w:pPr>
    </w:p>
    <w:p w14:paraId="5F6BE9F3" w14:textId="77777777" w:rsidR="00BE4ACB" w:rsidRPr="00C46DF4" w:rsidRDefault="00BE4ACB">
      <w:pPr>
        <w:spacing w:line="360" w:lineRule="auto"/>
        <w:jc w:val="both"/>
        <w:rPr>
          <w:rtl/>
        </w:rPr>
      </w:pPr>
    </w:p>
    <w:tbl>
      <w:tblPr>
        <w:bidiVisual/>
        <w:tblW w:w="8802" w:type="dxa"/>
        <w:tblInd w:w="-28" w:type="dxa"/>
        <w:tblLayout w:type="fixed"/>
        <w:tblLook w:val="01E0" w:firstRow="1" w:lastRow="1" w:firstColumn="1" w:lastColumn="1" w:noHBand="0" w:noVBand="0"/>
      </w:tblPr>
      <w:tblGrid>
        <w:gridCol w:w="3240"/>
        <w:gridCol w:w="5562"/>
      </w:tblGrid>
      <w:tr w:rsidR="00C46DF4" w:rsidRPr="00C46DF4" w14:paraId="05F2A9FB" w14:textId="77777777" w:rsidTr="002F2714">
        <w:tc>
          <w:tcPr>
            <w:tcW w:w="3240" w:type="dxa"/>
          </w:tcPr>
          <w:p w14:paraId="49FAE8BE" w14:textId="77777777" w:rsidR="00C46DF4" w:rsidRPr="00C46DF4" w:rsidRDefault="00C46DF4" w:rsidP="002F2714">
            <w:pPr>
              <w:ind w:left="26"/>
              <w:rPr>
                <w:rFonts w:ascii="Times New Roman" w:hAnsi="Times New Roman"/>
                <w:b/>
                <w:bCs/>
                <w:sz w:val="26"/>
                <w:szCs w:val="26"/>
                <w:rtl/>
              </w:rPr>
            </w:pPr>
            <w:bookmarkStart w:id="1" w:name="FirstAppellant"/>
            <w:r w:rsidRPr="00C46DF4">
              <w:rPr>
                <w:rFonts w:ascii="Times New Roman" w:hAnsi="Times New Roman"/>
                <w:b/>
                <w:bCs/>
                <w:sz w:val="26"/>
                <w:szCs w:val="26"/>
                <w:rtl/>
              </w:rPr>
              <w:t>המאשימה</w:t>
            </w:r>
          </w:p>
        </w:tc>
        <w:tc>
          <w:tcPr>
            <w:tcW w:w="5562" w:type="dxa"/>
          </w:tcPr>
          <w:p w14:paraId="39BF9638" w14:textId="77777777" w:rsidR="00C46DF4" w:rsidRPr="00C46DF4" w:rsidRDefault="00C46DF4" w:rsidP="002F2714">
            <w:pPr>
              <w:rPr>
                <w:rFonts w:ascii="Times New Roman" w:hAnsi="Times New Roman"/>
                <w:b/>
                <w:bCs/>
                <w:sz w:val="26"/>
                <w:szCs w:val="26"/>
                <w:rtl/>
              </w:rPr>
            </w:pPr>
            <w:r w:rsidRPr="00C46DF4">
              <w:rPr>
                <w:rFonts w:ascii="Times New Roman" w:hAnsi="Times New Roman"/>
                <w:b/>
                <w:bCs/>
                <w:sz w:val="26"/>
                <w:szCs w:val="26"/>
                <w:rtl/>
              </w:rPr>
              <w:t xml:space="preserve"> מדינת ישראל</w:t>
            </w:r>
          </w:p>
        </w:tc>
      </w:tr>
      <w:bookmarkEnd w:id="1"/>
      <w:tr w:rsidR="00C46DF4" w:rsidRPr="00C46DF4" w14:paraId="5FEA6B67" w14:textId="77777777" w:rsidTr="002F2714">
        <w:tc>
          <w:tcPr>
            <w:tcW w:w="8802" w:type="dxa"/>
            <w:gridSpan w:val="2"/>
          </w:tcPr>
          <w:p w14:paraId="496FA82C" w14:textId="77777777" w:rsidR="00C46DF4" w:rsidRPr="00C46DF4" w:rsidRDefault="00C46DF4" w:rsidP="002F2714">
            <w:pPr>
              <w:jc w:val="both"/>
              <w:rPr>
                <w:rFonts w:ascii="Arial" w:hAnsi="Arial"/>
                <w:b/>
                <w:bCs/>
                <w:sz w:val="26"/>
                <w:szCs w:val="26"/>
                <w:rtl/>
              </w:rPr>
            </w:pPr>
          </w:p>
          <w:p w14:paraId="5B937D58" w14:textId="77777777" w:rsidR="00C46DF4" w:rsidRPr="00C46DF4" w:rsidRDefault="00C46DF4" w:rsidP="002F2714">
            <w:pPr>
              <w:jc w:val="center"/>
              <w:rPr>
                <w:rFonts w:ascii="Arial" w:hAnsi="Arial"/>
                <w:b/>
                <w:bCs/>
                <w:sz w:val="26"/>
                <w:szCs w:val="26"/>
                <w:rtl/>
              </w:rPr>
            </w:pPr>
            <w:r w:rsidRPr="00C46DF4">
              <w:rPr>
                <w:rFonts w:ascii="Arial" w:hAnsi="Arial"/>
                <w:b/>
                <w:bCs/>
                <w:sz w:val="26"/>
                <w:szCs w:val="26"/>
                <w:rtl/>
              </w:rPr>
              <w:t>נגד</w:t>
            </w:r>
          </w:p>
          <w:p w14:paraId="443C7F3F" w14:textId="77777777" w:rsidR="00C46DF4" w:rsidRPr="00C46DF4" w:rsidRDefault="00C46DF4" w:rsidP="002F2714">
            <w:pPr>
              <w:jc w:val="center"/>
              <w:rPr>
                <w:rFonts w:ascii="Arial" w:hAnsi="Arial"/>
                <w:b/>
                <w:bCs/>
                <w:sz w:val="26"/>
                <w:szCs w:val="26"/>
              </w:rPr>
            </w:pPr>
          </w:p>
        </w:tc>
      </w:tr>
      <w:tr w:rsidR="00C46DF4" w:rsidRPr="00C46DF4" w14:paraId="1D8AF9F3" w14:textId="77777777" w:rsidTr="002F2714">
        <w:tc>
          <w:tcPr>
            <w:tcW w:w="3240" w:type="dxa"/>
          </w:tcPr>
          <w:p w14:paraId="3F272E40" w14:textId="77777777" w:rsidR="00C46DF4" w:rsidRPr="00C46DF4" w:rsidRDefault="00C46DF4" w:rsidP="002F2714">
            <w:pPr>
              <w:ind w:left="26"/>
              <w:rPr>
                <w:rFonts w:ascii="Times New Roman" w:hAnsi="Times New Roman"/>
                <w:b/>
                <w:bCs/>
                <w:sz w:val="26"/>
                <w:szCs w:val="26"/>
                <w:rtl/>
              </w:rPr>
            </w:pPr>
            <w:r w:rsidRPr="00C46DF4">
              <w:rPr>
                <w:rFonts w:ascii="Times New Roman" w:hAnsi="Times New Roman"/>
                <w:b/>
                <w:bCs/>
                <w:sz w:val="26"/>
                <w:szCs w:val="26"/>
                <w:rtl/>
              </w:rPr>
              <w:t>הנאשם</w:t>
            </w:r>
          </w:p>
        </w:tc>
        <w:tc>
          <w:tcPr>
            <w:tcW w:w="5562" w:type="dxa"/>
          </w:tcPr>
          <w:p w14:paraId="5D26334D" w14:textId="77777777" w:rsidR="00C46DF4" w:rsidRPr="00C46DF4" w:rsidRDefault="00C46DF4" w:rsidP="002F2714">
            <w:pPr>
              <w:rPr>
                <w:rFonts w:ascii="Times New Roman" w:hAnsi="Times New Roman"/>
                <w:b/>
                <w:bCs/>
                <w:sz w:val="26"/>
                <w:szCs w:val="26"/>
                <w:rtl/>
              </w:rPr>
            </w:pPr>
            <w:r w:rsidRPr="00C46DF4">
              <w:rPr>
                <w:rFonts w:ascii="Times New Roman" w:hAnsi="Times New Roman"/>
                <w:b/>
                <w:bCs/>
                <w:sz w:val="26"/>
                <w:szCs w:val="26"/>
                <w:rtl/>
              </w:rPr>
              <w:t xml:space="preserve"> ניר משטה</w:t>
            </w:r>
          </w:p>
        </w:tc>
      </w:tr>
    </w:tbl>
    <w:p w14:paraId="77A3A51C" w14:textId="77777777" w:rsidR="00C46DF4" w:rsidRPr="00C46DF4" w:rsidRDefault="00C46DF4">
      <w:pPr>
        <w:spacing w:line="360" w:lineRule="auto"/>
        <w:jc w:val="both"/>
        <w:rPr>
          <w:rtl/>
        </w:rPr>
      </w:pPr>
    </w:p>
    <w:p w14:paraId="5C020819" w14:textId="77777777" w:rsidR="00BE4ACB" w:rsidRPr="00C46DF4" w:rsidRDefault="00BE4ACB">
      <w:pPr>
        <w:spacing w:line="360" w:lineRule="auto"/>
        <w:jc w:val="both"/>
        <w:rPr>
          <w:sz w:val="6"/>
          <w:szCs w:val="6"/>
          <w:rtl/>
        </w:rPr>
      </w:pPr>
      <w:r w:rsidRPr="00C46DF4">
        <w:rPr>
          <w:sz w:val="6"/>
          <w:szCs w:val="6"/>
          <w:rtl/>
        </w:rPr>
        <w:t>&lt;#1#&gt;</w:t>
      </w:r>
    </w:p>
    <w:p w14:paraId="54FD9AB2" w14:textId="77777777" w:rsidR="00BE4ACB" w:rsidRPr="00C46DF4" w:rsidRDefault="00BE4ACB" w:rsidP="00BC12BC">
      <w:pPr>
        <w:pStyle w:val="12"/>
        <w:rPr>
          <w:b w:val="0"/>
          <w:bCs w:val="0"/>
          <w:u w:val="none"/>
        </w:rPr>
      </w:pPr>
      <w:r w:rsidRPr="00C46DF4">
        <w:rPr>
          <w:u w:val="none"/>
          <w:rtl/>
        </w:rPr>
        <w:t>נוכחים</w:t>
      </w:r>
      <w:r w:rsidRPr="00C46DF4">
        <w:rPr>
          <w:b w:val="0"/>
          <w:bCs w:val="0"/>
          <w:u w:val="none"/>
          <w:rtl/>
        </w:rPr>
        <w:t>:</w:t>
      </w:r>
    </w:p>
    <w:p w14:paraId="202482EC" w14:textId="77777777" w:rsidR="00BE4ACB" w:rsidRPr="00C46DF4" w:rsidRDefault="00BE4ACB" w:rsidP="00BC12BC">
      <w:pPr>
        <w:pStyle w:val="12"/>
        <w:rPr>
          <w:b w:val="0"/>
          <w:bCs w:val="0"/>
          <w:u w:val="none"/>
        </w:rPr>
      </w:pPr>
      <w:bookmarkStart w:id="2" w:name="FirstLawyer"/>
      <w:r w:rsidRPr="00C46DF4">
        <w:rPr>
          <w:b w:val="0"/>
          <w:bCs w:val="0"/>
          <w:u w:val="none"/>
          <w:rtl/>
        </w:rPr>
        <w:t>ב"כ</w:t>
      </w:r>
      <w:bookmarkEnd w:id="2"/>
      <w:r w:rsidRPr="00C46DF4">
        <w:rPr>
          <w:b w:val="0"/>
          <w:bCs w:val="0"/>
          <w:u w:val="none"/>
          <w:rtl/>
        </w:rPr>
        <w:t xml:space="preserve"> המאשימה: עו"ד רעות בן משה</w:t>
      </w:r>
    </w:p>
    <w:p w14:paraId="33BF4C8F" w14:textId="77777777" w:rsidR="00BE4ACB" w:rsidRPr="00C46DF4" w:rsidRDefault="00BE4ACB" w:rsidP="00BC12BC">
      <w:pPr>
        <w:pStyle w:val="12"/>
        <w:rPr>
          <w:b w:val="0"/>
          <w:bCs w:val="0"/>
          <w:u w:val="none"/>
          <w:rtl/>
        </w:rPr>
      </w:pPr>
      <w:r w:rsidRPr="00C46DF4">
        <w:rPr>
          <w:b w:val="0"/>
          <w:bCs w:val="0"/>
          <w:u w:val="none"/>
          <w:rtl/>
        </w:rPr>
        <w:t>ב"כ הנאשם: עו"ד גיטרמן והנאשם</w:t>
      </w:r>
    </w:p>
    <w:p w14:paraId="4CE8E5F6" w14:textId="77777777" w:rsidR="00BE4ACB" w:rsidRPr="00C46DF4" w:rsidRDefault="00BE4ACB" w:rsidP="00E06ED4">
      <w:pPr>
        <w:spacing w:line="360" w:lineRule="auto"/>
        <w:jc w:val="both"/>
        <w:rPr>
          <w:rtl/>
        </w:rPr>
      </w:pPr>
    </w:p>
    <w:p w14:paraId="1DCAEA4E" w14:textId="77777777" w:rsidR="00BE4ACB" w:rsidRPr="00C46DF4" w:rsidRDefault="00BE4ACB" w:rsidP="00E06ED4">
      <w:pPr>
        <w:spacing w:line="360" w:lineRule="auto"/>
        <w:jc w:val="both"/>
        <w:rPr>
          <w:sz w:val="6"/>
          <w:szCs w:val="6"/>
          <w:rtl/>
        </w:rPr>
      </w:pPr>
      <w:r w:rsidRPr="00C46DF4">
        <w:rPr>
          <w:sz w:val="6"/>
          <w:szCs w:val="6"/>
          <w:rtl/>
        </w:rPr>
        <w:t>&lt;#2#&gt;</w:t>
      </w:r>
    </w:p>
    <w:p w14:paraId="0C8B874F" w14:textId="77777777" w:rsidR="00C46DF4" w:rsidRPr="00C46DF4" w:rsidRDefault="00C46DF4" w:rsidP="00C46DF4">
      <w:pPr>
        <w:spacing w:before="120" w:after="120" w:line="240" w:lineRule="exact"/>
        <w:ind w:left="283" w:hanging="283"/>
        <w:jc w:val="both"/>
        <w:rPr>
          <w:rFonts w:ascii="FrankRuehl" w:hAnsi="FrankRuehl" w:cs="FrankRuehl"/>
          <w:rtl/>
        </w:rPr>
      </w:pPr>
    </w:p>
    <w:p w14:paraId="5FD2946D" w14:textId="77777777" w:rsidR="004106FE" w:rsidRPr="004106FE" w:rsidRDefault="004106FE" w:rsidP="004106FE">
      <w:pPr>
        <w:spacing w:before="120" w:after="120" w:line="240" w:lineRule="exact"/>
        <w:ind w:left="283" w:hanging="283"/>
        <w:jc w:val="both"/>
        <w:rPr>
          <w:rFonts w:ascii="FrankRuehl" w:hAnsi="FrankRuehl" w:cs="FrankRuehl"/>
          <w:rtl/>
        </w:rPr>
      </w:pPr>
    </w:p>
    <w:p w14:paraId="2C94F250" w14:textId="77777777" w:rsidR="00F00B88" w:rsidRDefault="00F00B88" w:rsidP="00F00B88">
      <w:pPr>
        <w:spacing w:line="360" w:lineRule="auto"/>
        <w:jc w:val="center"/>
        <w:rPr>
          <w:rFonts w:ascii="Arial" w:hAnsi="Arial"/>
          <w:sz w:val="28"/>
          <w:szCs w:val="28"/>
          <w:rtl/>
        </w:rPr>
      </w:pPr>
      <w:bookmarkStart w:id="3" w:name="LawTable"/>
      <w:bookmarkEnd w:id="3"/>
    </w:p>
    <w:p w14:paraId="6920C34C" w14:textId="77777777" w:rsidR="00F00B88" w:rsidRPr="00F00B88" w:rsidRDefault="00F00B88" w:rsidP="00F00B88">
      <w:pPr>
        <w:spacing w:before="120" w:after="120" w:line="240" w:lineRule="exact"/>
        <w:ind w:left="283" w:hanging="283"/>
        <w:jc w:val="both"/>
        <w:rPr>
          <w:rFonts w:ascii="FrankRuehl" w:hAnsi="FrankRuehl" w:cs="FrankRuehl"/>
          <w:rtl/>
        </w:rPr>
      </w:pPr>
    </w:p>
    <w:p w14:paraId="28F12B74" w14:textId="77777777" w:rsidR="00F00B88" w:rsidRPr="00F00B88" w:rsidRDefault="00F00B88" w:rsidP="00F00B88">
      <w:pPr>
        <w:spacing w:before="120" w:after="120" w:line="240" w:lineRule="exact"/>
        <w:ind w:left="283" w:hanging="283"/>
        <w:jc w:val="both"/>
        <w:rPr>
          <w:rFonts w:ascii="FrankRuehl" w:hAnsi="FrankRuehl" w:cs="FrankRuehl"/>
          <w:rtl/>
        </w:rPr>
      </w:pPr>
    </w:p>
    <w:p w14:paraId="471CC9BF" w14:textId="77777777" w:rsidR="00F00B88" w:rsidRPr="00F00B88" w:rsidRDefault="00F00B88" w:rsidP="00F00B88">
      <w:pPr>
        <w:spacing w:before="120" w:after="120" w:line="240" w:lineRule="exact"/>
        <w:ind w:left="283" w:hanging="283"/>
        <w:jc w:val="both"/>
        <w:rPr>
          <w:rFonts w:ascii="FrankRuehl" w:hAnsi="FrankRuehl" w:cs="FrankRuehl"/>
          <w:rtl/>
        </w:rPr>
      </w:pPr>
      <w:r w:rsidRPr="00F00B88">
        <w:rPr>
          <w:rFonts w:ascii="FrankRuehl" w:hAnsi="FrankRuehl" w:cs="FrankRuehl"/>
          <w:rtl/>
        </w:rPr>
        <w:t xml:space="preserve">חקיקה שאוזכרה: </w:t>
      </w:r>
    </w:p>
    <w:p w14:paraId="36747E9A" w14:textId="77777777" w:rsidR="00F00B88" w:rsidRPr="00F00B88" w:rsidRDefault="00F00B88" w:rsidP="00F00B88">
      <w:pPr>
        <w:spacing w:before="120" w:after="120" w:line="240" w:lineRule="exact"/>
        <w:ind w:left="283" w:hanging="283"/>
        <w:jc w:val="both"/>
        <w:rPr>
          <w:rFonts w:ascii="FrankRuehl" w:hAnsi="FrankRuehl" w:cs="FrankRuehl"/>
          <w:rtl/>
        </w:rPr>
      </w:pPr>
      <w:hyperlink r:id="rId7" w:history="1">
        <w:r w:rsidRPr="00F00B88">
          <w:rPr>
            <w:rFonts w:ascii="FrankRuehl" w:hAnsi="FrankRuehl" w:cs="FrankRuehl"/>
            <w:color w:val="0000FF"/>
            <w:rtl/>
          </w:rPr>
          <w:t>פקודת הסמים המסוכנים [נוסח חדש], תשל"ג-1973</w:t>
        </w:r>
      </w:hyperlink>
      <w:r w:rsidRPr="00F00B88">
        <w:rPr>
          <w:rFonts w:ascii="FrankRuehl" w:hAnsi="FrankRuehl" w:cs="FrankRuehl"/>
          <w:rtl/>
        </w:rPr>
        <w:t xml:space="preserve">: סע'  </w:t>
      </w:r>
      <w:hyperlink r:id="rId8" w:history="1">
        <w:r w:rsidRPr="00F00B88">
          <w:rPr>
            <w:rFonts w:ascii="FrankRuehl" w:hAnsi="FrankRuehl" w:cs="FrankRuehl"/>
            <w:color w:val="0000FF"/>
            <w:rtl/>
          </w:rPr>
          <w:t>7.א.</w:t>
        </w:r>
      </w:hyperlink>
      <w:r w:rsidRPr="00F00B88">
        <w:rPr>
          <w:rFonts w:ascii="FrankRuehl" w:hAnsi="FrankRuehl" w:cs="FrankRuehl"/>
          <w:rtl/>
        </w:rPr>
        <w:t xml:space="preserve">, </w:t>
      </w:r>
      <w:hyperlink r:id="rId9" w:history="1">
        <w:r w:rsidRPr="00F00B88">
          <w:rPr>
            <w:rFonts w:ascii="FrankRuehl" w:hAnsi="FrankRuehl" w:cs="FrankRuehl"/>
            <w:color w:val="0000FF"/>
            <w:rtl/>
          </w:rPr>
          <w:t>7.ג</w:t>
        </w:r>
      </w:hyperlink>
      <w:r w:rsidRPr="00F00B88">
        <w:rPr>
          <w:rFonts w:ascii="FrankRuehl" w:hAnsi="FrankRuehl" w:cs="FrankRuehl"/>
          <w:rtl/>
        </w:rPr>
        <w:t xml:space="preserve">, </w:t>
      </w:r>
      <w:hyperlink r:id="rId10" w:history="1">
        <w:r w:rsidRPr="00F00B88">
          <w:rPr>
            <w:rFonts w:ascii="FrankRuehl" w:hAnsi="FrankRuehl" w:cs="FrankRuehl"/>
            <w:color w:val="0000FF"/>
            <w:rtl/>
          </w:rPr>
          <w:t>13</w:t>
        </w:r>
      </w:hyperlink>
      <w:r w:rsidRPr="00F00B88">
        <w:rPr>
          <w:rFonts w:ascii="FrankRuehl" w:hAnsi="FrankRuehl" w:cs="FrankRuehl"/>
          <w:rtl/>
        </w:rPr>
        <w:t xml:space="preserve">, </w:t>
      </w:r>
      <w:hyperlink r:id="rId11" w:history="1">
        <w:r w:rsidRPr="00F00B88">
          <w:rPr>
            <w:rFonts w:ascii="FrankRuehl" w:hAnsi="FrankRuehl" w:cs="FrankRuehl"/>
            <w:color w:val="0000FF"/>
            <w:rtl/>
          </w:rPr>
          <w:t>19א</w:t>
        </w:r>
      </w:hyperlink>
    </w:p>
    <w:p w14:paraId="2E29A819" w14:textId="77777777" w:rsidR="00F00B88" w:rsidRPr="00F00B88" w:rsidRDefault="00F00B88" w:rsidP="00F00B88">
      <w:pPr>
        <w:spacing w:before="120" w:after="120" w:line="240" w:lineRule="exact"/>
        <w:ind w:left="283" w:hanging="283"/>
        <w:jc w:val="both"/>
        <w:rPr>
          <w:rFonts w:ascii="FrankRuehl" w:hAnsi="FrankRuehl" w:cs="FrankRuehl"/>
          <w:rtl/>
        </w:rPr>
      </w:pPr>
      <w:hyperlink r:id="rId12" w:history="1">
        <w:r w:rsidRPr="00F00B88">
          <w:rPr>
            <w:rFonts w:ascii="FrankRuehl" w:hAnsi="FrankRuehl" w:cs="FrankRuehl"/>
            <w:color w:val="0000FF"/>
            <w:rtl/>
          </w:rPr>
          <w:t>חוק העונשין, תשל"ז-1977</w:t>
        </w:r>
      </w:hyperlink>
      <w:r w:rsidRPr="00F00B88">
        <w:rPr>
          <w:rFonts w:ascii="FrankRuehl" w:hAnsi="FrankRuehl" w:cs="FrankRuehl"/>
          <w:rtl/>
        </w:rPr>
        <w:t xml:space="preserve">: סע'  </w:t>
      </w:r>
      <w:hyperlink r:id="rId13" w:history="1">
        <w:r w:rsidRPr="00F00B88">
          <w:rPr>
            <w:rFonts w:ascii="FrankRuehl" w:hAnsi="FrankRuehl" w:cs="FrankRuehl"/>
            <w:color w:val="0000FF"/>
            <w:rtl/>
          </w:rPr>
          <w:t>412</w:t>
        </w:r>
      </w:hyperlink>
    </w:p>
    <w:p w14:paraId="0F228BDF" w14:textId="77777777" w:rsidR="00F00B88" w:rsidRPr="00F00B88" w:rsidRDefault="00F00B88" w:rsidP="00F00B88">
      <w:pPr>
        <w:spacing w:line="360" w:lineRule="auto"/>
        <w:jc w:val="center"/>
        <w:rPr>
          <w:rFonts w:ascii="Arial" w:hAnsi="Arial"/>
          <w:sz w:val="28"/>
          <w:szCs w:val="28"/>
          <w:rtl/>
        </w:rPr>
      </w:pPr>
      <w:bookmarkStart w:id="4" w:name="LawTable_End"/>
      <w:bookmarkEnd w:id="4"/>
    </w:p>
    <w:p w14:paraId="3B5C93BF" w14:textId="77777777" w:rsidR="00C46DF4" w:rsidRPr="004106FE" w:rsidRDefault="00C46DF4" w:rsidP="004106FE">
      <w:pPr>
        <w:spacing w:line="360" w:lineRule="auto"/>
        <w:jc w:val="center"/>
        <w:rPr>
          <w:rFonts w:ascii="Arial" w:hAnsi="Arial"/>
          <w:sz w:val="28"/>
          <w:szCs w:val="28"/>
          <w:rtl/>
        </w:rPr>
      </w:pPr>
    </w:p>
    <w:p w14:paraId="699CE6E4" w14:textId="77777777" w:rsidR="00C46DF4" w:rsidRPr="00C46DF4" w:rsidRDefault="00C46DF4" w:rsidP="00C46DF4">
      <w:pPr>
        <w:spacing w:line="360" w:lineRule="auto"/>
        <w:jc w:val="center"/>
        <w:rPr>
          <w:rFonts w:ascii="Arial" w:hAnsi="Arial"/>
          <w:b/>
          <w:bCs/>
          <w:sz w:val="28"/>
          <w:szCs w:val="28"/>
          <w:u w:val="single"/>
          <w:rtl/>
        </w:rPr>
      </w:pPr>
      <w:bookmarkStart w:id="5" w:name="PsakDin"/>
      <w:bookmarkEnd w:id="0"/>
      <w:r w:rsidRPr="00C46DF4">
        <w:rPr>
          <w:rFonts w:ascii="Arial" w:hAnsi="Arial"/>
          <w:b/>
          <w:bCs/>
          <w:sz w:val="28"/>
          <w:szCs w:val="28"/>
          <w:u w:val="single"/>
          <w:rtl/>
        </w:rPr>
        <w:t>גזר דין</w:t>
      </w:r>
    </w:p>
    <w:bookmarkEnd w:id="5"/>
    <w:p w14:paraId="4352B73B" w14:textId="77777777" w:rsidR="00BE4ACB" w:rsidRDefault="00BE4ACB">
      <w:pPr>
        <w:spacing w:line="360" w:lineRule="auto"/>
        <w:jc w:val="both"/>
        <w:rPr>
          <w:rFonts w:ascii="Arial" w:hAnsi="Arial"/>
        </w:rPr>
      </w:pPr>
    </w:p>
    <w:p w14:paraId="574C3CAE" w14:textId="77777777" w:rsidR="00BE4ACB" w:rsidRDefault="00BE4ACB" w:rsidP="00BC12BC">
      <w:pPr>
        <w:spacing w:line="360" w:lineRule="auto"/>
        <w:jc w:val="both"/>
      </w:pPr>
      <w:bookmarkStart w:id="6" w:name="ABSTRACT_START"/>
      <w:bookmarkEnd w:id="6"/>
      <w:r>
        <w:rPr>
          <w:rtl/>
        </w:rPr>
        <w:t xml:space="preserve">הנאשם הורשע, במסגרת הסדר טיעון, בעובדות כתב אישום מתוקן, המונה חמישה אישומים בביצוע שלוש עבירות של סחר בסמים מסוכנים, ועבירה אחת של אספקת סמים, ובסך הכל ארבע עבירות על </w:t>
      </w:r>
      <w:hyperlink r:id="rId14" w:history="1">
        <w:r w:rsidR="008E191F" w:rsidRPr="008E191F">
          <w:rPr>
            <w:rStyle w:val="Hyperlink"/>
            <w:rtl/>
          </w:rPr>
          <w:t>סעיף 13</w:t>
        </w:r>
      </w:hyperlink>
      <w:r>
        <w:rPr>
          <w:rtl/>
        </w:rPr>
        <w:t xml:space="preserve"> + </w:t>
      </w:r>
      <w:hyperlink r:id="rId15" w:history="1">
        <w:r w:rsidR="008E191F" w:rsidRPr="008E191F">
          <w:rPr>
            <w:rStyle w:val="Hyperlink"/>
            <w:rtl/>
          </w:rPr>
          <w:t>19א</w:t>
        </w:r>
      </w:hyperlink>
      <w:r>
        <w:rPr>
          <w:rtl/>
        </w:rPr>
        <w:t xml:space="preserve"> ל</w:t>
      </w:r>
      <w:hyperlink r:id="rId16" w:history="1">
        <w:r w:rsidR="00C46DF4" w:rsidRPr="00C46DF4">
          <w:rPr>
            <w:color w:val="0000FF"/>
            <w:u w:val="single"/>
            <w:rtl/>
          </w:rPr>
          <w:t>פקודת הסמים המסוכנים</w:t>
        </w:r>
      </w:hyperlink>
      <w:r>
        <w:rPr>
          <w:rtl/>
        </w:rPr>
        <w:t xml:space="preserve"> [נוסח חדש], תשל"ג- 1973, החזקת סמים לשימוש וצריכה עצמית, עבירה על </w:t>
      </w:r>
      <w:hyperlink r:id="rId17" w:history="1">
        <w:r w:rsidR="008E191F" w:rsidRPr="008E191F">
          <w:rPr>
            <w:rStyle w:val="Hyperlink"/>
            <w:rtl/>
          </w:rPr>
          <w:t>סעיף 7 (א) + (ג)</w:t>
        </w:r>
      </w:hyperlink>
      <w:r>
        <w:rPr>
          <w:rtl/>
        </w:rPr>
        <w:t xml:space="preserve"> סיפא לפקודת הסמים המסוכנים, וקבלת נכסים שהושגו בעוון, עבירה על </w:t>
      </w:r>
      <w:hyperlink r:id="rId18" w:history="1">
        <w:r w:rsidR="008E191F" w:rsidRPr="008E191F">
          <w:rPr>
            <w:rStyle w:val="Hyperlink"/>
            <w:rtl/>
          </w:rPr>
          <w:t>סעיף 412</w:t>
        </w:r>
      </w:hyperlink>
      <w:r>
        <w:rPr>
          <w:rtl/>
        </w:rPr>
        <w:t xml:space="preserve"> ל</w:t>
      </w:r>
      <w:hyperlink r:id="rId19" w:history="1">
        <w:r w:rsidR="00C46DF4" w:rsidRPr="00C46DF4">
          <w:rPr>
            <w:color w:val="0000FF"/>
            <w:u w:val="single"/>
            <w:rtl/>
          </w:rPr>
          <w:t>חוק העונשין</w:t>
        </w:r>
      </w:hyperlink>
      <w:r>
        <w:rPr>
          <w:rtl/>
        </w:rPr>
        <w:t>, תשל"ז-1977.</w:t>
      </w:r>
    </w:p>
    <w:p w14:paraId="22C0CEC8" w14:textId="77777777" w:rsidR="00BE4ACB" w:rsidRDefault="00BE4ACB" w:rsidP="00BC12BC">
      <w:pPr>
        <w:spacing w:line="360" w:lineRule="auto"/>
        <w:jc w:val="both"/>
        <w:rPr>
          <w:rtl/>
        </w:rPr>
      </w:pPr>
      <w:bookmarkStart w:id="7" w:name="ABSTRACT_END"/>
      <w:bookmarkEnd w:id="7"/>
    </w:p>
    <w:p w14:paraId="59C993E4" w14:textId="77777777" w:rsidR="00BE4ACB" w:rsidRDefault="00BE4ACB" w:rsidP="00BC12BC">
      <w:pPr>
        <w:spacing w:line="360" w:lineRule="auto"/>
        <w:jc w:val="both"/>
        <w:rPr>
          <w:rtl/>
        </w:rPr>
      </w:pPr>
      <w:r>
        <w:rPr>
          <w:rtl/>
        </w:rPr>
        <w:lastRenderedPageBreak/>
        <w:t xml:space="preserve">עבירות הסחר התבצעו במהלך התקופה שבין ינואר ועד מאי 2012 מול לקוח אחד וכללו מכירת חשיש תמורת כ – 100 ₪ בכל עסקה. באותה עת סיפק הנאשם חתיכת חשיש ללא תמורה לאדם נוסף. </w:t>
      </w:r>
    </w:p>
    <w:p w14:paraId="253B6560" w14:textId="77777777" w:rsidR="00BE4ACB" w:rsidRDefault="00BE4ACB" w:rsidP="00BC12BC">
      <w:pPr>
        <w:spacing w:line="360" w:lineRule="auto"/>
        <w:jc w:val="both"/>
        <w:rPr>
          <w:rtl/>
        </w:rPr>
      </w:pPr>
    </w:p>
    <w:p w14:paraId="72ACDBA7" w14:textId="77777777" w:rsidR="00BE4ACB" w:rsidRDefault="00BE4ACB" w:rsidP="00BC12BC">
      <w:pPr>
        <w:spacing w:line="360" w:lineRule="auto"/>
        <w:jc w:val="both"/>
        <w:rPr>
          <w:rtl/>
        </w:rPr>
      </w:pPr>
      <w:r>
        <w:rPr>
          <w:rtl/>
        </w:rPr>
        <w:t xml:space="preserve">כמו כן, החזיק הנאשם בביתו בסם מסוכן מסוג חשיש במשקל נטו של </w:t>
      </w:r>
      <w:smartTag w:uri="urn:schemas-microsoft-com:office:smarttags" w:element="metricconverter">
        <w:smartTagPr>
          <w:attr w:name="ProductID" w:val="2.55 גרם"/>
        </w:smartTagPr>
        <w:r>
          <w:rPr>
            <w:rtl/>
          </w:rPr>
          <w:t>2.55 גרם</w:t>
        </w:r>
      </w:smartTag>
      <w:r>
        <w:rPr>
          <w:rtl/>
        </w:rPr>
        <w:t xml:space="preserve"> וכן בסם מסוכן מסוג קנבוס במשקל נטו של </w:t>
      </w:r>
      <w:smartTag w:uri="urn:schemas-microsoft-com:office:smarttags" w:element="metricconverter">
        <w:smartTagPr>
          <w:attr w:name="ProductID" w:val="0.17 גרם"/>
        </w:smartTagPr>
        <w:r>
          <w:rPr>
            <w:rtl/>
          </w:rPr>
          <w:t>0.17 גרם</w:t>
        </w:r>
      </w:smartTag>
      <w:r>
        <w:rPr>
          <w:rtl/>
        </w:rPr>
        <w:t xml:space="preserve"> לצריכה עצמית. בנוסף, החזיק הנאשם ברשותו 17 שעונים ביודעו שהושגו בעבירה.</w:t>
      </w:r>
    </w:p>
    <w:p w14:paraId="6C739651" w14:textId="77777777" w:rsidR="00BE4ACB" w:rsidRDefault="00BE4ACB" w:rsidP="00BC12BC">
      <w:pPr>
        <w:spacing w:line="360" w:lineRule="auto"/>
        <w:jc w:val="both"/>
        <w:rPr>
          <w:rtl/>
        </w:rPr>
      </w:pPr>
    </w:p>
    <w:p w14:paraId="295A9CFC" w14:textId="77777777" w:rsidR="00BE4ACB" w:rsidRDefault="00BE4ACB" w:rsidP="00BC12BC">
      <w:pPr>
        <w:spacing w:line="360" w:lineRule="auto"/>
        <w:jc w:val="both"/>
        <w:rPr>
          <w:rtl/>
        </w:rPr>
      </w:pPr>
      <w:r>
        <w:rPr>
          <w:rtl/>
        </w:rPr>
        <w:t xml:space="preserve">יצוין כי במסגרת הסדר הטיעון תוקן כתב האישום לקולא בדרך של מחיקת שלושה אישומים, וכן תיקון מסוים בעובדות האישומים שנותרו. </w:t>
      </w:r>
    </w:p>
    <w:p w14:paraId="14453742" w14:textId="77777777" w:rsidR="00BE4ACB" w:rsidRDefault="00BE4ACB" w:rsidP="00BC12BC">
      <w:pPr>
        <w:spacing w:line="360" w:lineRule="auto"/>
        <w:jc w:val="both"/>
        <w:rPr>
          <w:rtl/>
        </w:rPr>
      </w:pPr>
    </w:p>
    <w:p w14:paraId="3E658BEF" w14:textId="77777777" w:rsidR="00BE4ACB" w:rsidRDefault="00BE4ACB" w:rsidP="00BC12BC">
      <w:pPr>
        <w:spacing w:line="360" w:lineRule="auto"/>
        <w:jc w:val="both"/>
        <w:rPr>
          <w:rtl/>
        </w:rPr>
      </w:pPr>
    </w:p>
    <w:p w14:paraId="58B62910" w14:textId="77777777" w:rsidR="00BE4ACB" w:rsidRDefault="00BE4ACB" w:rsidP="00BC12BC">
      <w:pPr>
        <w:spacing w:line="360" w:lineRule="auto"/>
        <w:jc w:val="both"/>
        <w:rPr>
          <w:rtl/>
        </w:rPr>
      </w:pPr>
    </w:p>
    <w:p w14:paraId="5F523176" w14:textId="77777777" w:rsidR="00BE4ACB" w:rsidRDefault="00BE4ACB" w:rsidP="00BC12BC">
      <w:pPr>
        <w:spacing w:line="360" w:lineRule="auto"/>
        <w:jc w:val="both"/>
        <w:rPr>
          <w:b/>
          <w:bCs/>
          <w:u w:val="single"/>
          <w:rtl/>
        </w:rPr>
      </w:pPr>
      <w:r>
        <w:rPr>
          <w:b/>
          <w:bCs/>
          <w:u w:val="single"/>
          <w:rtl/>
        </w:rPr>
        <w:t>תסקירי שירות המבחן</w:t>
      </w:r>
    </w:p>
    <w:p w14:paraId="6F407639" w14:textId="77777777" w:rsidR="00BE4ACB" w:rsidRDefault="00BE4ACB" w:rsidP="00BC12BC">
      <w:pPr>
        <w:spacing w:line="360" w:lineRule="auto"/>
        <w:jc w:val="both"/>
        <w:rPr>
          <w:rtl/>
        </w:rPr>
      </w:pPr>
      <w:r>
        <w:rPr>
          <w:rtl/>
        </w:rPr>
        <w:t>הנאשם נשלח לשירות המבחן לקבלת תסקיר בעניינו.</w:t>
      </w:r>
    </w:p>
    <w:p w14:paraId="17045A4D" w14:textId="77777777" w:rsidR="00BE4ACB" w:rsidRDefault="00BE4ACB" w:rsidP="00BC12BC">
      <w:pPr>
        <w:spacing w:line="360" w:lineRule="auto"/>
        <w:jc w:val="both"/>
        <w:rPr>
          <w:rtl/>
        </w:rPr>
      </w:pPr>
    </w:p>
    <w:p w14:paraId="1D08FD8A" w14:textId="77777777" w:rsidR="00BE4ACB" w:rsidRDefault="00BE4ACB" w:rsidP="00BC12BC">
      <w:pPr>
        <w:spacing w:line="360" w:lineRule="auto"/>
        <w:jc w:val="both"/>
        <w:rPr>
          <w:rtl/>
        </w:rPr>
      </w:pPr>
      <w:r>
        <w:rPr>
          <w:rtl/>
        </w:rPr>
        <w:t xml:space="preserve">מתסקירו הראשון של שירות המבחן, מיום 21.2.13, עולה כי הנאשם, רווק בן 27, נעדר הרשעות קודמות. שירות המבחן התייחס לקשיים שחווה הנאשם בילדותו, על רקע אלימות אביו כלפי כל בני המשפחה. למרות קשייו, סיים 12 שנות לימוד, אך לא התגייס לצבא בשל בעיה בריאותית. הנאשם ניהל בשנים האחרונות אורח חיים שולי והתמכרותי, אשר היווה רקע וזרז לביצוע העבירות נשוא כתב האישום. שירות המבחן תאר שמאז מעצרו בתיק זה, הפסיק הנאשם את השימוש בסמים בכוחות עצמו, ובדיקות השתן אשר מסר במסגרת פיקוח המעצר, נמצאו נקיות מסמים. בנוסף, הנאשם משולב בקבוצה טיפולית ומשתף פעולה במסגרת זו, תוך שיתוף הקבוצה בבעיית ההתמכרות לסמים והקשיים עימם מתמודד מאז הפסיק לצרוך סמים. כמו כן הביע הנאשם חרטה על מעשיו. </w:t>
      </w:r>
    </w:p>
    <w:p w14:paraId="7CF34822" w14:textId="77777777" w:rsidR="00BE4ACB" w:rsidRDefault="00BE4ACB" w:rsidP="00BC12BC">
      <w:pPr>
        <w:spacing w:line="360" w:lineRule="auto"/>
        <w:jc w:val="both"/>
        <w:rPr>
          <w:rtl/>
        </w:rPr>
      </w:pPr>
    </w:p>
    <w:p w14:paraId="1C23389D" w14:textId="77777777" w:rsidR="00BE4ACB" w:rsidRDefault="00BE4ACB" w:rsidP="00BC12BC">
      <w:pPr>
        <w:spacing w:line="360" w:lineRule="auto"/>
        <w:jc w:val="both"/>
        <w:rPr>
          <w:rtl/>
        </w:rPr>
      </w:pPr>
      <w:r>
        <w:rPr>
          <w:rtl/>
        </w:rPr>
        <w:t>התסקיר השני, מיום 8.7.13 מתאר את המשך הקשר עם הנאשם הן במסגרת שירות המבחן והן ביחידה לטיפול בהתמכרויות שם השתלב בטיפול מאז ינואר שנה זו. התרשמות שירות המבחן היא מהשקעת כוחות ממשיים מצד הנאשם בניתוק מקשריו השוליים ומוטיבציה בטיפול ארוך לצורך מניעת חזרה לעולם הסם. גורמי הטיפול מתרשמים משיתוף פעולה מעמיק הבא לידי ביטוי בהליך הטיפולי. בדיקות השתן שמוסר הנאשם נקיות מסם. כן צויין כי הנאשם היה משולב עד כה בטיפול פרטני, ונמצא מתאים לטיפול אינטנסיבי במרכז חוסן המטפל בצעירים עם בעיות התמכרות לסם. שירות המבחן עמד על החשיבות בטיפול ארוך טווח במסגרת האמורה בפיקוחו, ועתר להטיל עונש שלא יפגע בהליך הטיפולי והשיקומי.</w:t>
      </w:r>
    </w:p>
    <w:p w14:paraId="0E3FA70B" w14:textId="77777777" w:rsidR="00BE4ACB" w:rsidRDefault="00BE4ACB" w:rsidP="00BC12BC">
      <w:pPr>
        <w:spacing w:line="360" w:lineRule="auto"/>
        <w:jc w:val="both"/>
        <w:rPr>
          <w:rtl/>
        </w:rPr>
      </w:pPr>
    </w:p>
    <w:p w14:paraId="3AF819D4" w14:textId="77777777" w:rsidR="00BE4ACB" w:rsidRDefault="00BE4ACB" w:rsidP="00BC12BC">
      <w:pPr>
        <w:spacing w:line="360" w:lineRule="auto"/>
        <w:jc w:val="both"/>
        <w:rPr>
          <w:rtl/>
        </w:rPr>
      </w:pPr>
      <w:r>
        <w:rPr>
          <w:rtl/>
        </w:rPr>
        <w:t xml:space="preserve">בתסקיר משלים מיום 9.9.13 נמסר כי הנאשם השתלב בטיפול במרכז חוסן, מגיע לטיפול באופן קבוע ומשתף פעולה, וכן מוסר בדיקות שתן נקיות. לאחר שיחה עם העו"ס מהיחידה להתמכרויות </w:t>
      </w:r>
      <w:r>
        <w:rPr>
          <w:rtl/>
        </w:rPr>
        <w:lastRenderedPageBreak/>
        <w:t>בהרצליה, אצלה מטופל הנאשם מזה תקופה, וההתרשמות החיובית מההליך הטיפולי, חזר שירות המבחן על המלצתו.</w:t>
      </w:r>
    </w:p>
    <w:p w14:paraId="5B03A2C5" w14:textId="77777777" w:rsidR="00BE4ACB" w:rsidRDefault="00BE4ACB" w:rsidP="00BC12BC">
      <w:pPr>
        <w:spacing w:line="360" w:lineRule="auto"/>
        <w:jc w:val="both"/>
        <w:rPr>
          <w:rtl/>
        </w:rPr>
      </w:pPr>
    </w:p>
    <w:p w14:paraId="358847B8" w14:textId="77777777" w:rsidR="00BE4ACB" w:rsidRDefault="00BE4ACB" w:rsidP="00BC12BC">
      <w:pPr>
        <w:spacing w:line="360" w:lineRule="auto"/>
        <w:jc w:val="both"/>
        <w:rPr>
          <w:b/>
          <w:bCs/>
          <w:u w:val="single"/>
          <w:rtl/>
        </w:rPr>
      </w:pPr>
      <w:r>
        <w:rPr>
          <w:b/>
          <w:bCs/>
          <w:u w:val="single"/>
          <w:rtl/>
        </w:rPr>
        <w:t>ראיות ההגנה לעונש</w:t>
      </w:r>
    </w:p>
    <w:p w14:paraId="483423C0" w14:textId="77777777" w:rsidR="00BE4ACB" w:rsidRDefault="00BE4ACB" w:rsidP="00BC12BC">
      <w:pPr>
        <w:spacing w:line="360" w:lineRule="auto"/>
        <w:jc w:val="both"/>
        <w:rPr>
          <w:rtl/>
        </w:rPr>
      </w:pPr>
      <w:r>
        <w:rPr>
          <w:rtl/>
        </w:rPr>
        <w:t>מטעם הנאשם העידה אחותו רוית, שתיארה את השינוי במצבו של הנאשם, את לקיחת האחריות שלו על גורלו את מאמצי השיקום וההתנהגות הנורמטיבית שהוא מפגין.</w:t>
      </w:r>
    </w:p>
    <w:p w14:paraId="134C68A6" w14:textId="77777777" w:rsidR="00BE4ACB" w:rsidRDefault="00BE4ACB" w:rsidP="00BC12BC">
      <w:pPr>
        <w:spacing w:line="360" w:lineRule="auto"/>
        <w:jc w:val="both"/>
        <w:rPr>
          <w:rtl/>
        </w:rPr>
      </w:pPr>
    </w:p>
    <w:p w14:paraId="7557715B" w14:textId="77777777" w:rsidR="00BE4ACB" w:rsidRDefault="00BE4ACB" w:rsidP="00BC12BC">
      <w:pPr>
        <w:spacing w:line="360" w:lineRule="auto"/>
        <w:jc w:val="both"/>
        <w:rPr>
          <w:b/>
          <w:bCs/>
          <w:u w:val="single"/>
          <w:rtl/>
        </w:rPr>
      </w:pPr>
      <w:r>
        <w:rPr>
          <w:b/>
          <w:bCs/>
          <w:u w:val="single"/>
          <w:rtl/>
        </w:rPr>
        <w:t>טיעוני הצדדים</w:t>
      </w:r>
    </w:p>
    <w:p w14:paraId="36A4B415" w14:textId="77777777" w:rsidR="00BE4ACB" w:rsidRDefault="00BE4ACB" w:rsidP="00BC12BC">
      <w:pPr>
        <w:spacing w:line="360" w:lineRule="auto"/>
        <w:jc w:val="both"/>
        <w:rPr>
          <w:rtl/>
        </w:rPr>
      </w:pPr>
      <w:r>
        <w:rPr>
          <w:rtl/>
        </w:rPr>
        <w:t>המאשימה הדגישה את ריבוי המקרים ואת חומרתם של המעשים והפנתה לפסיקה המדגישה את חשיבות הענישה המחמירה בעבירות ממין זה. המאשימה ביקשה לראות בכל מעשה ארוע נפרד שמתחם הענישה שבו נע בין 6 – 12 חודשים, והביעה נכונות בשל הנסיבות האישיות לחפיפה חלקית כך שעתרה לעונש מאסר שבין 20 ל – 30 חודשים, המשקלל בתוכו גם את הענישה ביחס לעבירות הנוספות. כמו כן עתרה לפסילת רישיון קנס ומאסר על תנאי.</w:t>
      </w:r>
    </w:p>
    <w:p w14:paraId="679D6590" w14:textId="77777777" w:rsidR="00BE4ACB" w:rsidRDefault="00BE4ACB" w:rsidP="00BC12BC">
      <w:pPr>
        <w:spacing w:line="360" w:lineRule="auto"/>
        <w:jc w:val="both"/>
        <w:rPr>
          <w:rtl/>
        </w:rPr>
      </w:pPr>
    </w:p>
    <w:p w14:paraId="1C4E40A6" w14:textId="77777777" w:rsidR="00BE4ACB" w:rsidRDefault="00BE4ACB" w:rsidP="00BC12BC">
      <w:pPr>
        <w:spacing w:line="360" w:lineRule="auto"/>
        <w:jc w:val="both"/>
        <w:rPr>
          <w:rtl/>
        </w:rPr>
      </w:pPr>
      <w:r>
        <w:rPr>
          <w:rtl/>
        </w:rPr>
        <w:t>ההגנה ביקשה להתחשב בשינוי המשמעותי שעבר הנאשם, בנסיבות חייו הקשות ולאמץ את המלצת שירות המבחן ולהטיל עליו עונש שיקומי חינוכי בדמות של"צ, או לכל היותר עונש של עבודות שירות, אך להמנע משליחתו לכלא. ההגנה הציגה פסקי דין בהם נמנע בית המשפט מהרשעת נאשמים או הסתפק בהטלת של"צ בהתאם להמלצת שירות המבחן. ההגנה ביקשה להתחשב במצב הכלכלי הקשה לעניין הקנס.</w:t>
      </w:r>
    </w:p>
    <w:p w14:paraId="0112D309" w14:textId="77777777" w:rsidR="00BE4ACB" w:rsidRDefault="00BE4ACB" w:rsidP="00BC12BC">
      <w:pPr>
        <w:spacing w:line="360" w:lineRule="auto"/>
        <w:jc w:val="both"/>
        <w:rPr>
          <w:rtl/>
        </w:rPr>
      </w:pPr>
    </w:p>
    <w:p w14:paraId="4A36B29F" w14:textId="77777777" w:rsidR="00BE4ACB" w:rsidRDefault="00BE4ACB" w:rsidP="00BC12BC">
      <w:pPr>
        <w:spacing w:line="360" w:lineRule="auto"/>
        <w:jc w:val="both"/>
        <w:rPr>
          <w:rtl/>
        </w:rPr>
      </w:pPr>
      <w:r>
        <w:rPr>
          <w:rtl/>
        </w:rPr>
        <w:t>הנאשם הביע צער וחרטה על מעשיו, הדגיש את הדרך החדשה בה הוא מצוי ואת הבנתו את הפסול במעשים. התרשמתי כי חרטתו אינה מן הפה ולחוץ.</w:t>
      </w:r>
    </w:p>
    <w:p w14:paraId="2F6F5A00" w14:textId="77777777" w:rsidR="00BE4ACB" w:rsidRDefault="00BE4ACB" w:rsidP="00BC12BC">
      <w:pPr>
        <w:spacing w:line="360" w:lineRule="auto"/>
        <w:jc w:val="both"/>
      </w:pPr>
    </w:p>
    <w:p w14:paraId="5DDC87F1" w14:textId="77777777" w:rsidR="00BE4ACB" w:rsidRDefault="00BE4ACB" w:rsidP="00BC12BC">
      <w:pPr>
        <w:spacing w:line="360" w:lineRule="auto"/>
        <w:jc w:val="both"/>
        <w:rPr>
          <w:b/>
          <w:bCs/>
          <w:u w:val="single"/>
          <w:rtl/>
        </w:rPr>
      </w:pPr>
      <w:r>
        <w:rPr>
          <w:b/>
          <w:bCs/>
          <w:u w:val="single"/>
          <w:rtl/>
        </w:rPr>
        <w:t>דיון והכרעה</w:t>
      </w:r>
    </w:p>
    <w:p w14:paraId="70580F80" w14:textId="77777777" w:rsidR="00BE4ACB" w:rsidRDefault="00BE4ACB" w:rsidP="00BC12BC">
      <w:pPr>
        <w:spacing w:line="360" w:lineRule="auto"/>
        <w:jc w:val="both"/>
        <w:rPr>
          <w:rtl/>
        </w:rPr>
      </w:pPr>
      <w:r>
        <w:rPr>
          <w:rtl/>
        </w:rPr>
        <w:t>בהתאם לתיקון לחוק, תחילה נקבע מתחם הענישה, ולאחר מכן נקבע העונש הקונקרטי בתוך המתחם, אלא אם שוכנע בית המשפט כי מתקיימים טעמי שיקום המצדיקים סטיה לקולא מהמתחם או טעמי שלום הציבור המצדיקים סטייה לחומרה ממנו.</w:t>
      </w:r>
    </w:p>
    <w:p w14:paraId="7D57915D" w14:textId="77777777" w:rsidR="00BE4ACB" w:rsidRDefault="00BE4ACB" w:rsidP="00BC12BC">
      <w:pPr>
        <w:spacing w:line="360" w:lineRule="auto"/>
        <w:jc w:val="both"/>
        <w:rPr>
          <w:rtl/>
        </w:rPr>
      </w:pPr>
    </w:p>
    <w:p w14:paraId="2370A455" w14:textId="77777777" w:rsidR="00BE4ACB" w:rsidRDefault="00BE4ACB" w:rsidP="00BC12BC">
      <w:pPr>
        <w:spacing w:line="360" w:lineRule="auto"/>
        <w:jc w:val="both"/>
        <w:rPr>
          <w:rtl/>
        </w:rPr>
      </w:pPr>
      <w:r>
        <w:rPr>
          <w:rtl/>
        </w:rPr>
        <w:t>בבואי לקבוע את העונש הראוי, יש לקבוע תחילה את מתחם העונש ההולם בהתחשב בחומרת המעשים בנסיבותיהם ובמידת אשמו של הנאשם, ברמת הפגיעה בערכים המוגנים ובמדיניות הענישה הנוהגת.</w:t>
      </w:r>
    </w:p>
    <w:p w14:paraId="335D1AFC" w14:textId="77777777" w:rsidR="00BE4ACB" w:rsidRDefault="00BE4ACB" w:rsidP="00BC12BC">
      <w:pPr>
        <w:spacing w:line="360" w:lineRule="auto"/>
        <w:jc w:val="both"/>
        <w:rPr>
          <w:rtl/>
        </w:rPr>
      </w:pPr>
    </w:p>
    <w:p w14:paraId="15E101AD" w14:textId="77777777" w:rsidR="00BE4ACB" w:rsidRDefault="00BE4ACB" w:rsidP="00BC12BC">
      <w:pPr>
        <w:spacing w:line="360" w:lineRule="auto"/>
        <w:jc w:val="both"/>
        <w:rPr>
          <w:rtl/>
        </w:rPr>
      </w:pPr>
      <w:r>
        <w:rPr>
          <w:rtl/>
        </w:rPr>
        <w:t>בתיק שלפניי מדובר בשורה של מכירות לאותו לקוח המתפרשות על פני מספר חודשים של סם מסוג חשיש בכמויות קטנות באופן יחסי בכל מכירה, למטרת בצע כסף, כשהמכירות בוצעו בפועל והסם הועבר ללקוח. בנוסף קיים ארוע אחד של אספקה ללא תמורה לאחר של סם בכמויות דומות.</w:t>
      </w:r>
    </w:p>
    <w:p w14:paraId="740A124D" w14:textId="77777777" w:rsidR="00BE4ACB" w:rsidRDefault="00BE4ACB" w:rsidP="00BC12BC">
      <w:pPr>
        <w:spacing w:line="360" w:lineRule="auto"/>
        <w:jc w:val="both"/>
        <w:rPr>
          <w:rtl/>
        </w:rPr>
      </w:pPr>
    </w:p>
    <w:p w14:paraId="416D069D" w14:textId="77777777" w:rsidR="00BE4ACB" w:rsidRDefault="00BE4ACB" w:rsidP="00BC12BC">
      <w:pPr>
        <w:spacing w:line="360" w:lineRule="auto"/>
        <w:jc w:val="both"/>
        <w:rPr>
          <w:rtl/>
        </w:rPr>
      </w:pPr>
      <w:r>
        <w:rPr>
          <w:rtl/>
        </w:rPr>
        <w:t>דומה שאין צורך לחזור ולפרט את הנזקים שגורמים סמים, לרבות חשיש, ואת החומרה שבסחר בסם והפצתו וההשפעה ההרסנית על החברה. פגיעתם של סוחרים וספקי סם היא רבה, ומעשיהם מאפשרים לציבור רחב את השימוש בסמים. מעשים אלה פוגעים בביטחון הציבור בשלום הציבור ובבריאותו, ומידת פגיעתם גבוהה. מדיניות הענישה כלפי מי שמפיץ סמים, בתמורה או שלא בתמורה, היא מחמירה ונועדה לשרש את התופעה.</w:t>
      </w:r>
    </w:p>
    <w:p w14:paraId="0EA38B95" w14:textId="77777777" w:rsidR="00BE4ACB" w:rsidRDefault="00BE4ACB" w:rsidP="00BC12BC">
      <w:pPr>
        <w:spacing w:line="360" w:lineRule="auto"/>
        <w:jc w:val="both"/>
        <w:rPr>
          <w:rtl/>
        </w:rPr>
      </w:pPr>
    </w:p>
    <w:p w14:paraId="332E7EBD" w14:textId="77777777" w:rsidR="00BE4ACB" w:rsidRDefault="00BE4ACB" w:rsidP="00BC12BC">
      <w:pPr>
        <w:spacing w:line="360" w:lineRule="auto"/>
        <w:jc w:val="both"/>
        <w:rPr>
          <w:rtl/>
        </w:rPr>
      </w:pPr>
      <w:r>
        <w:rPr>
          <w:rtl/>
        </w:rPr>
        <w:t xml:space="preserve">לאור העובדה שמדובר היה בלקוח אחד, ובמכירות לאורך תקופה של מספר חודשים, אני רואה בכל האישומים הנוגעים לסחר משום ארוע אחד לצורך גזירת הדין. </w:t>
      </w:r>
    </w:p>
    <w:p w14:paraId="19C0E790" w14:textId="77777777" w:rsidR="00BE4ACB" w:rsidRDefault="00BE4ACB" w:rsidP="00BC12BC">
      <w:pPr>
        <w:spacing w:line="360" w:lineRule="auto"/>
        <w:jc w:val="both"/>
        <w:rPr>
          <w:rtl/>
        </w:rPr>
      </w:pPr>
      <w:r>
        <w:rPr>
          <w:rtl/>
        </w:rPr>
        <w:t>אני רואה בארוע האספקה לאחר ארוע נוסף, ובהחזקת הסם לצריכה עצמית וקבלת נכסים שהושגו בעבירה כארועים נוספים נפרדים.</w:t>
      </w:r>
    </w:p>
    <w:p w14:paraId="18803D0E" w14:textId="77777777" w:rsidR="00BE4ACB" w:rsidRDefault="00BE4ACB" w:rsidP="00BC12BC">
      <w:pPr>
        <w:spacing w:line="360" w:lineRule="auto"/>
        <w:jc w:val="both"/>
        <w:rPr>
          <w:rtl/>
        </w:rPr>
      </w:pPr>
    </w:p>
    <w:p w14:paraId="0AB30F57" w14:textId="77777777" w:rsidR="00BE4ACB" w:rsidRDefault="00BE4ACB" w:rsidP="00BC12BC">
      <w:pPr>
        <w:spacing w:line="360" w:lineRule="auto"/>
        <w:jc w:val="both"/>
        <w:rPr>
          <w:rtl/>
        </w:rPr>
      </w:pPr>
      <w:r>
        <w:rPr>
          <w:rtl/>
        </w:rPr>
        <w:t>מתחם הענישה לעבירות הסחר, בהתחשב בכך שמדובר במקרים ספורים של מכירת חשיש בכמויות קטנות יחסית לאותו לקוח במשך חמישה חודשים, נע בין שישה חודשי מאסר לשמונה עשר חודשים.</w:t>
      </w:r>
    </w:p>
    <w:p w14:paraId="12603A80" w14:textId="77777777" w:rsidR="00BE4ACB" w:rsidRDefault="00BE4ACB" w:rsidP="00BC12BC">
      <w:pPr>
        <w:spacing w:line="360" w:lineRule="auto"/>
        <w:jc w:val="both"/>
        <w:rPr>
          <w:rtl/>
        </w:rPr>
      </w:pPr>
    </w:p>
    <w:p w14:paraId="10B0F554" w14:textId="77777777" w:rsidR="00BE4ACB" w:rsidRDefault="00BE4ACB" w:rsidP="00BC12BC">
      <w:pPr>
        <w:spacing w:line="360" w:lineRule="auto"/>
        <w:jc w:val="both"/>
        <w:rPr>
          <w:rtl/>
        </w:rPr>
      </w:pPr>
      <w:r>
        <w:rPr>
          <w:rtl/>
        </w:rPr>
        <w:t>מתחם הענישה לעבירת האספקה של חתיכת חשיש בגודל 1.5 ס"מ, נע בין חודשיים לתשעה חודשי מאסר.</w:t>
      </w:r>
    </w:p>
    <w:p w14:paraId="6FC04D29" w14:textId="77777777" w:rsidR="00BE4ACB" w:rsidRDefault="00BE4ACB" w:rsidP="00BC12BC">
      <w:pPr>
        <w:spacing w:line="360" w:lineRule="auto"/>
        <w:jc w:val="both"/>
        <w:rPr>
          <w:rtl/>
        </w:rPr>
      </w:pPr>
    </w:p>
    <w:p w14:paraId="3F5D2032" w14:textId="77777777" w:rsidR="00BE4ACB" w:rsidRDefault="00BE4ACB" w:rsidP="00BC12BC">
      <w:pPr>
        <w:spacing w:line="360" w:lineRule="auto"/>
        <w:jc w:val="both"/>
        <w:rPr>
          <w:rtl/>
        </w:rPr>
      </w:pPr>
      <w:r>
        <w:rPr>
          <w:rtl/>
        </w:rPr>
        <w:t>מתחם הענישה לעבירה של החזקה עצמית, בהתחשב באופי הסם וכמותו ונסיבות החזקתו, נע בין מאסר על תנאי למאסר לתקופה של חודשים ספורים.</w:t>
      </w:r>
    </w:p>
    <w:p w14:paraId="72A8F334" w14:textId="77777777" w:rsidR="00BE4ACB" w:rsidRDefault="00BE4ACB" w:rsidP="00BC12BC">
      <w:pPr>
        <w:spacing w:line="360" w:lineRule="auto"/>
        <w:jc w:val="both"/>
        <w:rPr>
          <w:rtl/>
        </w:rPr>
      </w:pPr>
    </w:p>
    <w:p w14:paraId="56871850" w14:textId="77777777" w:rsidR="00BE4ACB" w:rsidRDefault="00BE4ACB" w:rsidP="00BC12BC">
      <w:pPr>
        <w:spacing w:line="360" w:lineRule="auto"/>
        <w:jc w:val="both"/>
      </w:pPr>
      <w:r>
        <w:rPr>
          <w:rtl/>
        </w:rPr>
        <w:t>מתחם הענישה לעבירה של קבלת נכסים שהושגו בעבירה בהתחשב באופי הרכוש וערכו, נע בין מאסר על תנאי למאסר לתקופה של חודשים ספורים.</w:t>
      </w:r>
    </w:p>
    <w:p w14:paraId="17BC89CF" w14:textId="77777777" w:rsidR="00BE4ACB" w:rsidRDefault="00BE4ACB" w:rsidP="00BC12BC">
      <w:pPr>
        <w:spacing w:line="360" w:lineRule="auto"/>
        <w:jc w:val="both"/>
        <w:rPr>
          <w:rtl/>
        </w:rPr>
      </w:pPr>
    </w:p>
    <w:p w14:paraId="36FF8E63" w14:textId="77777777" w:rsidR="00BE4ACB" w:rsidRDefault="00BE4ACB" w:rsidP="00BC12BC">
      <w:pPr>
        <w:spacing w:line="360" w:lineRule="auto"/>
        <w:jc w:val="both"/>
        <w:rPr>
          <w:rtl/>
        </w:rPr>
      </w:pPr>
      <w:r>
        <w:rPr>
          <w:rtl/>
        </w:rPr>
        <w:t xml:space="preserve">בתיק שלפניי אני לוקחת בחשבון את גילו הצעיר של הנאשם, הרקע המשפחתי הקשה והתמכרותו  לסמים בתקופת ביצוע העבירות. כמו כן אני מתחשבת בעובדה שלמרות הנסיבות הקשות אין לנאשם עבר פלילי. חשיבות של ממש אני מייחסת להתנקותו העצמית מסמים, והירתמותו להליך שיקום שנמשך למעלה משנה, כששירות המבחן ויתר הגורמים הטיפוליים מתרשמים מהליך מעמיק ואפקטיבי וממוטיבציה פנימית עמוקה מצד הנאשם. </w:t>
      </w:r>
    </w:p>
    <w:p w14:paraId="05062AAF" w14:textId="77777777" w:rsidR="00BE4ACB" w:rsidRDefault="00BE4ACB" w:rsidP="00BC12BC">
      <w:pPr>
        <w:spacing w:line="360" w:lineRule="auto"/>
        <w:jc w:val="both"/>
        <w:rPr>
          <w:rtl/>
        </w:rPr>
      </w:pPr>
    </w:p>
    <w:p w14:paraId="58A03053" w14:textId="77777777" w:rsidR="00BE4ACB" w:rsidRDefault="00BE4ACB" w:rsidP="00BC12BC">
      <w:pPr>
        <w:spacing w:line="360" w:lineRule="auto"/>
        <w:jc w:val="both"/>
        <w:rPr>
          <w:rtl/>
        </w:rPr>
      </w:pPr>
      <w:r>
        <w:rPr>
          <w:rtl/>
        </w:rPr>
        <w:t xml:space="preserve">יש לזכור כי האינטרס השיקומי אינו רק של הנאשם אלא אינטרס ציבורי שהנאשם יגמל מהתמכרותו ויתנתק מאורח חיים שולי ויהפוך לאזרח מתפקד ותורם בחברה. </w:t>
      </w:r>
    </w:p>
    <w:p w14:paraId="146AB533" w14:textId="77777777" w:rsidR="00BE4ACB" w:rsidRDefault="00BE4ACB" w:rsidP="00BC12BC">
      <w:pPr>
        <w:spacing w:line="360" w:lineRule="auto"/>
        <w:jc w:val="both"/>
        <w:rPr>
          <w:rtl/>
        </w:rPr>
      </w:pPr>
    </w:p>
    <w:p w14:paraId="5CB61F39" w14:textId="77777777" w:rsidR="00BE4ACB" w:rsidRDefault="00BE4ACB" w:rsidP="00BC12BC">
      <w:pPr>
        <w:spacing w:line="360" w:lineRule="auto"/>
        <w:jc w:val="both"/>
        <w:rPr>
          <w:rtl/>
        </w:rPr>
      </w:pPr>
      <w:r>
        <w:rPr>
          <w:rtl/>
        </w:rPr>
        <w:t>הנאשם הודה במיוחס לו, חסך זמן שיפוטי והביע חרטה כנה.</w:t>
      </w:r>
    </w:p>
    <w:p w14:paraId="51D8A24D" w14:textId="77777777" w:rsidR="00BE4ACB" w:rsidRDefault="00BE4ACB" w:rsidP="00BC12BC">
      <w:pPr>
        <w:spacing w:line="360" w:lineRule="auto"/>
        <w:jc w:val="both"/>
        <w:rPr>
          <w:rtl/>
        </w:rPr>
      </w:pPr>
    </w:p>
    <w:p w14:paraId="7ED74095" w14:textId="77777777" w:rsidR="00BE4ACB" w:rsidRDefault="00BE4ACB" w:rsidP="00BC12BC">
      <w:pPr>
        <w:spacing w:line="360" w:lineRule="auto"/>
        <w:jc w:val="both"/>
        <w:rPr>
          <w:rtl/>
        </w:rPr>
      </w:pPr>
      <w:r>
        <w:rPr>
          <w:rtl/>
        </w:rPr>
        <w:t>לאחר שלקחתי בחשבון את חומרת המעשים בנסיבותיהם ואת מידת אשמו של הנאשם, הגעתי למסקנה כי אמנם אין מקום לחרוג ממתחם הענישה לקולא, ועונש של"צ אינו הולם את חומרת המעשים, גם בהתחשב בשיקולים השיקומיים, אך יש מקום לענישה בתחתית מתחם הענישה ובחפיפה של העונשים, כך שהנאשם ירצה את עונשו בדרך של עבודות שירות לתקופה המקסימלית ולא בבית הסוהר. הנאשם נשלח לממונה ונמצא מתאים לביצוע עבודות שירות.</w:t>
      </w:r>
    </w:p>
    <w:p w14:paraId="22D58174" w14:textId="77777777" w:rsidR="00BE4ACB" w:rsidRDefault="00BE4ACB" w:rsidP="00BC12BC">
      <w:pPr>
        <w:spacing w:line="360" w:lineRule="auto"/>
        <w:jc w:val="both"/>
        <w:rPr>
          <w:rtl/>
        </w:rPr>
      </w:pPr>
    </w:p>
    <w:p w14:paraId="73D3F337" w14:textId="77777777" w:rsidR="00BE4ACB" w:rsidRDefault="00BE4ACB" w:rsidP="00BC12BC">
      <w:pPr>
        <w:spacing w:line="360" w:lineRule="auto"/>
        <w:jc w:val="both"/>
        <w:rPr>
          <w:rtl/>
        </w:rPr>
      </w:pPr>
      <w:r>
        <w:rPr>
          <w:rtl/>
        </w:rPr>
        <w:t>לעניין הענישה הכלכלית, עסקינן בעבירות שמבוצעות מטעמים של כדאיות כלכלית, ועל מנת לעקר את הכדאיות בביצוען יש מקום לענישה כספית. עם זאת, מראיות ההגנה וטיעוניה נוכחתי כי מצבו הכלכלי של הנאשם קשה, ובהתחשב ביתר מרכיבי הענישה, אני סבורה כי יש מקום להתחשב בכך ולהטיל את עיקר הענישה בדרך של התחייבות להמנע מעבירה.</w:t>
      </w:r>
    </w:p>
    <w:p w14:paraId="2526680A" w14:textId="77777777" w:rsidR="00BE4ACB" w:rsidRDefault="00BE4ACB" w:rsidP="00BC12BC">
      <w:pPr>
        <w:spacing w:line="360" w:lineRule="auto"/>
        <w:jc w:val="both"/>
        <w:rPr>
          <w:rtl/>
        </w:rPr>
      </w:pPr>
    </w:p>
    <w:p w14:paraId="4D720034" w14:textId="77777777" w:rsidR="00BE4ACB" w:rsidRDefault="00BE4ACB" w:rsidP="00BC12BC">
      <w:pPr>
        <w:spacing w:line="360" w:lineRule="auto"/>
        <w:jc w:val="both"/>
        <w:rPr>
          <w:rtl/>
        </w:rPr>
      </w:pPr>
      <w:r>
        <w:rPr>
          <w:rtl/>
        </w:rPr>
        <w:t>לעניין פסילת רישיון יש הסכמה בין הצדדים.</w:t>
      </w:r>
    </w:p>
    <w:p w14:paraId="297EAA0D" w14:textId="77777777" w:rsidR="00BE4ACB" w:rsidRDefault="00BE4ACB" w:rsidP="00BC12BC">
      <w:pPr>
        <w:spacing w:line="360" w:lineRule="auto"/>
        <w:jc w:val="both"/>
        <w:rPr>
          <w:rtl/>
        </w:rPr>
      </w:pPr>
    </w:p>
    <w:p w14:paraId="7B4E826C" w14:textId="77777777" w:rsidR="00BE4ACB" w:rsidRDefault="00BE4ACB" w:rsidP="00BC12BC">
      <w:pPr>
        <w:spacing w:line="360" w:lineRule="auto"/>
        <w:jc w:val="both"/>
        <w:rPr>
          <w:rtl/>
        </w:rPr>
      </w:pPr>
      <w:r>
        <w:rPr>
          <w:rtl/>
        </w:rPr>
        <w:t>אשר על כן אני גוזרת על הנאשם עונשים כדלקמן.</w:t>
      </w:r>
    </w:p>
    <w:p w14:paraId="0DEE50F0" w14:textId="77777777" w:rsidR="00BE4ACB" w:rsidRDefault="00BE4ACB" w:rsidP="00527BB3">
      <w:pPr>
        <w:spacing w:line="360" w:lineRule="auto"/>
        <w:ind w:left="720" w:hanging="720"/>
        <w:jc w:val="both"/>
        <w:rPr>
          <w:rtl/>
        </w:rPr>
      </w:pPr>
      <w:r>
        <w:rPr>
          <w:rtl/>
        </w:rPr>
        <w:t xml:space="preserve">1. </w:t>
      </w:r>
      <w:r>
        <w:rPr>
          <w:rtl/>
        </w:rPr>
        <w:tab/>
        <w:t>מאסר למשך 6 חודשים שירוצה בעבודות שירות בבית אבות קוק החל מיום 22.10.13. הנאשם יתייצב במפקדת מחוז מרכז בשעה 8:00. הובהרו לנאשם משמעויות אי עמידה בתנאי עבודות השירות, וכן הובהר לו כי כל גילוי של מעורבות  בקשר לסמים עשוי להביא לריצוי מאסרו מאחורי סורג ובריח.</w:t>
      </w:r>
    </w:p>
    <w:p w14:paraId="0AA3C9A7" w14:textId="77777777" w:rsidR="00BE4ACB" w:rsidRDefault="00BE4ACB" w:rsidP="00373DFC">
      <w:pPr>
        <w:spacing w:line="360" w:lineRule="auto"/>
        <w:ind w:left="720" w:hanging="720"/>
        <w:jc w:val="both"/>
        <w:rPr>
          <w:rtl/>
        </w:rPr>
      </w:pPr>
      <w:r>
        <w:rPr>
          <w:rtl/>
        </w:rPr>
        <w:t xml:space="preserve">2. </w:t>
      </w:r>
      <w:r>
        <w:rPr>
          <w:rtl/>
        </w:rPr>
        <w:tab/>
        <w:t>מאסר על תנאי למשך 12 חודשים לתקופה של שלוש שנים והתנאי שהנאשם לא יעבור עבירות על פקודת הסמים מסוג פשע.</w:t>
      </w:r>
    </w:p>
    <w:p w14:paraId="487BC390" w14:textId="77777777" w:rsidR="00BE4ACB" w:rsidRDefault="00BE4ACB" w:rsidP="00373DFC">
      <w:pPr>
        <w:spacing w:line="360" w:lineRule="auto"/>
        <w:ind w:left="720" w:hanging="720"/>
        <w:jc w:val="both"/>
        <w:rPr>
          <w:rtl/>
        </w:rPr>
      </w:pPr>
      <w:r>
        <w:rPr>
          <w:rtl/>
        </w:rPr>
        <w:t xml:space="preserve">3. </w:t>
      </w:r>
      <w:r>
        <w:rPr>
          <w:rtl/>
        </w:rPr>
        <w:tab/>
        <w:t>מאסר על תנאי למשך 4 חודשים לתקופה של שלוש שנים והתנאי שהנאשם לא יעבור עבירות על פקודת הסמים מסוג עוון וכן עבירה של קבלת נכסים שהושגו בעוון.</w:t>
      </w:r>
    </w:p>
    <w:p w14:paraId="4F0A587C" w14:textId="77777777" w:rsidR="00BE4ACB" w:rsidRDefault="00BE4ACB" w:rsidP="00373DFC">
      <w:pPr>
        <w:spacing w:line="360" w:lineRule="auto"/>
        <w:ind w:left="720" w:hanging="720"/>
        <w:jc w:val="both"/>
        <w:rPr>
          <w:rtl/>
        </w:rPr>
      </w:pPr>
      <w:r>
        <w:rPr>
          <w:rtl/>
        </w:rPr>
        <w:t xml:space="preserve">4. </w:t>
      </w:r>
      <w:r>
        <w:rPr>
          <w:rtl/>
        </w:rPr>
        <w:tab/>
        <w:t>קנס בסך 1,500 ₪ או 3 ימי מאסר תמורתו. הקנס ישולם בחמישה תשלומים חודשיים שווים ורציפים שהראשון בהם ביום 1.1.14. לא ישולם תשלום תעמוד יתרת הקנס לפרעון.</w:t>
      </w:r>
    </w:p>
    <w:p w14:paraId="5AF15979" w14:textId="77777777" w:rsidR="00BE4ACB" w:rsidRDefault="00BE4ACB" w:rsidP="00373DFC">
      <w:pPr>
        <w:spacing w:line="360" w:lineRule="auto"/>
        <w:ind w:left="720" w:hanging="720"/>
        <w:jc w:val="both"/>
        <w:rPr>
          <w:rtl/>
        </w:rPr>
      </w:pPr>
      <w:r>
        <w:rPr>
          <w:rtl/>
        </w:rPr>
        <w:tab/>
        <w:t xml:space="preserve">לבקשת הסנגורית, יש לקזז את סכום הקנס מסכום ההפקדה בתיק </w:t>
      </w:r>
      <w:hyperlink r:id="rId20" w:history="1">
        <w:r w:rsidR="00C46DF4" w:rsidRPr="00C46DF4">
          <w:rPr>
            <w:color w:val="0000FF"/>
            <w:u w:val="single"/>
            <w:rtl/>
          </w:rPr>
          <w:t>מ"ת 20638-05-12</w:t>
        </w:r>
      </w:hyperlink>
      <w:r>
        <w:rPr>
          <w:rtl/>
        </w:rPr>
        <w:t xml:space="preserve"> ואת היתרה בסך 500 ₪ להשיב לגורם המפקיד. </w:t>
      </w:r>
    </w:p>
    <w:p w14:paraId="78025B48" w14:textId="77777777" w:rsidR="00BE4ACB" w:rsidRDefault="00BE4ACB" w:rsidP="00527BB3">
      <w:pPr>
        <w:spacing w:line="360" w:lineRule="auto"/>
        <w:ind w:left="720" w:hanging="720"/>
        <w:jc w:val="both"/>
        <w:rPr>
          <w:rtl/>
        </w:rPr>
      </w:pPr>
      <w:r>
        <w:rPr>
          <w:rtl/>
        </w:rPr>
        <w:t xml:space="preserve">5. </w:t>
      </w:r>
      <w:r>
        <w:rPr>
          <w:rtl/>
        </w:rPr>
        <w:tab/>
        <w:t>הנאשם יחתום על התחייבות על סך 20,000 ₪ להמנע במשך שנתיים מביצוע עבירה על פקודת הסמים מסוג פשע. לא יחתום יאסר לתקופה של 40 יום.</w:t>
      </w:r>
    </w:p>
    <w:p w14:paraId="0D74E1AE" w14:textId="77777777" w:rsidR="00BE4ACB" w:rsidRDefault="00BE4ACB" w:rsidP="00BC12BC">
      <w:pPr>
        <w:spacing w:line="360" w:lineRule="auto"/>
        <w:jc w:val="both"/>
        <w:rPr>
          <w:rtl/>
        </w:rPr>
      </w:pPr>
      <w:r>
        <w:rPr>
          <w:rtl/>
        </w:rPr>
        <w:t xml:space="preserve">6. </w:t>
      </w:r>
      <w:r>
        <w:rPr>
          <w:rtl/>
        </w:rPr>
        <w:tab/>
        <w:t>פסילת רישיון נהיגה למשך 12 חודשים.</w:t>
      </w:r>
    </w:p>
    <w:p w14:paraId="580281E3" w14:textId="77777777" w:rsidR="00BE4ACB" w:rsidRDefault="00BE4ACB" w:rsidP="00BC12BC">
      <w:pPr>
        <w:spacing w:line="360" w:lineRule="auto"/>
        <w:jc w:val="both"/>
        <w:rPr>
          <w:rtl/>
        </w:rPr>
      </w:pPr>
      <w:r>
        <w:rPr>
          <w:rtl/>
        </w:rPr>
        <w:t>7.</w:t>
      </w:r>
      <w:r>
        <w:rPr>
          <w:rtl/>
        </w:rPr>
        <w:tab/>
        <w:t xml:space="preserve">ניתן צו כללי לשיקול דעת המאשימה. </w:t>
      </w:r>
    </w:p>
    <w:p w14:paraId="733DCBB6" w14:textId="77777777" w:rsidR="00BE4ACB" w:rsidRDefault="00BE4ACB" w:rsidP="00BC12BC">
      <w:pPr>
        <w:spacing w:line="360" w:lineRule="auto"/>
        <w:jc w:val="both"/>
        <w:rPr>
          <w:rtl/>
        </w:rPr>
      </w:pPr>
    </w:p>
    <w:p w14:paraId="24BCF4B0" w14:textId="77777777" w:rsidR="00BE4ACB" w:rsidRDefault="00BE4ACB" w:rsidP="00BC12BC">
      <w:pPr>
        <w:spacing w:line="360" w:lineRule="auto"/>
        <w:jc w:val="both"/>
        <w:rPr>
          <w:rtl/>
        </w:rPr>
      </w:pPr>
      <w:r>
        <w:rPr>
          <w:rtl/>
        </w:rPr>
        <w:t>זכות ערעור לבית המשפט המחוזי תוך 45 יום.</w:t>
      </w:r>
    </w:p>
    <w:p w14:paraId="0003C940" w14:textId="77777777" w:rsidR="00BE4ACB" w:rsidRDefault="00BE4ACB" w:rsidP="00BC12BC">
      <w:pPr>
        <w:spacing w:line="360" w:lineRule="auto"/>
        <w:jc w:val="both"/>
        <w:rPr>
          <w:rtl/>
        </w:rPr>
      </w:pPr>
    </w:p>
    <w:p w14:paraId="2C4C5067" w14:textId="77777777" w:rsidR="00BE4ACB" w:rsidRDefault="00BE4ACB" w:rsidP="00BC12BC">
      <w:pPr>
        <w:spacing w:line="360" w:lineRule="auto"/>
        <w:jc w:val="both"/>
        <w:rPr>
          <w:rtl/>
        </w:rPr>
      </w:pPr>
      <w:r>
        <w:rPr>
          <w:rtl/>
        </w:rPr>
        <w:t>המזכירות תשלח עותק מפסה"ד לממונה על עבודות שירות ולשירות המבחן.</w:t>
      </w:r>
    </w:p>
    <w:p w14:paraId="06B54315" w14:textId="77777777" w:rsidR="00BE4ACB" w:rsidRDefault="00BE4ACB" w:rsidP="00E06ED4">
      <w:pPr>
        <w:spacing w:line="360" w:lineRule="auto"/>
        <w:jc w:val="both"/>
        <w:rPr>
          <w:sz w:val="6"/>
          <w:szCs w:val="6"/>
        </w:rPr>
      </w:pPr>
      <w:r>
        <w:rPr>
          <w:sz w:val="6"/>
          <w:szCs w:val="6"/>
          <w:rtl/>
        </w:rPr>
        <w:t>&lt;#3#&gt;</w:t>
      </w:r>
    </w:p>
    <w:p w14:paraId="72DB3EC0" w14:textId="77777777" w:rsidR="00BE4ACB" w:rsidRPr="00C46DF4" w:rsidRDefault="00C46DF4">
      <w:pPr>
        <w:jc w:val="right"/>
        <w:rPr>
          <w:color w:val="FFFFFF"/>
          <w:sz w:val="2"/>
          <w:szCs w:val="2"/>
          <w:rtl/>
        </w:rPr>
      </w:pPr>
      <w:r w:rsidRPr="00C46DF4">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E4ACB" w14:paraId="0113F3B5" w14:textId="77777777" w:rsidTr="00522A0B">
        <w:trPr>
          <w:trHeight w:val="364"/>
          <w:jc w:val="right"/>
        </w:trPr>
        <w:tc>
          <w:tcPr>
            <w:tcW w:w="3708" w:type="dxa"/>
          </w:tcPr>
          <w:p w14:paraId="60034432" w14:textId="77777777" w:rsidR="00BE4ACB" w:rsidRPr="00522A0B" w:rsidRDefault="00C46DF4" w:rsidP="00C46DF4">
            <w:pPr>
              <w:jc w:val="center"/>
              <w:rPr>
                <w:rFonts w:ascii="Times New Roman" w:hAnsi="Times New Roman" w:cs="Times New Roman"/>
              </w:rPr>
            </w:pPr>
            <w:bookmarkStart w:id="8" w:name="Nitan"/>
            <w:r w:rsidRPr="00C46DF4">
              <w:rPr>
                <w:b/>
                <w:bCs/>
                <w:color w:val="FFFFFF"/>
                <w:sz w:val="2"/>
                <w:szCs w:val="2"/>
                <w:rtl/>
              </w:rPr>
              <w:t>54678313</w:t>
            </w:r>
            <w:r>
              <w:rPr>
                <w:b/>
                <w:bCs/>
                <w:rtl/>
              </w:rPr>
              <w:t xml:space="preserve">ניתן והודע היום ח' תשרי תשע"ד, 12/09/2013 במעמד הנוכחים. </w:t>
            </w:r>
            <w:bookmarkEnd w:id="8"/>
          </w:p>
          <w:p w14:paraId="785C1EBB" w14:textId="77777777" w:rsidR="00BE4ACB" w:rsidRPr="00522A0B" w:rsidRDefault="00BE4ACB" w:rsidP="00522A0B">
            <w:pPr>
              <w:jc w:val="center"/>
              <w:rPr>
                <w:rFonts w:ascii="Times New Roman" w:hAnsi="Times New Roman" w:cs="Times New Roman"/>
                <w:rtl/>
              </w:rPr>
            </w:pPr>
          </w:p>
        </w:tc>
      </w:tr>
      <w:tr w:rsidR="00BE4ACB" w14:paraId="42B39250" w14:textId="77777777" w:rsidTr="00522A0B">
        <w:trPr>
          <w:trHeight w:val="415"/>
          <w:jc w:val="right"/>
        </w:trPr>
        <w:tc>
          <w:tcPr>
            <w:tcW w:w="3708" w:type="dxa"/>
          </w:tcPr>
          <w:p w14:paraId="75791F52" w14:textId="77777777" w:rsidR="00BE4ACB" w:rsidRPr="00522A0B" w:rsidRDefault="00BE4ACB" w:rsidP="00522A0B">
            <w:pPr>
              <w:jc w:val="center"/>
              <w:rPr>
                <w:rFonts w:ascii="Times New Roman" w:hAnsi="Times New Roman"/>
                <w:b/>
                <w:bCs/>
                <w:rtl/>
              </w:rPr>
            </w:pPr>
            <w:r w:rsidRPr="00522A0B">
              <w:rPr>
                <w:rFonts w:ascii="Times New Roman" w:hAnsi="Times New Roman"/>
                <w:b/>
                <w:bCs/>
                <w:rtl/>
              </w:rPr>
              <w:t>לימור מרגולין-יחידי, שופטת</w:t>
            </w:r>
          </w:p>
        </w:tc>
      </w:tr>
    </w:tbl>
    <w:p w14:paraId="7E00E04C" w14:textId="77777777" w:rsidR="00BE4ACB" w:rsidRDefault="00BE4ACB" w:rsidP="00BC12BC">
      <w:pPr>
        <w:spacing w:line="360" w:lineRule="auto"/>
        <w:jc w:val="both"/>
        <w:rPr>
          <w:rtl/>
        </w:rPr>
      </w:pPr>
    </w:p>
    <w:p w14:paraId="02A9D0A1" w14:textId="77777777" w:rsidR="00BE4ACB" w:rsidRPr="00C46DF4" w:rsidRDefault="00BE4ACB" w:rsidP="00C46DF4">
      <w:pPr>
        <w:keepNext/>
        <w:spacing w:line="360" w:lineRule="auto"/>
        <w:rPr>
          <w:color w:val="000000"/>
          <w:sz w:val="22"/>
          <w:szCs w:val="22"/>
          <w:rtl/>
        </w:rPr>
      </w:pPr>
    </w:p>
    <w:p w14:paraId="47B55E45" w14:textId="77777777" w:rsidR="00C46DF4" w:rsidRPr="00C46DF4" w:rsidRDefault="00C46DF4" w:rsidP="00C46DF4">
      <w:pPr>
        <w:keepNext/>
        <w:spacing w:line="360" w:lineRule="auto"/>
        <w:rPr>
          <w:color w:val="000000"/>
          <w:sz w:val="22"/>
          <w:szCs w:val="22"/>
          <w:rtl/>
        </w:rPr>
      </w:pPr>
      <w:r w:rsidRPr="00C46DF4">
        <w:rPr>
          <w:color w:val="000000"/>
          <w:sz w:val="22"/>
          <w:szCs w:val="22"/>
          <w:rtl/>
        </w:rPr>
        <w:t>לימור מרגולין יחידי 54678313</w:t>
      </w:r>
    </w:p>
    <w:p w14:paraId="13EE563D" w14:textId="77777777" w:rsidR="00C46DF4" w:rsidRDefault="00C46DF4" w:rsidP="00C46DF4">
      <w:pPr>
        <w:spacing w:line="360" w:lineRule="auto"/>
        <w:rPr>
          <w:rtl/>
        </w:rPr>
      </w:pPr>
      <w:r w:rsidRPr="00C46DF4">
        <w:rPr>
          <w:color w:val="000000"/>
          <w:rtl/>
        </w:rPr>
        <w:t>נוסח מסמך זה כפוף לשינויי ניסוח ועריכה</w:t>
      </w:r>
    </w:p>
    <w:p w14:paraId="396F0C1F" w14:textId="77777777" w:rsidR="00C46DF4" w:rsidRDefault="00C46DF4" w:rsidP="00C46DF4">
      <w:pPr>
        <w:spacing w:line="360" w:lineRule="auto"/>
        <w:rPr>
          <w:rtl/>
        </w:rPr>
      </w:pPr>
    </w:p>
    <w:p w14:paraId="7430D04F" w14:textId="77777777" w:rsidR="00C46DF4" w:rsidRDefault="00C46DF4" w:rsidP="00C46DF4">
      <w:pPr>
        <w:spacing w:line="360" w:lineRule="auto"/>
        <w:jc w:val="center"/>
        <w:rPr>
          <w:color w:val="0000FF"/>
          <w:u w:val="single"/>
          <w:rtl/>
        </w:rPr>
      </w:pPr>
      <w:hyperlink r:id="rId21" w:history="1">
        <w:r>
          <w:rPr>
            <w:color w:val="0000FF"/>
            <w:u w:val="single"/>
            <w:rtl/>
          </w:rPr>
          <w:t>בעניין עריכה ושינויים במסמכי פסיקה, חקיקה ועוד באתר נבו – הקש כאן</w:t>
        </w:r>
      </w:hyperlink>
    </w:p>
    <w:p w14:paraId="0FB458BE" w14:textId="77777777" w:rsidR="00C46DF4" w:rsidRPr="00C46DF4" w:rsidRDefault="00C46DF4" w:rsidP="00C46DF4">
      <w:pPr>
        <w:spacing w:line="360" w:lineRule="auto"/>
        <w:jc w:val="center"/>
        <w:rPr>
          <w:color w:val="0000FF"/>
          <w:u w:val="single"/>
          <w:rtl/>
        </w:rPr>
      </w:pPr>
    </w:p>
    <w:sectPr w:rsidR="00C46DF4" w:rsidRPr="00C46DF4" w:rsidSect="00C46DF4">
      <w:headerReference w:type="even" r:id="rId22"/>
      <w:headerReference w:type="default" r:id="rId23"/>
      <w:footerReference w:type="even" r:id="rId24"/>
      <w:footerReference w:type="default" r:id="rId25"/>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8A6D6E" w14:textId="77777777" w:rsidR="00622173" w:rsidRDefault="00622173">
      <w:r>
        <w:separator/>
      </w:r>
    </w:p>
  </w:endnote>
  <w:endnote w:type="continuationSeparator" w:id="0">
    <w:p w14:paraId="5E2B15C2" w14:textId="77777777" w:rsidR="00622173" w:rsidRDefault="00622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CFDC21" w14:textId="77777777" w:rsidR="00C46DF4" w:rsidRDefault="00C46DF4" w:rsidP="00C46DF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3A3CAD30" w14:textId="77777777" w:rsidR="00BE4ACB" w:rsidRPr="00C46DF4" w:rsidRDefault="00C46DF4" w:rsidP="00C46DF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55A9DB" w14:textId="77777777" w:rsidR="00C46DF4" w:rsidRDefault="00C46DF4" w:rsidP="00C46DF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8029D">
      <w:rPr>
        <w:rFonts w:ascii="FrankRuehl" w:hAnsi="FrankRuehl" w:cs="FrankRuehl"/>
        <w:noProof/>
        <w:rtl/>
      </w:rPr>
      <w:t>1</w:t>
    </w:r>
    <w:r>
      <w:rPr>
        <w:rFonts w:ascii="FrankRuehl" w:hAnsi="FrankRuehl" w:cs="FrankRuehl"/>
        <w:rtl/>
      </w:rPr>
      <w:fldChar w:fldCharType="end"/>
    </w:r>
  </w:p>
  <w:p w14:paraId="0861F5F4" w14:textId="77777777" w:rsidR="00BE4ACB" w:rsidRPr="00C46DF4" w:rsidRDefault="00C46DF4" w:rsidP="00C46DF4">
    <w:pPr>
      <w:pStyle w:val="a5"/>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5CBEA6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475A7" w14:textId="77777777" w:rsidR="00622173" w:rsidRDefault="00622173">
      <w:r>
        <w:separator/>
      </w:r>
    </w:p>
  </w:footnote>
  <w:footnote w:type="continuationSeparator" w:id="0">
    <w:p w14:paraId="223CE1F5" w14:textId="77777777" w:rsidR="00622173" w:rsidRDefault="006221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5A760" w14:textId="77777777" w:rsidR="00C46DF4" w:rsidRPr="00C46DF4" w:rsidRDefault="00C46DF4" w:rsidP="00C46DF4">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20585-05-12</w:t>
    </w:r>
    <w:r>
      <w:rPr>
        <w:color w:val="000000"/>
        <w:sz w:val="22"/>
        <w:szCs w:val="22"/>
        <w:rtl/>
      </w:rPr>
      <w:tab/>
      <w:t xml:space="preserve"> מדינת ישראל נ' ניר משטה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090BA" w14:textId="77777777" w:rsidR="00C46DF4" w:rsidRPr="00C46DF4" w:rsidRDefault="00C46DF4" w:rsidP="00C46DF4">
    <w:pPr>
      <w:pStyle w:val="a3"/>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20585-05-12</w:t>
    </w:r>
    <w:r>
      <w:rPr>
        <w:color w:val="000000"/>
        <w:sz w:val="22"/>
        <w:szCs w:val="22"/>
        <w:rtl/>
      </w:rPr>
      <w:tab/>
      <w:t xml:space="preserve"> מדינת ישראל נ' ניר משטה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924610790">
    <w:abstractNumId w:val="14"/>
  </w:num>
  <w:num w:numId="2" w16cid:durableId="1847594051">
    <w:abstractNumId w:val="5"/>
  </w:num>
  <w:num w:numId="3" w16cid:durableId="447043177">
    <w:abstractNumId w:val="12"/>
  </w:num>
  <w:num w:numId="4" w16cid:durableId="908688065">
    <w:abstractNumId w:val="11"/>
  </w:num>
  <w:num w:numId="5" w16cid:durableId="566114227">
    <w:abstractNumId w:val="4"/>
  </w:num>
  <w:num w:numId="6" w16cid:durableId="183254826">
    <w:abstractNumId w:val="6"/>
  </w:num>
  <w:num w:numId="7" w16cid:durableId="1923374594">
    <w:abstractNumId w:val="16"/>
  </w:num>
  <w:num w:numId="8" w16cid:durableId="1267158022">
    <w:abstractNumId w:val="0"/>
  </w:num>
  <w:num w:numId="9" w16cid:durableId="1203129840">
    <w:abstractNumId w:val="10"/>
  </w:num>
  <w:num w:numId="10" w16cid:durableId="924999585">
    <w:abstractNumId w:val="8"/>
  </w:num>
  <w:num w:numId="11" w16cid:durableId="1942839661">
    <w:abstractNumId w:val="3"/>
  </w:num>
  <w:num w:numId="12" w16cid:durableId="1555238168">
    <w:abstractNumId w:val="15"/>
  </w:num>
  <w:num w:numId="13" w16cid:durableId="1956063306">
    <w:abstractNumId w:val="9"/>
  </w:num>
  <w:num w:numId="14" w16cid:durableId="1720713702">
    <w:abstractNumId w:val="2"/>
  </w:num>
  <w:num w:numId="15" w16cid:durableId="1893541492">
    <w:abstractNumId w:val="13"/>
  </w:num>
  <w:num w:numId="16" w16cid:durableId="1803695753">
    <w:abstractNumId w:val="1"/>
  </w:num>
  <w:num w:numId="17" w16cid:durableId="14205600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20585-05-12"/>
    <w:docVar w:name="caseId" w:val="70276647"/>
    <w:docVar w:name="deriveClass" w:val="NGCS.Protocol.BL.Client.ProtocolBLClientCriminal"/>
    <w:docVar w:name="firstPageNumber" w:val="11"/>
    <w:docVar w:name="MyInfo" w:val="This document was extracted from Nevo's site"/>
    <w:docVar w:name="NGCS.caseTypeID" w:val="-1"/>
    <w:docVar w:name="NGCS.courtID" w:val="32"/>
    <w:docVar w:name="NGCS.isReservedAddressPlace" w:val="0"/>
    <w:docVar w:name="NGCS.isReservedVoucherPlace" w:val="0"/>
    <w:docVar w:name="NGCS.proceedingID" w:val="2"/>
    <w:docVar w:name="NGCS.TemplateCategoryID" w:val="14"/>
    <w:docVar w:name="NGCS.userUPN" w:val="ëåìí"/>
    <w:docVar w:name="privellegeId" w:val="1"/>
    <w:docVar w:name="protocolId" w:val="4098779"/>
    <w:docVar w:name="releaseSign" w:val="0"/>
    <w:docVar w:name="sittingDateTime" w:val="12/09/2013 08:30     "/>
    <w:docVar w:name="sittingId" w:val="75595882"/>
    <w:docVar w:name="sittingTypeId" w:val="2"/>
    <w:docVar w:name="WordClientAssemblyName" w:val="NGCS.Protocol.BL.Client"/>
  </w:docVars>
  <w:rsids>
    <w:rsidRoot w:val="004D7C77"/>
    <w:rsid w:val="00047D5C"/>
    <w:rsid w:val="000666E9"/>
    <w:rsid w:val="001109C2"/>
    <w:rsid w:val="00115BC5"/>
    <w:rsid w:val="00117098"/>
    <w:rsid w:val="00126E7B"/>
    <w:rsid w:val="00271CED"/>
    <w:rsid w:val="002E3E85"/>
    <w:rsid w:val="002F2714"/>
    <w:rsid w:val="00373DFC"/>
    <w:rsid w:val="0038029D"/>
    <w:rsid w:val="003F6EEF"/>
    <w:rsid w:val="004106FE"/>
    <w:rsid w:val="00496E02"/>
    <w:rsid w:val="004D63E7"/>
    <w:rsid w:val="004D7C77"/>
    <w:rsid w:val="004F597F"/>
    <w:rsid w:val="00522A0B"/>
    <w:rsid w:val="00527BB3"/>
    <w:rsid w:val="005F21F9"/>
    <w:rsid w:val="00622173"/>
    <w:rsid w:val="007A3A09"/>
    <w:rsid w:val="007D5A4B"/>
    <w:rsid w:val="008553B3"/>
    <w:rsid w:val="008867C7"/>
    <w:rsid w:val="008E191F"/>
    <w:rsid w:val="00964E04"/>
    <w:rsid w:val="00997E69"/>
    <w:rsid w:val="00A66E75"/>
    <w:rsid w:val="00B01558"/>
    <w:rsid w:val="00B63F58"/>
    <w:rsid w:val="00BB0B45"/>
    <w:rsid w:val="00BB7DF7"/>
    <w:rsid w:val="00BC12BC"/>
    <w:rsid w:val="00BE4ACB"/>
    <w:rsid w:val="00C46DF4"/>
    <w:rsid w:val="00C57738"/>
    <w:rsid w:val="00C80F11"/>
    <w:rsid w:val="00E06ED4"/>
    <w:rsid w:val="00E27D78"/>
    <w:rsid w:val="00E739BA"/>
    <w:rsid w:val="00F00B88"/>
    <w:rsid w:val="00F811CD"/>
    <w:rsid w:val="00F9668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A84A955"/>
  <w15:chartTrackingRefBased/>
  <w15:docId w15:val="{FF339FAC-2F39-4FEE-8DEE-86FBFC3FE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eastAsia="Times New Roman"/>
      <w:sz w:val="24"/>
      <w:szCs w:val="24"/>
    </w:rPr>
  </w:style>
  <w:style w:type="paragraph" w:styleId="1">
    <w:name w:val="heading 1"/>
    <w:basedOn w:val="a"/>
    <w:next w:val="a"/>
    <w:qFormat/>
    <w:pPr>
      <w:keepNext/>
      <w:spacing w:before="240" w:after="60"/>
      <w:outlineLvl w:val="0"/>
    </w:pPr>
    <w:rPr>
      <w:rFonts w:ascii="Arial" w:hAnsi="Arial"/>
      <w:b/>
      <w:bCs/>
      <w:kern w:val="32"/>
      <w:sz w:val="32"/>
      <w:szCs w:val="32"/>
    </w:rPr>
  </w:style>
  <w:style w:type="paragraph" w:styleId="2">
    <w:name w:val="heading 2"/>
    <w:basedOn w:val="a"/>
    <w:next w:val="a"/>
    <w:qFormat/>
    <w:pPr>
      <w:keepNext/>
      <w:spacing w:before="240" w:after="60"/>
      <w:outlineLvl w:val="1"/>
    </w:pPr>
    <w:rPr>
      <w:b/>
      <w:bCs/>
      <w:i/>
      <w:iCs/>
    </w:rPr>
  </w:style>
  <w:style w:type="paragraph" w:styleId="3">
    <w:name w:val="heading 3"/>
    <w:basedOn w:val="a"/>
    <w:next w:val="a"/>
    <w:qFormat/>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pPr>
      <w:tabs>
        <w:tab w:val="center" w:pos="4153"/>
        <w:tab w:val="right" w:pos="8306"/>
      </w:tabs>
    </w:pPr>
  </w:style>
  <w:style w:type="paragraph" w:styleId="a5">
    <w:name w:val="footer"/>
    <w:basedOn w:val="a"/>
    <w:pPr>
      <w:tabs>
        <w:tab w:val="center" w:pos="4153"/>
        <w:tab w:val="right" w:pos="8306"/>
      </w:tabs>
    </w:pPr>
  </w:style>
  <w:style w:type="table" w:styleId="a6">
    <w:name w:val="Table Grid"/>
    <w:basedOn w:val="a1"/>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annotation text"/>
    <w:basedOn w:val="a"/>
    <w:semiHidden/>
    <w:rPr>
      <w:rFonts w:ascii="Times New Roman" w:eastAsia="David" w:hAnsi="Times New Roman" w:cs="Times New Roman"/>
      <w:sz w:val="20"/>
      <w:szCs w:val="20"/>
    </w:rPr>
  </w:style>
  <w:style w:type="character" w:styleId="a8">
    <w:name w:val="annotation reference"/>
    <w:semiHidden/>
    <w:rPr>
      <w:sz w:val="16"/>
    </w:rPr>
  </w:style>
  <w:style w:type="paragraph" w:styleId="a9">
    <w:name w:val="Balloon Text"/>
    <w:basedOn w:val="a"/>
    <w:semiHidden/>
    <w:rPr>
      <w:rFonts w:ascii="Tahoma" w:hAnsi="Tahoma" w:cs="Tahoma"/>
      <w:sz w:val="16"/>
      <w:szCs w:val="16"/>
    </w:rPr>
  </w:style>
  <w:style w:type="character" w:styleId="aa">
    <w:name w:val="page number"/>
    <w:rPr>
      <w:rFonts w:cs="Times New Roman"/>
    </w:rPr>
  </w:style>
  <w:style w:type="character" w:styleId="ab">
    <w:name w:val="line number"/>
    <w:rPr>
      <w:sz w:val="20"/>
    </w:rPr>
  </w:style>
  <w:style w:type="paragraph" w:customStyle="1" w:styleId="12">
    <w:name w:val="רגיל + ‏12 נק'"/>
    <w:aliases w:val="מיושר לשני הצדדים,מרווח בין שורות:  שורה וחצי"/>
    <w:basedOn w:val="a"/>
    <w:rsid w:val="005F21F9"/>
    <w:rPr>
      <w:rFonts w:ascii="Times New Roman" w:eastAsia="David" w:hAnsi="Times New Roman"/>
      <w:b/>
      <w:bCs/>
      <w:u w:val="single"/>
    </w:rPr>
  </w:style>
  <w:style w:type="character" w:customStyle="1" w:styleId="a4">
    <w:name w:val="כותרת עליונה תו"/>
    <w:link w:val="a3"/>
    <w:locked/>
    <w:rsid w:val="00BC12BC"/>
    <w:rPr>
      <w:sz w:val="24"/>
    </w:rPr>
  </w:style>
  <w:style w:type="character" w:styleId="Hyperlink">
    <w:name w:val="Hyperlink"/>
    <w:locked/>
    <w:rsid w:val="00C46D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law/70301/412" TargetMode="External"/><Relationship Id="rId18" Type="http://schemas.openxmlformats.org/officeDocument/2006/relationships/hyperlink" Target="http://www.nevo.co.il/law/70301/4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a.;7.c"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42782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eader" Target="header2.xml"/><Relationship Id="rId10" Type="http://schemas.openxmlformats.org/officeDocument/2006/relationships/hyperlink" Target="http://www.nevo.co.il/law/4216/13"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eader" Target="header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1518</Words>
  <Characters>7593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9093</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3604602</vt:i4>
      </vt:variant>
      <vt:variant>
        <vt:i4>39</vt:i4>
      </vt:variant>
      <vt:variant>
        <vt:i4>0</vt:i4>
      </vt:variant>
      <vt:variant>
        <vt:i4>5</vt:i4>
      </vt:variant>
      <vt:variant>
        <vt:lpwstr>http://www.nevo.co.il/case/4278246</vt:lpwstr>
      </vt:variant>
      <vt:variant>
        <vt:lpwstr/>
      </vt:variant>
      <vt:variant>
        <vt:i4>7995492</vt:i4>
      </vt:variant>
      <vt:variant>
        <vt:i4>36</vt:i4>
      </vt:variant>
      <vt:variant>
        <vt:i4>0</vt:i4>
      </vt:variant>
      <vt:variant>
        <vt:i4>5</vt:i4>
      </vt:variant>
      <vt:variant>
        <vt:lpwstr>http://www.nevo.co.il/law/70301</vt:lpwstr>
      </vt:variant>
      <vt:variant>
        <vt:lpwstr/>
      </vt:variant>
      <vt:variant>
        <vt:i4>6553697</vt:i4>
      </vt:variant>
      <vt:variant>
        <vt:i4>33</vt:i4>
      </vt:variant>
      <vt:variant>
        <vt:i4>0</vt:i4>
      </vt:variant>
      <vt:variant>
        <vt:i4>5</vt:i4>
      </vt:variant>
      <vt:variant>
        <vt:lpwstr>http://www.nevo.co.il/law/70301/412</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6553697</vt:i4>
      </vt:variant>
      <vt:variant>
        <vt:i4>18</vt:i4>
      </vt:variant>
      <vt:variant>
        <vt:i4>0</vt:i4>
      </vt:variant>
      <vt:variant>
        <vt:i4>5</vt:i4>
      </vt:variant>
      <vt:variant>
        <vt:lpwstr>http://www.nevo.co.il/law/70301/412</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2013-09-12T07:19:00Z</cp:lastPrinted>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20585</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ניר משטה</vt:lpwstr>
  </property>
  <property fmtid="{D5CDD505-2E9C-101B-9397-08002B2CF9AE}" pid="10" name="LAWYER">
    <vt:lpwstr>רעות בן משה;גיטרמן</vt:lpwstr>
  </property>
  <property fmtid="{D5CDD505-2E9C-101B-9397-08002B2CF9AE}" pid="11" name="JUDGE">
    <vt:lpwstr>לימור מרגולין יחידי</vt:lpwstr>
  </property>
  <property fmtid="{D5CDD505-2E9C-101B-9397-08002B2CF9AE}" pid="12" name="CITY">
    <vt:lpwstr>ת"א</vt:lpwstr>
  </property>
  <property fmtid="{D5CDD505-2E9C-101B-9397-08002B2CF9AE}" pid="13" name="DATE">
    <vt:lpwstr>20130912</vt:lpwstr>
  </property>
  <property fmtid="{D5CDD505-2E9C-101B-9397-08002B2CF9AE}" pid="14" name="TYPE_N_DATE">
    <vt:lpwstr>38020130912</vt:lpwstr>
  </property>
  <property fmtid="{D5CDD505-2E9C-101B-9397-08002B2CF9AE}" pid="15" name="WORDNUMPAGES">
    <vt:lpwstr>6</vt:lpwstr>
  </property>
  <property fmtid="{D5CDD505-2E9C-101B-9397-08002B2CF9AE}" pid="16" name="TYPE_ABS_DATE">
    <vt:lpwstr>380020130912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4278246</vt:lpwstr>
  </property>
  <property fmtid="{D5CDD505-2E9C-101B-9397-08002B2CF9AE}" pid="36" name="LAWLISTTMP1">
    <vt:lpwstr>4216/013;019a;007.a;007.c</vt:lpwstr>
  </property>
  <property fmtid="{D5CDD505-2E9C-101B-9397-08002B2CF9AE}" pid="37" name="LAWLISTTMP2">
    <vt:lpwstr>70301/412</vt:lpwstr>
  </property>
</Properties>
</file>