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753"/>
        <w:gridCol w:w="1298"/>
        <w:gridCol w:w="3670"/>
      </w:tblGrid>
      <w:tr w:rsidR="001D5ED6" w:rsidRPr="005E0351" w14:paraId="499FF7CC" w14:textId="77777777">
        <w:trPr>
          <w:trHeight w:hRule="exact" w:val="339"/>
          <w:jc w:val="center"/>
        </w:trPr>
        <w:tc>
          <w:tcPr>
            <w:tcW w:w="8721" w:type="dxa"/>
            <w:gridSpan w:val="3"/>
          </w:tcPr>
          <w:p w14:paraId="4CDCB1DB" w14:textId="77777777" w:rsidR="001D5ED6" w:rsidRPr="005E0351" w:rsidRDefault="005E0351">
            <w:pPr>
              <w:pStyle w:val="a4"/>
              <w:jc w:val="center"/>
              <w:rPr>
                <w:rFonts w:ascii="Tahoma" w:hAnsi="Tahoma"/>
                <w:rtl/>
              </w:rPr>
            </w:pPr>
            <w:bookmarkStart w:id="0" w:name="LastJudge"/>
            <w:r w:rsidRPr="005E0351">
              <w:rPr>
                <w:rFonts w:ascii="Tahoma" w:hAnsi="Tahoma" w:hint="cs"/>
                <w:b/>
                <w:bCs/>
                <w:rtl/>
              </w:rPr>
              <w:t>בתי המשפט</w:t>
            </w:r>
          </w:p>
        </w:tc>
      </w:tr>
      <w:tr w:rsidR="001D5ED6" w:rsidRPr="005E0351" w14:paraId="529D28F8" w14:textId="77777777">
        <w:trPr>
          <w:trHeight w:val="337"/>
          <w:jc w:val="center"/>
        </w:trPr>
        <w:tc>
          <w:tcPr>
            <w:tcW w:w="5051" w:type="dxa"/>
            <w:gridSpan w:val="2"/>
          </w:tcPr>
          <w:p w14:paraId="18F233C4" w14:textId="77777777" w:rsidR="001D5ED6" w:rsidRPr="005E0351" w:rsidRDefault="005E0351">
            <w:pPr>
              <w:pStyle w:val="a4"/>
              <w:rPr>
                <w:b/>
                <w:bCs/>
                <w:sz w:val="32"/>
                <w:szCs w:val="32"/>
                <w:rtl/>
              </w:rPr>
            </w:pPr>
            <w:r w:rsidRPr="005E0351">
              <w:rPr>
                <w:rFonts w:hint="cs"/>
                <w:b/>
                <w:bCs/>
                <w:sz w:val="32"/>
                <w:szCs w:val="32"/>
                <w:rtl/>
              </w:rPr>
              <w:t>בית משפט השלום</w:t>
            </w:r>
          </w:p>
          <w:p w14:paraId="1EB893D6" w14:textId="77777777" w:rsidR="001D5ED6" w:rsidRPr="005E0351" w:rsidRDefault="005E0351">
            <w:pPr>
              <w:pStyle w:val="a4"/>
              <w:rPr>
                <w:sz w:val="28"/>
                <w:szCs w:val="28"/>
                <w:rtl/>
              </w:rPr>
            </w:pPr>
            <w:r w:rsidRPr="005E0351">
              <w:rPr>
                <w:rFonts w:hint="cs"/>
                <w:b/>
                <w:bCs/>
                <w:sz w:val="32"/>
                <w:szCs w:val="32"/>
                <w:rtl/>
              </w:rPr>
              <w:t>בירושלים</w:t>
            </w:r>
          </w:p>
        </w:tc>
        <w:tc>
          <w:tcPr>
            <w:tcW w:w="3670" w:type="dxa"/>
          </w:tcPr>
          <w:p w14:paraId="2A0C43F9" w14:textId="77777777" w:rsidR="001D5ED6" w:rsidRPr="005E0351" w:rsidRDefault="005E0351">
            <w:pPr>
              <w:jc w:val="right"/>
              <w:rPr>
                <w:b/>
                <w:bCs/>
                <w:sz w:val="32"/>
                <w:szCs w:val="32"/>
                <w:rtl/>
              </w:rPr>
            </w:pPr>
            <w:r w:rsidRPr="005E0351">
              <w:rPr>
                <w:b/>
                <w:bCs/>
                <w:sz w:val="32"/>
                <w:szCs w:val="32"/>
                <w:rtl/>
              </w:rPr>
              <w:t>ת"פ</w:t>
            </w:r>
            <w:r w:rsidRPr="005E0351">
              <w:rPr>
                <w:rFonts w:hint="cs"/>
                <w:b/>
                <w:bCs/>
                <w:sz w:val="32"/>
                <w:szCs w:val="32"/>
                <w:rtl/>
              </w:rPr>
              <w:t xml:space="preserve"> </w:t>
            </w:r>
            <w:r w:rsidRPr="005E0351">
              <w:rPr>
                <w:b/>
                <w:bCs/>
                <w:sz w:val="32"/>
                <w:szCs w:val="32"/>
                <w:rtl/>
              </w:rPr>
              <w:t>30762-05-12</w:t>
            </w:r>
            <w:r w:rsidRPr="005E0351">
              <w:rPr>
                <w:rFonts w:hint="cs"/>
                <w:b/>
                <w:bCs/>
                <w:sz w:val="32"/>
                <w:szCs w:val="32"/>
                <w:rtl/>
              </w:rPr>
              <w:t xml:space="preserve"> </w:t>
            </w:r>
          </w:p>
          <w:p w14:paraId="33986905" w14:textId="77777777" w:rsidR="001D5ED6" w:rsidRPr="005E0351" w:rsidRDefault="001D5ED6">
            <w:pPr>
              <w:pStyle w:val="a4"/>
              <w:jc w:val="right"/>
              <w:rPr>
                <w:rtl/>
              </w:rPr>
            </w:pPr>
          </w:p>
          <w:p w14:paraId="7901BC2E" w14:textId="77777777" w:rsidR="001D5ED6" w:rsidRPr="005E0351" w:rsidRDefault="001D5ED6">
            <w:pPr>
              <w:pStyle w:val="a4"/>
              <w:jc w:val="right"/>
              <w:rPr>
                <w:b/>
                <w:bCs/>
                <w:sz w:val="32"/>
                <w:szCs w:val="32"/>
                <w:rtl/>
              </w:rPr>
            </w:pPr>
          </w:p>
        </w:tc>
      </w:tr>
      <w:tr w:rsidR="001D5ED6" w:rsidRPr="005E0351" w14:paraId="284BA1A2" w14:textId="77777777">
        <w:trPr>
          <w:trHeight w:val="337"/>
          <w:jc w:val="center"/>
        </w:trPr>
        <w:tc>
          <w:tcPr>
            <w:tcW w:w="3753" w:type="dxa"/>
          </w:tcPr>
          <w:p w14:paraId="7239A076" w14:textId="77777777" w:rsidR="001D5ED6" w:rsidRPr="005E0351" w:rsidRDefault="001D5ED6">
            <w:pPr>
              <w:rPr>
                <w:rFonts w:ascii="Arial" w:hAnsi="Arial"/>
                <w:b/>
                <w:bCs/>
                <w:sz w:val="28"/>
                <w:szCs w:val="28"/>
                <w:rtl/>
              </w:rPr>
            </w:pPr>
          </w:p>
          <w:p w14:paraId="27CDBE10" w14:textId="77777777" w:rsidR="001D5ED6" w:rsidRPr="005E0351" w:rsidRDefault="005E0351">
            <w:r w:rsidRPr="005E0351">
              <w:rPr>
                <w:rFonts w:ascii="Arial" w:hAnsi="Arial" w:hint="cs"/>
                <w:b/>
                <w:bCs/>
                <w:sz w:val="28"/>
                <w:szCs w:val="28"/>
                <w:rtl/>
              </w:rPr>
              <w:t>ב</w:t>
            </w:r>
            <w:r w:rsidRPr="005E0351">
              <w:rPr>
                <w:rFonts w:ascii="Arial" w:hAnsi="Arial"/>
                <w:b/>
                <w:bCs/>
                <w:sz w:val="28"/>
                <w:szCs w:val="28"/>
                <w:rtl/>
              </w:rPr>
              <w:t>פני</w:t>
            </w:r>
            <w:r w:rsidRPr="005E0351">
              <w:rPr>
                <w:rFonts w:ascii="Arial" w:hAnsi="Arial" w:hint="cs"/>
                <w:b/>
                <w:bCs/>
                <w:sz w:val="28"/>
                <w:szCs w:val="28"/>
                <w:rtl/>
              </w:rPr>
              <w:t>: כב' ה</w:t>
            </w:r>
            <w:r w:rsidRPr="005E0351">
              <w:rPr>
                <w:rFonts w:ascii="Arial" w:hAnsi="Arial"/>
                <w:b/>
                <w:bCs/>
                <w:sz w:val="28"/>
                <w:szCs w:val="28"/>
                <w:rtl/>
              </w:rPr>
              <w:t>שופט</w:t>
            </w:r>
            <w:r w:rsidRPr="005E0351">
              <w:rPr>
                <w:rFonts w:ascii="Arial" w:hAnsi="Arial" w:hint="cs"/>
                <w:b/>
                <w:bCs/>
                <w:sz w:val="28"/>
                <w:szCs w:val="28"/>
                <w:rtl/>
              </w:rPr>
              <w:t xml:space="preserve"> </w:t>
            </w:r>
            <w:r w:rsidRPr="005E0351">
              <w:rPr>
                <w:rFonts w:ascii="Arial" w:hAnsi="Arial"/>
                <w:b/>
                <w:bCs/>
                <w:sz w:val="28"/>
                <w:szCs w:val="28"/>
                <w:rtl/>
              </w:rPr>
              <w:t>אלכסנדר רון</w:t>
            </w:r>
          </w:p>
          <w:p w14:paraId="1B013492" w14:textId="77777777" w:rsidR="001D5ED6" w:rsidRPr="005E0351" w:rsidRDefault="001D5ED6">
            <w:pPr>
              <w:jc w:val="right"/>
              <w:rPr>
                <w:b/>
                <w:bCs/>
                <w:sz w:val="32"/>
                <w:szCs w:val="32"/>
              </w:rPr>
            </w:pPr>
          </w:p>
        </w:tc>
        <w:tc>
          <w:tcPr>
            <w:tcW w:w="4968" w:type="dxa"/>
            <w:gridSpan w:val="2"/>
          </w:tcPr>
          <w:p w14:paraId="184A86D4" w14:textId="77777777" w:rsidR="001D5ED6" w:rsidRPr="005E0351" w:rsidRDefault="001D5ED6">
            <w:pPr>
              <w:jc w:val="right"/>
              <w:rPr>
                <w:b/>
                <w:bCs/>
                <w:sz w:val="28"/>
                <w:szCs w:val="28"/>
                <w:rtl/>
              </w:rPr>
            </w:pPr>
          </w:p>
          <w:p w14:paraId="7E2338EC" w14:textId="77777777" w:rsidR="001D5ED6" w:rsidRPr="005E0351" w:rsidRDefault="005E0351">
            <w:pPr>
              <w:jc w:val="right"/>
              <w:rPr>
                <w:b/>
                <w:bCs/>
                <w:sz w:val="32"/>
                <w:szCs w:val="32"/>
                <w:rtl/>
              </w:rPr>
            </w:pPr>
            <w:r w:rsidRPr="005E0351">
              <w:rPr>
                <w:rFonts w:hint="cs"/>
                <w:b/>
                <w:bCs/>
                <w:sz w:val="28"/>
                <w:szCs w:val="28"/>
                <w:rtl/>
              </w:rPr>
              <w:t>תאריך: 22 ביולי 2015</w:t>
            </w:r>
          </w:p>
        </w:tc>
      </w:tr>
    </w:tbl>
    <w:p w14:paraId="78848CE7" w14:textId="77777777" w:rsidR="001D5ED6" w:rsidRPr="005E0351" w:rsidRDefault="005E0351">
      <w:pPr>
        <w:pStyle w:val="a4"/>
        <w:rPr>
          <w:rtl/>
        </w:rPr>
      </w:pPr>
      <w:r w:rsidRPr="005E0351">
        <w:rPr>
          <w:rFonts w:hint="cs"/>
          <w:rtl/>
        </w:rPr>
        <w:t xml:space="preserve"> </w:t>
      </w:r>
    </w:p>
    <w:tbl>
      <w:tblPr>
        <w:bidiVisual/>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3705"/>
        <w:gridCol w:w="4274"/>
        <w:gridCol w:w="380"/>
      </w:tblGrid>
      <w:tr w:rsidR="001D5ED6" w:rsidRPr="005E0351" w14:paraId="167BA47B" w14:textId="77777777">
        <w:trPr>
          <w:trHeight w:val="355"/>
          <w:jc w:val="center"/>
        </w:trPr>
        <w:tc>
          <w:tcPr>
            <w:tcW w:w="841" w:type="dxa"/>
            <w:tcBorders>
              <w:top w:val="nil"/>
              <w:left w:val="nil"/>
              <w:bottom w:val="nil"/>
              <w:right w:val="nil"/>
            </w:tcBorders>
            <w:shd w:val="clear" w:color="auto" w:fill="auto"/>
          </w:tcPr>
          <w:p w14:paraId="101E7DF2" w14:textId="77777777" w:rsidR="001D5ED6" w:rsidRPr="005E0351" w:rsidRDefault="005E0351">
            <w:pPr>
              <w:jc w:val="both"/>
              <w:rPr>
                <w:rFonts w:ascii="Arial" w:hAnsi="Arial"/>
                <w:b/>
                <w:bCs/>
              </w:rPr>
            </w:pPr>
            <w:bookmarkStart w:id="1" w:name="FirstAppellant"/>
            <w:r w:rsidRPr="005E0351">
              <w:rPr>
                <w:rFonts w:ascii="Arial" w:hAnsi="Arial" w:hint="cs"/>
                <w:b/>
                <w:bCs/>
                <w:rtl/>
              </w:rPr>
              <w:t>בעניין:</w:t>
            </w:r>
          </w:p>
        </w:tc>
        <w:tc>
          <w:tcPr>
            <w:tcW w:w="3705" w:type="dxa"/>
            <w:tcBorders>
              <w:top w:val="nil"/>
              <w:left w:val="nil"/>
              <w:bottom w:val="nil"/>
              <w:right w:val="nil"/>
            </w:tcBorders>
            <w:shd w:val="clear" w:color="auto" w:fill="auto"/>
          </w:tcPr>
          <w:p w14:paraId="7CD2627C" w14:textId="77777777" w:rsidR="001D5ED6" w:rsidRPr="005E0351" w:rsidRDefault="005E0351">
            <w:pPr>
              <w:spacing w:line="360" w:lineRule="auto"/>
              <w:rPr>
                <w:b/>
                <w:bCs/>
              </w:rPr>
            </w:pPr>
            <w:r w:rsidRPr="005E0351">
              <w:rPr>
                <w:rFonts w:hint="cs"/>
                <w:rtl/>
              </w:rPr>
              <w:t>מדינת ישראל</w:t>
            </w:r>
          </w:p>
        </w:tc>
        <w:tc>
          <w:tcPr>
            <w:tcW w:w="4654" w:type="dxa"/>
            <w:gridSpan w:val="2"/>
            <w:tcBorders>
              <w:top w:val="nil"/>
              <w:left w:val="nil"/>
              <w:bottom w:val="nil"/>
              <w:right w:val="nil"/>
            </w:tcBorders>
            <w:shd w:val="clear" w:color="auto" w:fill="auto"/>
            <w:vAlign w:val="bottom"/>
          </w:tcPr>
          <w:p w14:paraId="2E192A61" w14:textId="77777777" w:rsidR="001D5ED6" w:rsidRPr="005E0351" w:rsidRDefault="005E0351">
            <w:pPr>
              <w:rPr>
                <w:rFonts w:ascii="Arial" w:hAnsi="Arial"/>
              </w:rPr>
            </w:pPr>
            <w:r w:rsidRPr="005E0351">
              <w:rPr>
                <w:rFonts w:ascii="Arial" w:hAnsi="Arial" w:hint="cs"/>
                <w:b/>
                <w:bCs/>
                <w:rtl/>
              </w:rPr>
              <w:t>ה</w:t>
            </w:r>
            <w:r w:rsidRPr="005E0351">
              <w:rPr>
                <w:rFonts w:hint="cs"/>
                <w:rtl/>
              </w:rPr>
              <w:t>מאשימה</w:t>
            </w:r>
          </w:p>
        </w:tc>
      </w:tr>
      <w:bookmarkEnd w:id="1"/>
      <w:tr w:rsidR="001D5ED6" w:rsidRPr="005E0351" w14:paraId="7F746144" w14:textId="77777777">
        <w:trPr>
          <w:trHeight w:val="355"/>
          <w:jc w:val="center"/>
        </w:trPr>
        <w:tc>
          <w:tcPr>
            <w:tcW w:w="841" w:type="dxa"/>
            <w:tcBorders>
              <w:top w:val="nil"/>
              <w:left w:val="nil"/>
              <w:bottom w:val="nil"/>
              <w:right w:val="nil"/>
            </w:tcBorders>
            <w:shd w:val="clear" w:color="auto" w:fill="auto"/>
          </w:tcPr>
          <w:p w14:paraId="2061C2F9" w14:textId="77777777" w:rsidR="001D5ED6" w:rsidRPr="005E0351" w:rsidRDefault="001D5ED6">
            <w:pPr>
              <w:jc w:val="both"/>
              <w:rPr>
                <w:rFonts w:ascii="Arial" w:hAnsi="Arial" w:cs="FrankRuehl"/>
                <w:sz w:val="28"/>
                <w:szCs w:val="28"/>
                <w:rtl/>
              </w:rPr>
            </w:pPr>
          </w:p>
        </w:tc>
        <w:tc>
          <w:tcPr>
            <w:tcW w:w="8359" w:type="dxa"/>
            <w:gridSpan w:val="3"/>
            <w:tcBorders>
              <w:top w:val="nil"/>
              <w:left w:val="nil"/>
              <w:bottom w:val="nil"/>
              <w:right w:val="nil"/>
            </w:tcBorders>
            <w:shd w:val="clear" w:color="auto" w:fill="auto"/>
          </w:tcPr>
          <w:p w14:paraId="61819E73" w14:textId="77777777" w:rsidR="001D5ED6" w:rsidRPr="005E0351" w:rsidRDefault="001D5ED6">
            <w:pPr>
              <w:jc w:val="center"/>
              <w:rPr>
                <w:rFonts w:ascii="Arial" w:hAnsi="Arial"/>
                <w:b/>
                <w:bCs/>
                <w:rtl/>
              </w:rPr>
            </w:pPr>
          </w:p>
          <w:p w14:paraId="44A8935E" w14:textId="77777777" w:rsidR="001D5ED6" w:rsidRPr="005E0351" w:rsidRDefault="005E0351">
            <w:pPr>
              <w:jc w:val="center"/>
              <w:rPr>
                <w:rFonts w:ascii="Arial" w:hAnsi="Arial"/>
                <w:b/>
                <w:bCs/>
                <w:rtl/>
              </w:rPr>
            </w:pPr>
            <w:r w:rsidRPr="005E0351">
              <w:rPr>
                <w:rFonts w:ascii="Arial" w:hAnsi="Arial"/>
                <w:b/>
                <w:bCs/>
                <w:rtl/>
              </w:rPr>
              <w:t>נ</w:t>
            </w:r>
            <w:r w:rsidRPr="005E0351">
              <w:rPr>
                <w:rFonts w:ascii="Arial" w:hAnsi="Arial" w:hint="cs"/>
                <w:b/>
                <w:bCs/>
                <w:rtl/>
              </w:rPr>
              <w:t xml:space="preserve"> </w:t>
            </w:r>
            <w:r w:rsidRPr="005E0351">
              <w:rPr>
                <w:rFonts w:ascii="Arial" w:hAnsi="Arial"/>
                <w:b/>
                <w:bCs/>
                <w:rtl/>
              </w:rPr>
              <w:t>ג</w:t>
            </w:r>
            <w:r w:rsidRPr="005E0351">
              <w:rPr>
                <w:rFonts w:ascii="Arial" w:hAnsi="Arial" w:hint="cs"/>
                <w:b/>
                <w:bCs/>
                <w:rtl/>
              </w:rPr>
              <w:t xml:space="preserve"> </w:t>
            </w:r>
            <w:r w:rsidRPr="005E0351">
              <w:rPr>
                <w:rFonts w:ascii="Arial" w:hAnsi="Arial"/>
                <w:b/>
                <w:bCs/>
                <w:rtl/>
              </w:rPr>
              <w:t>ד</w:t>
            </w:r>
          </w:p>
          <w:p w14:paraId="122A6514" w14:textId="77777777" w:rsidR="001D5ED6" w:rsidRPr="005E0351" w:rsidRDefault="001D5ED6">
            <w:pPr>
              <w:jc w:val="both"/>
              <w:rPr>
                <w:rFonts w:ascii="Arial" w:hAnsi="Arial"/>
              </w:rPr>
            </w:pPr>
          </w:p>
        </w:tc>
      </w:tr>
      <w:tr w:rsidR="001D5ED6" w:rsidRPr="005E0351" w14:paraId="3CC5D588" w14:textId="77777777">
        <w:trPr>
          <w:trHeight w:val="355"/>
          <w:jc w:val="center"/>
        </w:trPr>
        <w:tc>
          <w:tcPr>
            <w:tcW w:w="841" w:type="dxa"/>
            <w:tcBorders>
              <w:top w:val="nil"/>
              <w:left w:val="nil"/>
              <w:bottom w:val="nil"/>
              <w:right w:val="nil"/>
            </w:tcBorders>
            <w:shd w:val="clear" w:color="auto" w:fill="auto"/>
          </w:tcPr>
          <w:p w14:paraId="2EC465F7" w14:textId="77777777" w:rsidR="001D5ED6" w:rsidRPr="005E0351" w:rsidRDefault="001D5ED6">
            <w:pPr>
              <w:jc w:val="both"/>
              <w:rPr>
                <w:rFonts w:ascii="Arial" w:hAnsi="Arial" w:cs="FrankRuehl"/>
                <w:sz w:val="28"/>
                <w:szCs w:val="28"/>
                <w:rtl/>
              </w:rPr>
            </w:pPr>
          </w:p>
        </w:tc>
        <w:tc>
          <w:tcPr>
            <w:tcW w:w="3705" w:type="dxa"/>
            <w:tcBorders>
              <w:top w:val="nil"/>
              <w:left w:val="nil"/>
              <w:bottom w:val="nil"/>
              <w:right w:val="nil"/>
            </w:tcBorders>
            <w:shd w:val="clear" w:color="auto" w:fill="auto"/>
          </w:tcPr>
          <w:p w14:paraId="3F887CBD" w14:textId="77777777" w:rsidR="001D5ED6" w:rsidRPr="005E0351" w:rsidRDefault="005E0351">
            <w:pPr>
              <w:spacing w:line="360" w:lineRule="auto"/>
              <w:rPr>
                <w:b/>
                <w:bCs/>
                <w:rtl/>
              </w:rPr>
            </w:pPr>
            <w:r w:rsidRPr="005E0351">
              <w:rPr>
                <w:rFonts w:hint="cs"/>
                <w:rtl/>
              </w:rPr>
              <w:t>גיא יחיא</w:t>
            </w:r>
          </w:p>
        </w:tc>
        <w:tc>
          <w:tcPr>
            <w:tcW w:w="4654" w:type="dxa"/>
            <w:gridSpan w:val="2"/>
            <w:tcBorders>
              <w:top w:val="nil"/>
              <w:left w:val="nil"/>
              <w:bottom w:val="nil"/>
              <w:right w:val="nil"/>
            </w:tcBorders>
            <w:shd w:val="clear" w:color="auto" w:fill="auto"/>
            <w:vAlign w:val="bottom"/>
          </w:tcPr>
          <w:p w14:paraId="7226277D" w14:textId="77777777" w:rsidR="001D5ED6" w:rsidRPr="005E0351" w:rsidRDefault="005E0351">
            <w:pPr>
              <w:rPr>
                <w:rFonts w:ascii="Arial" w:hAnsi="Arial"/>
              </w:rPr>
            </w:pPr>
            <w:r w:rsidRPr="005E0351">
              <w:rPr>
                <w:rFonts w:ascii="Arial" w:hAnsi="Arial" w:hint="cs"/>
                <w:b/>
                <w:bCs/>
                <w:rtl/>
              </w:rPr>
              <w:t>הנאשם</w:t>
            </w:r>
          </w:p>
        </w:tc>
      </w:tr>
      <w:tr w:rsidR="001D5ED6" w:rsidRPr="005E0351" w14:paraId="7C023D44" w14:textId="77777777">
        <w:trPr>
          <w:gridAfter w:val="1"/>
          <w:wAfter w:w="380" w:type="dxa"/>
          <w:trHeight w:val="355"/>
          <w:jc w:val="center"/>
        </w:trPr>
        <w:tc>
          <w:tcPr>
            <w:tcW w:w="8820" w:type="dxa"/>
            <w:gridSpan w:val="3"/>
            <w:tcBorders>
              <w:top w:val="nil"/>
              <w:left w:val="nil"/>
              <w:bottom w:val="nil"/>
              <w:right w:val="nil"/>
            </w:tcBorders>
            <w:shd w:val="clear" w:color="auto" w:fill="auto"/>
          </w:tcPr>
          <w:p w14:paraId="0C9D8446" w14:textId="77777777" w:rsidR="001D5ED6" w:rsidRPr="005E0351" w:rsidRDefault="001D5ED6">
            <w:pPr>
              <w:jc w:val="center"/>
              <w:rPr>
                <w:rFonts w:ascii="Arial" w:hAnsi="Arial"/>
                <w:b/>
                <w:bCs/>
                <w:rtl/>
              </w:rPr>
            </w:pPr>
            <w:bookmarkStart w:id="2" w:name="FirstLawyer"/>
          </w:p>
          <w:p w14:paraId="11E817F2" w14:textId="77777777" w:rsidR="001D5ED6" w:rsidRPr="005E0351" w:rsidRDefault="001D5ED6">
            <w:pPr>
              <w:jc w:val="center"/>
              <w:rPr>
                <w:rFonts w:ascii="Arial" w:hAnsi="Arial"/>
                <w:b/>
                <w:bCs/>
                <w:rtl/>
              </w:rPr>
            </w:pPr>
          </w:p>
          <w:p w14:paraId="0FEB6054" w14:textId="77777777" w:rsidR="001D5ED6" w:rsidRPr="005E0351" w:rsidRDefault="005E0351">
            <w:pPr>
              <w:rPr>
                <w:rFonts w:ascii="Arial" w:hAnsi="Arial"/>
                <w:b/>
                <w:bCs/>
                <w:rtl/>
              </w:rPr>
            </w:pPr>
            <w:r w:rsidRPr="005E0351">
              <w:rPr>
                <w:rFonts w:ascii="Arial" w:hAnsi="Arial" w:hint="cs"/>
                <w:b/>
                <w:bCs/>
                <w:rtl/>
              </w:rPr>
              <w:t xml:space="preserve">נוכחים: </w:t>
            </w:r>
          </w:p>
          <w:p w14:paraId="53DB3FF2" w14:textId="77777777" w:rsidR="001D5ED6" w:rsidRPr="005E0351" w:rsidRDefault="005E0351">
            <w:pPr>
              <w:rPr>
                <w:rFonts w:ascii="Arial" w:hAnsi="Arial"/>
                <w:b/>
                <w:bCs/>
                <w:rtl/>
              </w:rPr>
            </w:pPr>
            <w:r w:rsidRPr="005E0351">
              <w:rPr>
                <w:rFonts w:ascii="Arial" w:hAnsi="Arial" w:hint="cs"/>
                <w:b/>
                <w:bCs/>
                <w:rtl/>
              </w:rPr>
              <w:t xml:space="preserve">ב"כ המאשימה </w:t>
            </w:r>
            <w:r w:rsidRPr="005E0351">
              <w:rPr>
                <w:rFonts w:ascii="Arial" w:hAnsi="Arial"/>
                <w:b/>
                <w:bCs/>
                <w:rtl/>
              </w:rPr>
              <w:t>–</w:t>
            </w:r>
            <w:r w:rsidRPr="005E0351">
              <w:rPr>
                <w:rFonts w:ascii="Arial" w:hAnsi="Arial" w:hint="cs"/>
                <w:b/>
                <w:bCs/>
                <w:rtl/>
              </w:rPr>
              <w:t xml:space="preserve"> עו"ד דניאל שימשילשווילי</w:t>
            </w:r>
          </w:p>
          <w:p w14:paraId="1D31010E" w14:textId="77777777" w:rsidR="001D5ED6" w:rsidRPr="005E0351" w:rsidRDefault="005E0351">
            <w:pPr>
              <w:rPr>
                <w:rFonts w:ascii="Arial" w:hAnsi="Arial"/>
                <w:b/>
                <w:bCs/>
                <w:rtl/>
              </w:rPr>
            </w:pPr>
            <w:r w:rsidRPr="005E0351">
              <w:rPr>
                <w:rFonts w:ascii="Arial" w:hAnsi="Arial" w:hint="cs"/>
                <w:b/>
                <w:bCs/>
                <w:rtl/>
              </w:rPr>
              <w:t>הנאשם ובא כוחו עו"ד שינקולבסקי</w:t>
            </w:r>
          </w:p>
        </w:tc>
      </w:tr>
    </w:tbl>
    <w:p w14:paraId="7CF548F8" w14:textId="77777777" w:rsidR="00D97B2B" w:rsidRDefault="00D97B2B" w:rsidP="005E0351">
      <w:pPr>
        <w:spacing w:line="480" w:lineRule="auto"/>
        <w:jc w:val="center"/>
        <w:rPr>
          <w:rFonts w:ascii="Arial" w:hAnsi="Arial"/>
          <w:sz w:val="36"/>
          <w:szCs w:val="36"/>
          <w:rtl/>
        </w:rPr>
      </w:pPr>
      <w:bookmarkStart w:id="3" w:name="PsakDin"/>
      <w:bookmarkStart w:id="4" w:name="LawTable"/>
      <w:bookmarkEnd w:id="0"/>
      <w:bookmarkEnd w:id="2"/>
      <w:bookmarkEnd w:id="4"/>
    </w:p>
    <w:p w14:paraId="68FD4841" w14:textId="77777777" w:rsidR="00D97B2B" w:rsidRPr="00D97B2B" w:rsidRDefault="00D97B2B" w:rsidP="00D97B2B">
      <w:pPr>
        <w:spacing w:after="120" w:line="240" w:lineRule="exact"/>
        <w:ind w:left="283" w:hanging="283"/>
        <w:jc w:val="both"/>
        <w:rPr>
          <w:rFonts w:ascii="FrankRuehl" w:hAnsi="FrankRuehl" w:cs="FrankRuehl"/>
          <w:rtl/>
        </w:rPr>
      </w:pPr>
    </w:p>
    <w:p w14:paraId="57C9D0AF" w14:textId="77777777" w:rsidR="00D97B2B" w:rsidRPr="00D97B2B" w:rsidRDefault="00D97B2B" w:rsidP="00D97B2B">
      <w:pPr>
        <w:spacing w:after="120" w:line="240" w:lineRule="exact"/>
        <w:ind w:left="283" w:hanging="283"/>
        <w:jc w:val="both"/>
        <w:rPr>
          <w:rFonts w:ascii="FrankRuehl" w:hAnsi="FrankRuehl" w:cs="FrankRuehl"/>
          <w:rtl/>
        </w:rPr>
      </w:pPr>
      <w:r w:rsidRPr="00D97B2B">
        <w:rPr>
          <w:rFonts w:ascii="FrankRuehl" w:hAnsi="FrankRuehl" w:cs="FrankRuehl"/>
          <w:rtl/>
        </w:rPr>
        <w:t xml:space="preserve">חקיקה שאוזכרה: </w:t>
      </w:r>
    </w:p>
    <w:p w14:paraId="7457B911" w14:textId="77777777" w:rsidR="00D97B2B" w:rsidRPr="00D97B2B" w:rsidRDefault="00D97B2B" w:rsidP="00D97B2B">
      <w:pPr>
        <w:spacing w:after="120" w:line="240" w:lineRule="exact"/>
        <w:ind w:left="283" w:hanging="283"/>
        <w:jc w:val="both"/>
        <w:rPr>
          <w:rFonts w:ascii="FrankRuehl" w:hAnsi="FrankRuehl" w:cs="FrankRuehl"/>
          <w:rtl/>
        </w:rPr>
      </w:pPr>
      <w:hyperlink r:id="rId6" w:history="1">
        <w:r w:rsidRPr="00D97B2B">
          <w:rPr>
            <w:rFonts w:ascii="FrankRuehl" w:hAnsi="FrankRuehl" w:cs="FrankRuehl"/>
            <w:color w:val="0000FF"/>
            <w:u w:val="single"/>
            <w:rtl/>
          </w:rPr>
          <w:t>פקודת הסמים המסוכנים [נוסח חדש], תשל"ג-1973</w:t>
        </w:r>
      </w:hyperlink>
    </w:p>
    <w:p w14:paraId="6463A5CD" w14:textId="77777777" w:rsidR="00D97B2B" w:rsidRPr="00D97B2B" w:rsidRDefault="00D97B2B" w:rsidP="00D97B2B">
      <w:pPr>
        <w:spacing w:after="120" w:line="240" w:lineRule="exact"/>
        <w:ind w:left="283" w:hanging="283"/>
        <w:jc w:val="both"/>
        <w:rPr>
          <w:rFonts w:ascii="FrankRuehl" w:hAnsi="FrankRuehl" w:cs="FrankRuehl"/>
          <w:rtl/>
        </w:rPr>
      </w:pPr>
      <w:hyperlink r:id="rId7" w:history="1">
        <w:r w:rsidRPr="00D97B2B">
          <w:rPr>
            <w:rFonts w:ascii="FrankRuehl" w:hAnsi="FrankRuehl" w:cs="FrankRuehl"/>
            <w:color w:val="0000FF"/>
            <w:u w:val="single"/>
            <w:rtl/>
          </w:rPr>
          <w:t>חוק העונשין, תשל"ז-1977</w:t>
        </w:r>
      </w:hyperlink>
    </w:p>
    <w:p w14:paraId="5DDCA793" w14:textId="77777777" w:rsidR="00D97B2B" w:rsidRPr="00D97B2B" w:rsidRDefault="00D97B2B" w:rsidP="00D97B2B">
      <w:pPr>
        <w:spacing w:after="120" w:line="240" w:lineRule="exact"/>
        <w:ind w:left="283" w:hanging="283"/>
        <w:jc w:val="both"/>
        <w:rPr>
          <w:rFonts w:ascii="FrankRuehl" w:hAnsi="FrankRuehl" w:cs="FrankRuehl"/>
          <w:rtl/>
        </w:rPr>
      </w:pPr>
    </w:p>
    <w:p w14:paraId="7515A723" w14:textId="77777777" w:rsidR="005E0351" w:rsidRPr="005E0351" w:rsidRDefault="005E0351" w:rsidP="005E0351">
      <w:pPr>
        <w:spacing w:line="480" w:lineRule="auto"/>
        <w:jc w:val="center"/>
        <w:rPr>
          <w:rFonts w:ascii="Arial" w:hAnsi="Arial"/>
          <w:b/>
          <w:bCs/>
          <w:sz w:val="36"/>
          <w:szCs w:val="36"/>
          <w:u w:val="single"/>
          <w:rtl/>
        </w:rPr>
      </w:pPr>
      <w:bookmarkStart w:id="5" w:name="LawTable_End"/>
      <w:bookmarkEnd w:id="5"/>
      <w:r w:rsidRPr="005E0351">
        <w:rPr>
          <w:rFonts w:ascii="Arial" w:hAnsi="Arial"/>
          <w:b/>
          <w:bCs/>
          <w:sz w:val="36"/>
          <w:szCs w:val="36"/>
          <w:u w:val="single"/>
          <w:rtl/>
        </w:rPr>
        <w:t>גזר דין</w:t>
      </w:r>
    </w:p>
    <w:bookmarkEnd w:id="3"/>
    <w:p w14:paraId="5AB9E9C4" w14:textId="77777777" w:rsidR="001D5ED6" w:rsidRDefault="001D5ED6">
      <w:pPr>
        <w:spacing w:line="480" w:lineRule="auto"/>
        <w:jc w:val="both"/>
        <w:rPr>
          <w:rFonts w:ascii="Arial" w:hAnsi="Arial"/>
          <w:rtl/>
        </w:rPr>
      </w:pPr>
    </w:p>
    <w:p w14:paraId="2949EE61" w14:textId="77777777" w:rsidR="001D5ED6" w:rsidRDefault="005E0351">
      <w:pPr>
        <w:spacing w:line="480" w:lineRule="auto"/>
        <w:ind w:left="510" w:hanging="510"/>
        <w:jc w:val="both"/>
        <w:rPr>
          <w:rtl/>
        </w:rPr>
      </w:pPr>
      <w:r>
        <w:rPr>
          <w:rtl/>
        </w:rPr>
        <w:t>1.</w:t>
      </w:r>
      <w:r>
        <w:rPr>
          <w:rFonts w:hint="cs"/>
          <w:rtl/>
        </w:rPr>
        <w:tab/>
      </w:r>
      <w:bookmarkStart w:id="6" w:name="ABSTRACT_START"/>
      <w:bookmarkEnd w:id="6"/>
      <w:r>
        <w:rPr>
          <w:rFonts w:hint="cs"/>
          <w:rtl/>
        </w:rPr>
        <w:t xml:space="preserve">הנאשם הורשע על פי הודאתו ביום 24.5.2012 בכתב אישום המייחס לו (לאחר תיקונו), ארבע אישומים על </w:t>
      </w:r>
      <w:hyperlink r:id="rId8" w:history="1">
        <w:r w:rsidRPr="005E0351">
          <w:rPr>
            <w:color w:val="0000FF"/>
            <w:u w:val="single"/>
            <w:rtl/>
          </w:rPr>
          <w:t>פקודת הסמים המסוכנים</w:t>
        </w:r>
      </w:hyperlink>
      <w:r>
        <w:rPr>
          <w:rFonts w:hint="cs"/>
          <w:rtl/>
        </w:rPr>
        <w:t>. ובתמצית</w:t>
      </w:r>
    </w:p>
    <w:p w14:paraId="144AC17A" w14:textId="77777777" w:rsidR="001D5ED6" w:rsidRDefault="001D5ED6">
      <w:pPr>
        <w:spacing w:line="480" w:lineRule="auto"/>
        <w:ind w:left="510" w:hanging="510"/>
        <w:jc w:val="both"/>
        <w:rPr>
          <w:rtl/>
        </w:rPr>
      </w:pPr>
      <w:bookmarkStart w:id="7" w:name="ABSTRACT_END"/>
      <w:bookmarkEnd w:id="7"/>
    </w:p>
    <w:p w14:paraId="12ED2EAE" w14:textId="77777777" w:rsidR="001D5ED6" w:rsidRDefault="005E0351">
      <w:pPr>
        <w:spacing w:line="480" w:lineRule="auto"/>
        <w:ind w:left="1440" w:hanging="930"/>
        <w:jc w:val="both"/>
        <w:rPr>
          <w:rtl/>
        </w:rPr>
      </w:pPr>
      <w:r>
        <w:rPr>
          <w:rFonts w:hint="cs"/>
          <w:rtl/>
        </w:rPr>
        <w:t>א.</w:t>
      </w:r>
      <w:r>
        <w:rPr>
          <w:rFonts w:hint="cs"/>
          <w:rtl/>
        </w:rPr>
        <w:tab/>
      </w:r>
      <w:r>
        <w:rPr>
          <w:rFonts w:hint="cs"/>
          <w:u w:val="single"/>
          <w:rtl/>
        </w:rPr>
        <w:t>אישום מספר 1</w:t>
      </w:r>
      <w:r>
        <w:rPr>
          <w:rFonts w:hint="cs"/>
          <w:rtl/>
        </w:rPr>
        <w:t xml:space="preserve"> </w:t>
      </w:r>
      <w:r>
        <w:rPr>
          <w:rtl/>
        </w:rPr>
        <w:t>–</w:t>
      </w:r>
      <w:r>
        <w:rPr>
          <w:rFonts w:hint="cs"/>
          <w:rtl/>
        </w:rPr>
        <w:t xml:space="preserve"> כי ביום 25.1.2012 ולמחרת, תיווך בעסקה שבתחילתה הוצגה על ידי הנאשם כעסקה למכירת אקסטזי, אם כי, לבסוף, נתברר אחרת. </w:t>
      </w:r>
    </w:p>
    <w:p w14:paraId="30247605" w14:textId="77777777" w:rsidR="001D5ED6" w:rsidRDefault="001D5ED6">
      <w:pPr>
        <w:spacing w:line="480" w:lineRule="auto"/>
        <w:ind w:left="1440" w:hanging="930"/>
        <w:jc w:val="both"/>
        <w:rPr>
          <w:rtl/>
        </w:rPr>
      </w:pPr>
    </w:p>
    <w:p w14:paraId="01D06920" w14:textId="77777777" w:rsidR="001D5ED6" w:rsidRDefault="005E0351">
      <w:pPr>
        <w:spacing w:line="480" w:lineRule="auto"/>
        <w:ind w:left="1440" w:hanging="930"/>
        <w:jc w:val="both"/>
        <w:rPr>
          <w:rtl/>
        </w:rPr>
      </w:pPr>
      <w:r>
        <w:rPr>
          <w:rFonts w:hint="cs"/>
          <w:rtl/>
        </w:rPr>
        <w:t xml:space="preserve">ב. </w:t>
      </w:r>
      <w:r>
        <w:rPr>
          <w:rFonts w:hint="cs"/>
          <w:rtl/>
        </w:rPr>
        <w:tab/>
      </w:r>
      <w:r>
        <w:rPr>
          <w:rFonts w:hint="cs"/>
          <w:u w:val="single"/>
          <w:rtl/>
        </w:rPr>
        <w:t>אישום מספר 2</w:t>
      </w:r>
      <w:r>
        <w:rPr>
          <w:rFonts w:hint="cs"/>
          <w:rtl/>
        </w:rPr>
        <w:t xml:space="preserve"> - כי ביום 25.1.2012 סחר בסם מסוג חשיש במשקל של 104.12 גרם, שתמורתו נקבעה על הסך של 2,500 ₪. </w:t>
      </w:r>
    </w:p>
    <w:p w14:paraId="335D92CB" w14:textId="77777777" w:rsidR="001D5ED6" w:rsidRDefault="001D5ED6">
      <w:pPr>
        <w:spacing w:line="480" w:lineRule="auto"/>
        <w:ind w:left="1440" w:hanging="930"/>
        <w:jc w:val="both"/>
        <w:rPr>
          <w:rtl/>
        </w:rPr>
      </w:pPr>
    </w:p>
    <w:p w14:paraId="27D548FF" w14:textId="77777777" w:rsidR="001D5ED6" w:rsidRDefault="005E0351">
      <w:pPr>
        <w:spacing w:line="480" w:lineRule="auto"/>
        <w:ind w:left="1440" w:hanging="930"/>
        <w:jc w:val="both"/>
        <w:rPr>
          <w:rtl/>
        </w:rPr>
      </w:pPr>
      <w:r>
        <w:rPr>
          <w:rFonts w:hint="cs"/>
          <w:rtl/>
        </w:rPr>
        <w:t xml:space="preserve">ג. </w:t>
      </w:r>
      <w:r>
        <w:rPr>
          <w:rFonts w:hint="cs"/>
          <w:rtl/>
        </w:rPr>
        <w:tab/>
      </w:r>
      <w:r>
        <w:rPr>
          <w:rFonts w:hint="cs"/>
          <w:u w:val="single"/>
          <w:rtl/>
        </w:rPr>
        <w:t>אישום מספר 3</w:t>
      </w:r>
      <w:r>
        <w:rPr>
          <w:rFonts w:hint="cs"/>
          <w:rtl/>
        </w:rPr>
        <w:t xml:space="preserve"> </w:t>
      </w:r>
      <w:r>
        <w:rPr>
          <w:rtl/>
        </w:rPr>
        <w:t>–</w:t>
      </w:r>
      <w:r>
        <w:rPr>
          <w:rFonts w:hint="cs"/>
          <w:rtl/>
        </w:rPr>
        <w:t xml:space="preserve"> כי ביום 27.2.2012 סחר בסם מסוג חשיש ששוויו </w:t>
      </w:r>
      <w:r>
        <w:rPr>
          <w:rtl/>
        </w:rPr>
        <w:t>–</w:t>
      </w:r>
      <w:r>
        <w:rPr>
          <w:rFonts w:hint="cs"/>
          <w:rtl/>
        </w:rPr>
        <w:t xml:space="preserve"> 2,200 ₪. במוקד  אישום זה אירוע מעט מורכב יותר, בו, בשלב ראשון, תמורת הסכום דלעיל שקיבל הנאשם מסוכן, הפקיד בידיו כעירבון מכשיר סלולרי נייד, העסקה הושלמה רק ביום 13.3.2012 בהעברה לסוכן של חשיש תמורת הסכום האמור, מחולק למנות, שמשקלו הכולל, כ- 41 גרם. </w:t>
      </w:r>
    </w:p>
    <w:p w14:paraId="3C5E218C" w14:textId="77777777" w:rsidR="001D5ED6" w:rsidRDefault="001D5ED6">
      <w:pPr>
        <w:spacing w:line="480" w:lineRule="auto"/>
        <w:ind w:left="1440" w:hanging="930"/>
        <w:jc w:val="both"/>
        <w:rPr>
          <w:rtl/>
        </w:rPr>
      </w:pPr>
    </w:p>
    <w:p w14:paraId="0239D992" w14:textId="77777777" w:rsidR="001D5ED6" w:rsidRDefault="005E0351">
      <w:pPr>
        <w:spacing w:line="480" w:lineRule="auto"/>
        <w:ind w:left="1440" w:hanging="930"/>
        <w:jc w:val="both"/>
        <w:rPr>
          <w:rtl/>
        </w:rPr>
      </w:pPr>
      <w:r>
        <w:rPr>
          <w:rFonts w:hint="cs"/>
          <w:rtl/>
        </w:rPr>
        <w:t xml:space="preserve">ד. </w:t>
      </w:r>
      <w:r>
        <w:rPr>
          <w:rFonts w:hint="cs"/>
          <w:rtl/>
        </w:rPr>
        <w:tab/>
      </w:r>
      <w:r>
        <w:rPr>
          <w:rFonts w:hint="cs"/>
          <w:u w:val="single"/>
          <w:rtl/>
        </w:rPr>
        <w:t xml:space="preserve">אישום מספר  4 </w:t>
      </w:r>
      <w:r>
        <w:rPr>
          <w:rtl/>
        </w:rPr>
        <w:t>–</w:t>
      </w:r>
      <w:r>
        <w:rPr>
          <w:rFonts w:hint="cs"/>
          <w:rtl/>
        </w:rPr>
        <w:t xml:space="preserve"> כי ביום 15.3.2012 תיווך בעסקת סם מסוג חשיש; שווי העסקה </w:t>
      </w:r>
      <w:r>
        <w:rPr>
          <w:rtl/>
        </w:rPr>
        <w:t>–</w:t>
      </w:r>
      <w:r>
        <w:rPr>
          <w:rFonts w:hint="cs"/>
          <w:rtl/>
        </w:rPr>
        <w:t xml:space="preserve"> 700 ₪, משקלו של הסם </w:t>
      </w:r>
      <w:r>
        <w:rPr>
          <w:rtl/>
        </w:rPr>
        <w:t>–</w:t>
      </w:r>
      <w:r>
        <w:rPr>
          <w:rFonts w:hint="cs"/>
          <w:rtl/>
        </w:rPr>
        <w:t xml:space="preserve"> 24.38 גרם.  </w:t>
      </w:r>
    </w:p>
    <w:p w14:paraId="005C6420" w14:textId="77777777" w:rsidR="001D5ED6" w:rsidRDefault="001D5ED6">
      <w:pPr>
        <w:spacing w:line="480" w:lineRule="auto"/>
        <w:ind w:left="1440" w:hanging="930"/>
        <w:jc w:val="both"/>
        <w:rPr>
          <w:rtl/>
        </w:rPr>
      </w:pPr>
    </w:p>
    <w:p w14:paraId="7379C7F0" w14:textId="77777777" w:rsidR="001D5ED6" w:rsidRDefault="005E0351">
      <w:pPr>
        <w:spacing w:line="480" w:lineRule="auto"/>
        <w:ind w:left="1440" w:hanging="930"/>
        <w:jc w:val="both"/>
        <w:rPr>
          <w:rtl/>
        </w:rPr>
      </w:pPr>
      <w:r>
        <w:rPr>
          <w:rFonts w:hint="cs"/>
          <w:rtl/>
        </w:rPr>
        <w:t xml:space="preserve">מועד ההרשעה </w:t>
      </w:r>
      <w:r>
        <w:rPr>
          <w:rtl/>
        </w:rPr>
        <w:t>–</w:t>
      </w:r>
      <w:r>
        <w:rPr>
          <w:rFonts w:hint="cs"/>
          <w:rtl/>
        </w:rPr>
        <w:t xml:space="preserve"> קודם שנכנס לתוקפו תיקון 113 ל</w:t>
      </w:r>
      <w:hyperlink r:id="rId9" w:history="1">
        <w:r w:rsidRPr="005E0351">
          <w:rPr>
            <w:color w:val="0000FF"/>
            <w:u w:val="single"/>
            <w:rtl/>
          </w:rPr>
          <w:t>חוק העונשין</w:t>
        </w:r>
      </w:hyperlink>
      <w:r>
        <w:rPr>
          <w:rFonts w:hint="cs"/>
          <w:rtl/>
        </w:rPr>
        <w:t xml:space="preserve">. </w:t>
      </w:r>
    </w:p>
    <w:p w14:paraId="21F82863" w14:textId="77777777" w:rsidR="001D5ED6" w:rsidRDefault="001D5ED6">
      <w:pPr>
        <w:spacing w:line="480" w:lineRule="auto"/>
        <w:jc w:val="both"/>
        <w:rPr>
          <w:rtl/>
        </w:rPr>
      </w:pPr>
    </w:p>
    <w:p w14:paraId="48321E54" w14:textId="77777777" w:rsidR="001D5ED6" w:rsidRDefault="005E0351">
      <w:pPr>
        <w:spacing w:line="480" w:lineRule="auto"/>
        <w:ind w:left="510" w:hanging="510"/>
        <w:jc w:val="both"/>
        <w:rPr>
          <w:rtl/>
        </w:rPr>
      </w:pPr>
      <w:r>
        <w:rPr>
          <w:rtl/>
        </w:rPr>
        <w:t>2.</w:t>
      </w:r>
      <w:r>
        <w:rPr>
          <w:rFonts w:hint="cs"/>
          <w:rtl/>
        </w:rPr>
        <w:tab/>
        <w:t xml:space="preserve">עמדת התביעה למאסר בפועל לתקופה של 42 חודש, תוך הפעלה של מאסר מותנה רלוונטי שהושת על הנאשם, והיה, נוכח כמות עבירות הסם שבמסגרת כתב אישום זה, לחב הפעלה. לצד האמור נטען גם לפסילת רשיון הנהיגה וענישה משלימה בממד המותנה. ואשר לב"כ הנאשם, פתח הוא את דבריו בכך שהדגיש שהודה הנאשם בהזדמנות הראשונה, תוך שחסך מזמנו של בית המשפט, ואף, כי היה בכך כדי ללמד על חרטתו על מעשיו. </w:t>
      </w:r>
    </w:p>
    <w:p w14:paraId="45C2577B" w14:textId="77777777" w:rsidR="001D5ED6" w:rsidRDefault="001D5ED6">
      <w:pPr>
        <w:spacing w:line="480" w:lineRule="auto"/>
        <w:jc w:val="both"/>
        <w:rPr>
          <w:rtl/>
        </w:rPr>
      </w:pPr>
    </w:p>
    <w:p w14:paraId="4BA2D0CA" w14:textId="77777777" w:rsidR="001D5ED6" w:rsidRDefault="005E0351">
      <w:pPr>
        <w:spacing w:line="480" w:lineRule="auto"/>
        <w:ind w:left="510" w:hanging="510"/>
        <w:jc w:val="both"/>
        <w:rPr>
          <w:rtl/>
        </w:rPr>
      </w:pPr>
      <w:r>
        <w:rPr>
          <w:rtl/>
        </w:rPr>
        <w:t>3.</w:t>
      </w:r>
      <w:r>
        <w:rPr>
          <w:rFonts w:hint="cs"/>
          <w:rtl/>
        </w:rPr>
        <w:tab/>
        <w:t xml:space="preserve">בהמשך לאמור, יוטעם, שלחובת הנאשם, כיום </w:t>
      </w:r>
      <w:r>
        <w:rPr>
          <w:rtl/>
        </w:rPr>
        <w:t>–</w:t>
      </w:r>
      <w:r>
        <w:rPr>
          <w:rFonts w:hint="cs"/>
          <w:rtl/>
        </w:rPr>
        <w:t xml:space="preserve"> כבן 23,  שתי הרשעות קודמות, המתבססות על מקבץ של עבירות ממספר סוגים. בכללן, גניבה, עבירות אלימות (איומים ותקיפה), עבירות כלפי שוטרים, הפרת הוראה חוקית, קבלת דבר במרמה ועבירות סמים. במסגרת גזר הדין שניתן כלפי הנאשם ביום 30.6.2011 על ידי בית המשפט לנוער בירושלים, נדון הנאשם ל </w:t>
      </w:r>
      <w:r>
        <w:rPr>
          <w:rtl/>
        </w:rPr>
        <w:t>–</w:t>
      </w:r>
      <w:r>
        <w:rPr>
          <w:rFonts w:hint="cs"/>
          <w:rtl/>
        </w:rPr>
        <w:t xml:space="preserve"> 14 חודשי מאסר ולמאסר מותנה למשך 8 חודשים. למרבה הצער, לא היה בתקופת המאסר הממושכת שהוטלה עליו במסגרת גזר הדין האמור כדי להביא להרתעתו, ואף לא במאסר המותנה שנגזר עליו במקביל. ככל הנראה, זמן מועט מאוד לאחר שחרורו, כאמור, בחורף 2012, שב הנאשם לסורו, והנה אנחנו כאן. </w:t>
      </w:r>
    </w:p>
    <w:p w14:paraId="4030BDAF" w14:textId="77777777" w:rsidR="001D5ED6" w:rsidRDefault="005E0351">
      <w:pPr>
        <w:spacing w:line="480" w:lineRule="auto"/>
        <w:ind w:left="510" w:hanging="510"/>
        <w:jc w:val="both"/>
        <w:rPr>
          <w:rtl/>
        </w:rPr>
      </w:pPr>
      <w:r>
        <w:rPr>
          <w:rtl/>
        </w:rPr>
        <w:lastRenderedPageBreak/>
        <w:t>4.</w:t>
      </w:r>
      <w:r>
        <w:rPr>
          <w:rFonts w:hint="cs"/>
          <w:rtl/>
        </w:rPr>
        <w:tab/>
        <w:t xml:space="preserve">ואולם, עיקר המאמץ במסגרת הליך זה מהמועד בו הורשע הנאשם ועד עתה, הופנה למאמצים נרחבים במישור השיקומי. במהלך השיקומי ניתן לסמן שלבים רבים, וכלשון אביו, נצפו בו עליות וירידות. למרבה הצער, היה סופו עגום. במהלך שלוש שנים, בליווי צמוד של שירות המבחן, התבצעו מהלכים רבים במגמה שיקומית, ובברכת בית המשפט. זאת, נוכח הערכת בית המשפט שבשלבים מסוימים אף התבססה על עמדת שירות המבחן, שיש סיכוי ויש תקווה לייצב את הנאשם ולהשיבו לפסים ראויים. במסגרת זאת הוגשו </w:t>
      </w:r>
      <w:r>
        <w:rPr>
          <w:rFonts w:hint="cs"/>
          <w:u w:val="single"/>
          <w:rtl/>
        </w:rPr>
        <w:t>כשלושים</w:t>
      </w:r>
      <w:r>
        <w:rPr>
          <w:rFonts w:hint="cs"/>
          <w:rtl/>
        </w:rPr>
        <w:t xml:space="preserve"> תסקירים, עדכונים ושאר חוות דעת, והכל במגמה למצות את סיכויי השיקום עד תום. גם קצינת המבחן הנכבדה מאוד, גב' הילה ליבסקינד, כיבדה את בית המשפט בנוכחותה, והכל </w:t>
      </w:r>
      <w:r>
        <w:rPr>
          <w:rtl/>
        </w:rPr>
        <w:t>–</w:t>
      </w:r>
      <w:r>
        <w:rPr>
          <w:rFonts w:hint="cs"/>
          <w:rtl/>
        </w:rPr>
        <w:t xml:space="preserve"> באותה מגמה. בית המשפט, מצידו, והצדדים, כשבמרכזם הסנגור הנכבד, השקיעו רבות בכיוון זה, ולא אחת אושרו דחיות על בסיס הערכה שעלה הנאשם על הפסים. </w:t>
      </w:r>
    </w:p>
    <w:p w14:paraId="28E9B66C" w14:textId="77777777" w:rsidR="001D5ED6" w:rsidRDefault="001D5ED6">
      <w:pPr>
        <w:spacing w:line="480" w:lineRule="auto"/>
        <w:ind w:left="510" w:hanging="510"/>
        <w:jc w:val="both"/>
        <w:rPr>
          <w:rtl/>
        </w:rPr>
      </w:pPr>
    </w:p>
    <w:p w14:paraId="29080A87" w14:textId="77777777" w:rsidR="001D5ED6" w:rsidRDefault="005E0351">
      <w:pPr>
        <w:spacing w:line="480" w:lineRule="auto"/>
        <w:ind w:left="510" w:hanging="510"/>
        <w:jc w:val="both"/>
        <w:rPr>
          <w:rtl/>
        </w:rPr>
      </w:pPr>
      <w:r>
        <w:rPr>
          <w:rtl/>
        </w:rPr>
        <w:tab/>
      </w:r>
      <w:r>
        <w:rPr>
          <w:rFonts w:hint="cs"/>
          <w:rtl/>
        </w:rPr>
        <w:t xml:space="preserve">למרבה הצער, למרות כל זאת, לסופו של יום, נאלץ שירות המבחן להגיש תסקיר מסכם, המשקף כשל מצד הנאשם בכל הקשור לחובתו לשמור על קשר עם שירות המבחן. המהלך השיקומי הגיע למבוי סתום. ער אני לטענות בא כוחו הנכבד של הנאשם, שכאמור אף תרם רבות מצידו לניסיון למיצוי ההליך השיקומי, לפיו, גם אם לא הגיע הנאשם לחוף מבטחים, היה במהלך השיקומי הנרחב כדי להועיל, והא ראיה, מאז ועד היום לא הורשע הנאשם בעבירות נוספות, בוודאי לא בעבירות סמים. לדבריו, בינתיים הנאשם אף התארס. בד בבד ער אני גם לטענותיו המתבססות על עובדות שעלו גם בפני בית המשפט לאורך התקופה כולה, בדבר נסיבות חייו הקשות של הנאשם. אכן, יש בכך, במידה ידועה, כדי למתן, והעובדה שלא הורשע הנאשם בעבירות סמים מאז נעצר בעקבות מעורבותו העמוקה בעסקי סמים לפני כשלש שנים ומחצה, אינה חסרת משמעות. ועם כל זאת, למרבה הצער, לא עומדות התוצאות בציפיות בית המשפט, בוודאי ביחס להשקעה הרבה במאמצי השיקום. על רקע זה על בית המשפט לגזור את דינו של הנאשם, וגם אם, ייתכן, שנכון להימנע ממיצוי הדין עימו, מענישה הולמת, אין מנוס. </w:t>
      </w:r>
    </w:p>
    <w:p w14:paraId="3488A6D9" w14:textId="77777777" w:rsidR="001D5ED6" w:rsidRDefault="001D5ED6">
      <w:pPr>
        <w:spacing w:line="480" w:lineRule="auto"/>
        <w:jc w:val="both"/>
        <w:rPr>
          <w:rtl/>
        </w:rPr>
      </w:pPr>
    </w:p>
    <w:p w14:paraId="7975A972" w14:textId="77777777" w:rsidR="001D5ED6" w:rsidRDefault="005E0351">
      <w:pPr>
        <w:spacing w:line="480" w:lineRule="auto"/>
        <w:ind w:left="510" w:hanging="510"/>
        <w:jc w:val="both"/>
        <w:rPr>
          <w:rtl/>
        </w:rPr>
      </w:pPr>
      <w:r>
        <w:rPr>
          <w:rtl/>
        </w:rPr>
        <w:t>5.</w:t>
      </w:r>
      <w:r>
        <w:rPr>
          <w:rFonts w:hint="cs"/>
          <w:rtl/>
        </w:rPr>
        <w:tab/>
        <w:t xml:space="preserve">עבירות סמים לסוגיהן, בפרט כשעל הפרק סחר בסם, ובפרט באשר המדובר במספר אישומים, מחייבות ענישה מרתעת. ומה גם, שבוצעו העבירות זמן לא רב לאחר שנדון הנאשם למאסר בראשונה בגין מקבץ נרחב של עבירות, וככל הנראה, זמן מועט לאחר שהשתחרר ממאסר קודם (שימת לב בנקודה זו לציר הזמן </w:t>
      </w:r>
      <w:r>
        <w:rPr>
          <w:rtl/>
        </w:rPr>
        <w:t>–</w:t>
      </w:r>
      <w:r>
        <w:rPr>
          <w:rFonts w:hint="cs"/>
          <w:rtl/>
        </w:rPr>
        <w:t xml:space="preserve"> הרשעתו הקודמת ב</w:t>
      </w:r>
      <w:hyperlink r:id="rId10" w:history="1">
        <w:r w:rsidRPr="005E0351">
          <w:rPr>
            <w:color w:val="0000FF"/>
            <w:u w:val="single"/>
            <w:rtl/>
          </w:rPr>
          <w:t>ת.פ. 722-07-10</w:t>
        </w:r>
      </w:hyperlink>
      <w:r>
        <w:rPr>
          <w:rFonts w:hint="cs"/>
          <w:rtl/>
        </w:rPr>
        <w:t xml:space="preserve"> תוך צירוף תיקים נוספים, מיום 30.6.2011, ועבירות דנן בוצעו בין ינואר לבין מרץ, 2012). אין אלה נסיבות בהן יגברו שיקולי השיקום על שיקולי ההלימה וההרתעה, ובנסיבות אלה, ממאסר לתקופה ממשית, אתקשה להימנע, והוא הדין ביחס למאסר מותנה שאין כל מנוס מהפעלתו, ולטעמי, אף לא ניתן להחפיפו באופן מלא למאסר שייגזר עליו בתיק זה. בגבול שורת הדין אמנע ממיצוי הדין עם הנאשם, וזאת תוך מתן משקל מצטבר להודאתו ולהערכתי, שלמרות כל האמור, יש ממש בהערכת הסניגור, שעשה הנאשם כברת דרך, ודי היה לו שהזכיר, שאכן, למרות העבירות שבעטיין הורשע, מאז ועד היום, בחלוף כשלוש שנים ומחצה, לא חזר הוא לסחר בסם.</w:t>
      </w:r>
    </w:p>
    <w:p w14:paraId="31F279B8" w14:textId="77777777" w:rsidR="001D5ED6" w:rsidRDefault="001D5ED6">
      <w:pPr>
        <w:spacing w:line="480" w:lineRule="auto"/>
        <w:jc w:val="both"/>
        <w:rPr>
          <w:rtl/>
        </w:rPr>
      </w:pPr>
    </w:p>
    <w:p w14:paraId="3E3452B3" w14:textId="77777777" w:rsidR="001D5ED6" w:rsidRDefault="005E0351">
      <w:pPr>
        <w:spacing w:line="480" w:lineRule="auto"/>
        <w:ind w:left="510" w:hanging="510"/>
        <w:jc w:val="both"/>
        <w:rPr>
          <w:b/>
          <w:bCs/>
          <w:i/>
          <w:iCs/>
          <w:rtl/>
        </w:rPr>
      </w:pPr>
      <w:r>
        <w:rPr>
          <w:rtl/>
        </w:rPr>
        <w:t>6.</w:t>
      </w:r>
      <w:r>
        <w:rPr>
          <w:rFonts w:hint="cs"/>
          <w:rtl/>
        </w:rPr>
        <w:tab/>
        <w:t>סוף דבר, גוזר אני כדלקמן:-</w:t>
      </w:r>
    </w:p>
    <w:p w14:paraId="7855621C" w14:textId="77777777" w:rsidR="001D5ED6" w:rsidRDefault="001D5ED6">
      <w:pPr>
        <w:spacing w:line="480" w:lineRule="auto"/>
        <w:ind w:left="510" w:hanging="510"/>
        <w:jc w:val="both"/>
        <w:rPr>
          <w:b/>
          <w:bCs/>
          <w:i/>
          <w:iCs/>
          <w:rtl/>
        </w:rPr>
      </w:pPr>
    </w:p>
    <w:p w14:paraId="7EA1B824" w14:textId="77777777" w:rsidR="001D5ED6" w:rsidRDefault="005E0351">
      <w:pPr>
        <w:spacing w:line="480" w:lineRule="auto"/>
        <w:ind w:firstLine="510"/>
        <w:jc w:val="both"/>
        <w:rPr>
          <w:rtl/>
        </w:rPr>
      </w:pPr>
      <w:r>
        <w:rPr>
          <w:u w:val="single"/>
          <w:rtl/>
        </w:rPr>
        <w:t>מאסר</w:t>
      </w:r>
      <w:r>
        <w:rPr>
          <w:rtl/>
        </w:rPr>
        <w:t xml:space="preserve"> - מאסר בפועל לתקופה של </w:t>
      </w:r>
      <w:r>
        <w:rPr>
          <w:rFonts w:hint="cs"/>
          <w:rtl/>
        </w:rPr>
        <w:t>14</w:t>
      </w:r>
      <w:r>
        <w:rPr>
          <w:rtl/>
        </w:rPr>
        <w:t xml:space="preserve"> חודשים. </w:t>
      </w:r>
    </w:p>
    <w:p w14:paraId="1D22338B" w14:textId="77777777" w:rsidR="001D5ED6" w:rsidRDefault="001D5ED6">
      <w:pPr>
        <w:pStyle w:val="3"/>
        <w:rPr>
          <w:b/>
          <w:bCs/>
          <w:i/>
          <w:iCs/>
          <w:rtl/>
        </w:rPr>
      </w:pPr>
    </w:p>
    <w:p w14:paraId="442015B7" w14:textId="77777777" w:rsidR="001D5ED6" w:rsidRDefault="005E0351">
      <w:pPr>
        <w:spacing w:line="480" w:lineRule="auto"/>
        <w:ind w:left="510"/>
        <w:jc w:val="both"/>
        <w:rPr>
          <w:rtl/>
        </w:rPr>
      </w:pPr>
      <w:r>
        <w:rPr>
          <w:u w:val="single"/>
          <w:rtl/>
        </w:rPr>
        <w:t>הפעלת מאסר על תנאי</w:t>
      </w:r>
      <w:r>
        <w:rPr>
          <w:rtl/>
        </w:rPr>
        <w:t xml:space="preserve"> - מפעיל בזאת מאסר על תנאי שהוטל על הנאשם ביום </w:t>
      </w:r>
      <w:r>
        <w:rPr>
          <w:rFonts w:hint="cs"/>
          <w:rtl/>
        </w:rPr>
        <w:t>30.6.11</w:t>
      </w:r>
      <w:r>
        <w:rPr>
          <w:rtl/>
        </w:rPr>
        <w:t xml:space="preserve"> בת.פ.</w:t>
      </w:r>
      <w:r>
        <w:rPr>
          <w:rFonts w:hint="cs"/>
          <w:rtl/>
        </w:rPr>
        <w:t xml:space="preserve">         722-07-10 </w:t>
      </w:r>
      <w:r>
        <w:rPr>
          <w:rtl/>
        </w:rPr>
        <w:t>של בי</w:t>
      </w:r>
      <w:r>
        <w:rPr>
          <w:rFonts w:hint="cs"/>
          <w:rtl/>
        </w:rPr>
        <w:t xml:space="preserve">ת משפט </w:t>
      </w:r>
      <w:r>
        <w:rPr>
          <w:rtl/>
        </w:rPr>
        <w:t xml:space="preserve">השלום </w:t>
      </w:r>
      <w:r>
        <w:rPr>
          <w:rFonts w:hint="cs"/>
          <w:rtl/>
        </w:rPr>
        <w:t>(נוער) בירושלים</w:t>
      </w:r>
      <w:r>
        <w:rPr>
          <w:rtl/>
        </w:rPr>
        <w:t xml:space="preserve">, לתקופה של </w:t>
      </w:r>
      <w:r>
        <w:rPr>
          <w:rFonts w:hint="cs"/>
          <w:rtl/>
        </w:rPr>
        <w:t>8</w:t>
      </w:r>
      <w:r>
        <w:rPr>
          <w:rtl/>
        </w:rPr>
        <w:t xml:space="preserve"> חודשים. </w:t>
      </w:r>
      <w:r>
        <w:rPr>
          <w:rFonts w:hint="cs"/>
          <w:rtl/>
        </w:rPr>
        <w:t>לריצויו, במחציתו בחופף להנ"ל, ומחציתו במצטבר.</w:t>
      </w:r>
    </w:p>
    <w:p w14:paraId="1DEDEC7E" w14:textId="77777777" w:rsidR="001D5ED6" w:rsidRDefault="005E0351">
      <w:pPr>
        <w:spacing w:line="480" w:lineRule="auto"/>
        <w:ind w:left="510"/>
        <w:jc w:val="both"/>
        <w:rPr>
          <w:rtl/>
        </w:rPr>
      </w:pPr>
      <w:r>
        <w:rPr>
          <w:u w:val="single"/>
          <w:rtl/>
        </w:rPr>
        <w:t>מאסר על תנאי</w:t>
      </w:r>
      <w:r>
        <w:rPr>
          <w:rtl/>
        </w:rPr>
        <w:t xml:space="preserve"> - מאסר על תנאי לתקופה של </w:t>
      </w:r>
      <w:r>
        <w:rPr>
          <w:rFonts w:hint="cs"/>
          <w:rtl/>
        </w:rPr>
        <w:t>6</w:t>
      </w:r>
      <w:r>
        <w:rPr>
          <w:rtl/>
        </w:rPr>
        <w:t xml:space="preserve"> חודשים. הנאשם ישא בעונש זה אם בתקופה של שנתיים מיום </w:t>
      </w:r>
      <w:r>
        <w:rPr>
          <w:rFonts w:hint="cs"/>
          <w:rtl/>
        </w:rPr>
        <w:t xml:space="preserve">שחרורו </w:t>
      </w:r>
      <w:r>
        <w:rPr>
          <w:rtl/>
        </w:rPr>
        <w:t xml:space="preserve">יעבור עבירה נוספת לפי </w:t>
      </w:r>
      <w:hyperlink r:id="rId11" w:history="1">
        <w:r w:rsidRPr="005E0351">
          <w:rPr>
            <w:color w:val="0000FF"/>
            <w:u w:val="single"/>
            <w:rtl/>
          </w:rPr>
          <w:t>פקודת הסמים המסוכנים</w:t>
        </w:r>
      </w:hyperlink>
      <w:r>
        <w:rPr>
          <w:rtl/>
        </w:rPr>
        <w:t xml:space="preserve">. </w:t>
      </w:r>
    </w:p>
    <w:p w14:paraId="4B965D89" w14:textId="77777777" w:rsidR="001D5ED6" w:rsidRDefault="001D5ED6">
      <w:pPr>
        <w:spacing w:line="480" w:lineRule="auto"/>
        <w:ind w:left="510"/>
        <w:jc w:val="both"/>
        <w:rPr>
          <w:rtl/>
        </w:rPr>
      </w:pPr>
    </w:p>
    <w:p w14:paraId="628F40B6" w14:textId="77777777" w:rsidR="001D5ED6" w:rsidRDefault="005E0351">
      <w:pPr>
        <w:spacing w:line="480" w:lineRule="auto"/>
        <w:ind w:left="510"/>
        <w:jc w:val="both"/>
        <w:rPr>
          <w:b/>
          <w:bCs/>
          <w:rtl/>
        </w:rPr>
      </w:pPr>
      <w:r>
        <w:rPr>
          <w:rFonts w:hint="cs"/>
          <w:b/>
          <w:bCs/>
          <w:rtl/>
        </w:rPr>
        <w:t xml:space="preserve">בסך הכל ירצה, אפוא, הנאשם 18 חדשי מאסר, מהם ינוכו 66 ימים בהם שהה במעצר. יתייצב לריצוי עונשו בבית המעצר בירושלים ביום עד 6.10.15 שעה בשעה 10:00. זאת, אלא אם כן שב"ס, בכתב יורו לנאשם להתייצב במקום אחר. </w:t>
      </w:r>
    </w:p>
    <w:p w14:paraId="2CB26E32" w14:textId="77777777" w:rsidR="001D5ED6" w:rsidRDefault="001D5ED6">
      <w:pPr>
        <w:spacing w:line="480" w:lineRule="auto"/>
        <w:ind w:left="510"/>
        <w:jc w:val="both"/>
        <w:rPr>
          <w:rtl/>
        </w:rPr>
      </w:pPr>
    </w:p>
    <w:p w14:paraId="543A331A" w14:textId="77777777" w:rsidR="001D5ED6" w:rsidRDefault="005E0351">
      <w:pPr>
        <w:spacing w:line="480" w:lineRule="auto"/>
        <w:ind w:left="510"/>
        <w:jc w:val="both"/>
        <w:rPr>
          <w:b/>
          <w:bCs/>
          <w:rtl/>
        </w:rPr>
      </w:pPr>
      <w:r>
        <w:rPr>
          <w:u w:val="single"/>
          <w:rtl/>
        </w:rPr>
        <w:t>פסילה בפועל</w:t>
      </w:r>
      <w:r>
        <w:rPr>
          <w:rtl/>
        </w:rPr>
        <w:t xml:space="preserve"> -  פסילה בפועל </w:t>
      </w:r>
      <w:r>
        <w:rPr>
          <w:rFonts w:hint="cs"/>
          <w:rtl/>
        </w:rPr>
        <w:t xml:space="preserve">מלהחזיק או מלקבל רשיון נהיגה </w:t>
      </w:r>
      <w:r>
        <w:rPr>
          <w:rtl/>
        </w:rPr>
        <w:t xml:space="preserve">לתקופה של </w:t>
      </w:r>
      <w:r>
        <w:rPr>
          <w:rFonts w:hint="cs"/>
          <w:rtl/>
        </w:rPr>
        <w:t>12 ח</w:t>
      </w:r>
      <w:r>
        <w:rPr>
          <w:rtl/>
        </w:rPr>
        <w:t>דשי</w:t>
      </w:r>
      <w:r>
        <w:rPr>
          <w:rFonts w:hint="cs"/>
          <w:rtl/>
        </w:rPr>
        <w:t>ם מיום שחרורו.</w:t>
      </w:r>
    </w:p>
    <w:p w14:paraId="57C75C76" w14:textId="77777777" w:rsidR="001D5ED6" w:rsidRDefault="001D5ED6">
      <w:pPr>
        <w:spacing w:line="480" w:lineRule="auto"/>
        <w:ind w:firstLine="510"/>
        <w:jc w:val="both"/>
        <w:rPr>
          <w:b/>
          <w:bCs/>
          <w:rtl/>
        </w:rPr>
      </w:pPr>
    </w:p>
    <w:p w14:paraId="163309EA" w14:textId="77777777" w:rsidR="001D5ED6" w:rsidRDefault="005E0351">
      <w:pPr>
        <w:spacing w:line="480" w:lineRule="auto"/>
        <w:ind w:left="510"/>
        <w:jc w:val="both"/>
        <w:rPr>
          <w:rtl/>
        </w:rPr>
      </w:pPr>
      <w:r>
        <w:rPr>
          <w:u w:val="single"/>
          <w:rtl/>
        </w:rPr>
        <w:t>פסילה על תנאי</w:t>
      </w:r>
      <w:r>
        <w:rPr>
          <w:rtl/>
        </w:rPr>
        <w:t xml:space="preserve"> - פסילה על תנאי למשך </w:t>
      </w:r>
      <w:r>
        <w:rPr>
          <w:rFonts w:hint="cs"/>
          <w:rtl/>
        </w:rPr>
        <w:t>6</w:t>
      </w:r>
      <w:r>
        <w:rPr>
          <w:rtl/>
        </w:rPr>
        <w:t xml:space="preserve"> חודשים. הנאשם ישא בעונש זה אם בתקופה של שנתיים מ</w:t>
      </w:r>
      <w:r>
        <w:rPr>
          <w:rFonts w:hint="cs"/>
          <w:rtl/>
        </w:rPr>
        <w:t xml:space="preserve">יום שחרורו יעבור עבירה נוספת לפי </w:t>
      </w:r>
      <w:hyperlink r:id="rId12" w:history="1">
        <w:r w:rsidRPr="005E0351">
          <w:rPr>
            <w:color w:val="0000FF"/>
            <w:u w:val="single"/>
            <w:rtl/>
          </w:rPr>
          <w:t>פקודת הסמים המסוכנים</w:t>
        </w:r>
      </w:hyperlink>
      <w:r>
        <w:rPr>
          <w:rFonts w:hint="cs"/>
          <w:rtl/>
        </w:rPr>
        <w:t>.</w:t>
      </w:r>
    </w:p>
    <w:p w14:paraId="3F1010D4" w14:textId="77777777" w:rsidR="001D5ED6" w:rsidRDefault="001D5ED6">
      <w:pPr>
        <w:spacing w:line="480" w:lineRule="auto"/>
        <w:ind w:left="510"/>
        <w:jc w:val="both"/>
        <w:rPr>
          <w:rtl/>
        </w:rPr>
      </w:pPr>
    </w:p>
    <w:p w14:paraId="66625F0B" w14:textId="77777777" w:rsidR="001D5ED6" w:rsidRDefault="005E0351">
      <w:pPr>
        <w:spacing w:line="480" w:lineRule="auto"/>
        <w:ind w:left="510"/>
        <w:jc w:val="both"/>
        <w:rPr>
          <w:rtl/>
        </w:rPr>
      </w:pPr>
      <w:r>
        <w:rPr>
          <w:rFonts w:hint="cs"/>
          <w:u w:val="single"/>
          <w:rtl/>
        </w:rPr>
        <w:t>מוצגים</w:t>
      </w:r>
      <w:r>
        <w:rPr>
          <w:rFonts w:hint="cs"/>
          <w:rtl/>
        </w:rPr>
        <w:t xml:space="preserve"> </w:t>
      </w:r>
      <w:r>
        <w:rPr>
          <w:rtl/>
        </w:rPr>
        <w:t>–</w:t>
      </w:r>
      <w:r>
        <w:rPr>
          <w:rFonts w:hint="cs"/>
          <w:rtl/>
        </w:rPr>
        <w:t xml:space="preserve"> המוצגים יחולטו, ורשאית המאשימה, לשיקול דעתה, להשמידם.</w:t>
      </w:r>
      <w:r>
        <w:rPr>
          <w:rtl/>
        </w:rPr>
        <w:t xml:space="preserve"> </w:t>
      </w:r>
    </w:p>
    <w:p w14:paraId="66E51484" w14:textId="77777777" w:rsidR="001D5ED6" w:rsidRDefault="001D5ED6">
      <w:pPr>
        <w:spacing w:line="480" w:lineRule="auto"/>
        <w:jc w:val="both"/>
        <w:rPr>
          <w:b/>
          <w:bCs/>
          <w:i/>
          <w:iCs/>
          <w:rtl/>
        </w:rPr>
      </w:pPr>
    </w:p>
    <w:p w14:paraId="7D50FEE4" w14:textId="77777777" w:rsidR="001D5ED6" w:rsidRDefault="005E0351">
      <w:pPr>
        <w:spacing w:line="480" w:lineRule="auto"/>
        <w:ind w:firstLine="510"/>
        <w:jc w:val="both"/>
        <w:rPr>
          <w:rtl/>
        </w:rPr>
      </w:pPr>
      <w:r>
        <w:rPr>
          <w:rtl/>
        </w:rPr>
        <w:t xml:space="preserve">זכות ערעור על פסק הדין תוך 45 יום מהיום. </w:t>
      </w:r>
    </w:p>
    <w:p w14:paraId="274F6318" w14:textId="77777777" w:rsidR="001D5ED6" w:rsidRPr="005E0351" w:rsidRDefault="005E0351">
      <w:pPr>
        <w:spacing w:line="480" w:lineRule="auto"/>
        <w:jc w:val="both"/>
        <w:rPr>
          <w:color w:val="FFFFFF"/>
          <w:sz w:val="2"/>
          <w:szCs w:val="2"/>
          <w:rtl/>
        </w:rPr>
      </w:pPr>
      <w:r w:rsidRPr="005E0351">
        <w:rPr>
          <w:color w:val="FFFFFF"/>
          <w:sz w:val="2"/>
          <w:szCs w:val="2"/>
          <w:rtl/>
        </w:rPr>
        <w:t>5129371</w:t>
      </w:r>
    </w:p>
    <w:p w14:paraId="2B9969B6" w14:textId="77777777" w:rsidR="001D5ED6" w:rsidRDefault="005E0351">
      <w:pPr>
        <w:spacing w:line="480" w:lineRule="auto"/>
        <w:rPr>
          <w:rFonts w:cs="FrankRuehl"/>
          <w:sz w:val="28"/>
          <w:szCs w:val="28"/>
          <w:rtl/>
        </w:rPr>
      </w:pPr>
      <w:r w:rsidRPr="005E0351">
        <w:rPr>
          <w:rFonts w:ascii="Arial" w:hAnsi="Arial"/>
          <w:b/>
          <w:bCs/>
          <w:color w:val="FFFFFF"/>
          <w:sz w:val="2"/>
          <w:szCs w:val="2"/>
          <w:rtl/>
        </w:rPr>
        <w:t>54678313</w:t>
      </w:r>
      <w:r>
        <w:rPr>
          <w:rFonts w:ascii="Arial" w:hAnsi="Arial"/>
          <w:b/>
          <w:bCs/>
          <w:rtl/>
        </w:rPr>
        <w:t xml:space="preserve">ניתן היום, 22 ביולי 2015, במעמד הצדדים. </w:t>
      </w:r>
    </w:p>
    <w:p w14:paraId="3779245D" w14:textId="77777777" w:rsidR="001D5ED6" w:rsidRDefault="001D5ED6">
      <w:pPr>
        <w:spacing w:line="480" w:lineRule="auto"/>
        <w:ind w:left="4320" w:firstLine="720"/>
      </w:pPr>
    </w:p>
    <w:p w14:paraId="3D74D4EF" w14:textId="77777777" w:rsidR="001D5ED6" w:rsidRDefault="001D5ED6">
      <w:pPr>
        <w:spacing w:line="480" w:lineRule="auto"/>
        <w:ind w:left="4320" w:firstLine="720"/>
        <w:rPr>
          <w:rFonts w:ascii="Arial" w:hAnsi="Arial" w:cs="FrankRuehl"/>
          <w:sz w:val="28"/>
          <w:szCs w:val="28"/>
          <w:rtl/>
        </w:rPr>
      </w:pPr>
    </w:p>
    <w:p w14:paraId="4619A3CC" w14:textId="77777777" w:rsidR="001D5ED6" w:rsidRDefault="001D5ED6">
      <w:pPr>
        <w:spacing w:line="480" w:lineRule="auto"/>
        <w:rPr>
          <w:rFonts w:cs="FrankRuehl"/>
          <w:sz w:val="28"/>
          <w:szCs w:val="28"/>
          <w:rtl/>
        </w:rPr>
      </w:pPr>
    </w:p>
    <w:p w14:paraId="60ADB42E" w14:textId="77777777" w:rsidR="001D5ED6" w:rsidRDefault="001D5ED6">
      <w:pPr>
        <w:pStyle w:val="a4"/>
        <w:jc w:val="center"/>
        <w:rPr>
          <w:rtl/>
        </w:rPr>
      </w:pPr>
    </w:p>
    <w:p w14:paraId="02E63835" w14:textId="77777777" w:rsidR="005E0351" w:rsidRPr="005E0351" w:rsidRDefault="005E0351" w:rsidP="005E0351">
      <w:pPr>
        <w:keepNext/>
        <w:rPr>
          <w:rFonts w:ascii="David" w:hAnsi="David"/>
          <w:color w:val="000000"/>
          <w:sz w:val="22"/>
          <w:szCs w:val="22"/>
          <w:rtl/>
        </w:rPr>
      </w:pPr>
    </w:p>
    <w:p w14:paraId="55070785" w14:textId="77777777" w:rsidR="005E0351" w:rsidRPr="005E0351" w:rsidRDefault="005E0351" w:rsidP="005E0351">
      <w:pPr>
        <w:keepNext/>
        <w:rPr>
          <w:rFonts w:ascii="David" w:hAnsi="David"/>
          <w:color w:val="000000"/>
          <w:sz w:val="22"/>
          <w:szCs w:val="22"/>
          <w:rtl/>
        </w:rPr>
      </w:pPr>
      <w:r w:rsidRPr="005E0351">
        <w:rPr>
          <w:rFonts w:ascii="David" w:hAnsi="David"/>
          <w:color w:val="000000"/>
          <w:sz w:val="22"/>
          <w:szCs w:val="22"/>
          <w:rtl/>
        </w:rPr>
        <w:t>אלכסנדר רון 54678313</w:t>
      </w:r>
    </w:p>
    <w:p w14:paraId="09B850FD" w14:textId="77777777" w:rsidR="005E0351" w:rsidRDefault="005E0351" w:rsidP="005E0351">
      <w:r w:rsidRPr="005E0351">
        <w:rPr>
          <w:color w:val="000000"/>
          <w:rtl/>
        </w:rPr>
        <w:t>נוסח מסמך זה כפוף לשינויי ניסוח ועריכה</w:t>
      </w:r>
    </w:p>
    <w:p w14:paraId="7F07B1F4" w14:textId="77777777" w:rsidR="005E0351" w:rsidRDefault="005E0351" w:rsidP="005E0351">
      <w:pPr>
        <w:rPr>
          <w:rtl/>
        </w:rPr>
      </w:pPr>
    </w:p>
    <w:p w14:paraId="6542D8BF" w14:textId="77777777" w:rsidR="005E0351" w:rsidRDefault="005E0351" w:rsidP="005E0351">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50820202" w14:textId="77777777" w:rsidR="001D5ED6" w:rsidRPr="005E0351" w:rsidRDefault="001D5ED6" w:rsidP="005E0351">
      <w:pPr>
        <w:jc w:val="center"/>
        <w:rPr>
          <w:color w:val="0000FF"/>
          <w:u w:val="single"/>
        </w:rPr>
      </w:pPr>
    </w:p>
    <w:sectPr w:rsidR="001D5ED6" w:rsidRPr="005E0351" w:rsidSect="005E0351">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CD982" w14:textId="77777777" w:rsidR="00BA76EF" w:rsidRDefault="00BA76EF">
      <w:r>
        <w:separator/>
      </w:r>
    </w:p>
  </w:endnote>
  <w:endnote w:type="continuationSeparator" w:id="0">
    <w:p w14:paraId="67BF7C9D" w14:textId="77777777" w:rsidR="00BA76EF" w:rsidRDefault="00BA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BC2E0" w14:textId="77777777" w:rsidR="00992A52" w:rsidRDefault="00992A52" w:rsidP="005E03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000223" w14:textId="77777777" w:rsidR="00992A52" w:rsidRPr="005E0351" w:rsidRDefault="00992A52" w:rsidP="005E0351">
    <w:pPr>
      <w:pStyle w:val="a5"/>
      <w:pBdr>
        <w:top w:val="single" w:sz="4" w:space="1" w:color="auto"/>
        <w:between w:val="single" w:sz="4" w:space="0" w:color="auto"/>
      </w:pBdr>
      <w:spacing w:after="60"/>
      <w:jc w:val="center"/>
      <w:rPr>
        <w:rFonts w:ascii="FrankRuehl" w:hAnsi="FrankRuehl" w:cs="FrankRuehl"/>
        <w:color w:val="000000"/>
      </w:rPr>
    </w:pPr>
    <w:r w:rsidRPr="005E03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DC9DA" w14:textId="77777777" w:rsidR="00992A52" w:rsidRDefault="00992A52" w:rsidP="005E03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7FE6">
      <w:rPr>
        <w:rFonts w:ascii="FrankRuehl" w:hAnsi="FrankRuehl" w:cs="FrankRuehl"/>
        <w:noProof/>
        <w:rtl/>
      </w:rPr>
      <w:t>2</w:t>
    </w:r>
    <w:r>
      <w:rPr>
        <w:rFonts w:ascii="FrankRuehl" w:hAnsi="FrankRuehl" w:cs="FrankRuehl"/>
        <w:rtl/>
      </w:rPr>
      <w:fldChar w:fldCharType="end"/>
    </w:r>
  </w:p>
  <w:p w14:paraId="63A59C04" w14:textId="77777777" w:rsidR="00992A52" w:rsidRPr="005E0351" w:rsidRDefault="00992A52" w:rsidP="005E0351">
    <w:pPr>
      <w:pStyle w:val="a5"/>
      <w:pBdr>
        <w:top w:val="single" w:sz="4" w:space="1" w:color="auto"/>
        <w:between w:val="single" w:sz="4" w:space="0" w:color="auto"/>
      </w:pBdr>
      <w:spacing w:after="60"/>
      <w:jc w:val="center"/>
      <w:rPr>
        <w:rFonts w:ascii="FrankRuehl" w:hAnsi="FrankRuehl" w:cs="FrankRuehl"/>
        <w:color w:val="000000"/>
      </w:rPr>
    </w:pPr>
    <w:r w:rsidRPr="005E0351">
      <w:rPr>
        <w:rFonts w:ascii="FrankRuehl" w:hAnsi="FrankRuehl" w:cs="FrankRuehl"/>
        <w:color w:val="000000"/>
      </w:rPr>
      <w:pict w14:anchorId="6536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56CED" w14:textId="77777777" w:rsidR="00BA76EF" w:rsidRDefault="00BA76EF">
      <w:r>
        <w:separator/>
      </w:r>
    </w:p>
  </w:footnote>
  <w:footnote w:type="continuationSeparator" w:id="0">
    <w:p w14:paraId="237507B5" w14:textId="77777777" w:rsidR="00BA76EF" w:rsidRDefault="00BA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2B01" w14:textId="77777777" w:rsidR="00992A52" w:rsidRPr="005E0351" w:rsidRDefault="00992A52" w:rsidP="005E035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30762-05-12</w:t>
    </w:r>
    <w:r>
      <w:rPr>
        <w:rFonts w:ascii="David" w:hAnsi="David"/>
        <w:color w:val="000000"/>
        <w:sz w:val="22"/>
        <w:szCs w:val="22"/>
        <w:rtl/>
      </w:rPr>
      <w:tab/>
      <w:t xml:space="preserve"> מדינת ישראל נ' גיא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EEB67" w14:textId="77777777" w:rsidR="00992A52" w:rsidRPr="005E0351" w:rsidRDefault="00992A52" w:rsidP="005E035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30762-05-12</w:t>
    </w:r>
    <w:r>
      <w:rPr>
        <w:rFonts w:ascii="David" w:hAnsi="David"/>
        <w:color w:val="000000"/>
        <w:sz w:val="22"/>
        <w:szCs w:val="22"/>
        <w:rtl/>
      </w:rPr>
      <w:tab/>
      <w:t xml:space="preserve"> מדינת ישראל נ' גיא יחיא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ED6"/>
    <w:rsid w:val="000C0C35"/>
    <w:rsid w:val="000E7FE6"/>
    <w:rsid w:val="00163451"/>
    <w:rsid w:val="001D5ED6"/>
    <w:rsid w:val="005E0351"/>
    <w:rsid w:val="006862DB"/>
    <w:rsid w:val="00992A52"/>
    <w:rsid w:val="00BA76EF"/>
    <w:rsid w:val="00C53782"/>
    <w:rsid w:val="00D97B2B"/>
    <w:rsid w:val="00EC5C54"/>
    <w:rsid w:val="00F238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F814E2"/>
  <w15:chartTrackingRefBased/>
  <w15:docId w15:val="{36AA8169-79C7-4AF7-8067-29552B2B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ED6"/>
    <w:pPr>
      <w:bidi/>
    </w:pPr>
    <w:rPr>
      <w:rFonts w:cs="David"/>
      <w:sz w:val="24"/>
      <w:szCs w:val="24"/>
    </w:rPr>
  </w:style>
  <w:style w:type="paragraph" w:styleId="3">
    <w:name w:val="heading 3"/>
    <w:basedOn w:val="a"/>
    <w:next w:val="a"/>
    <w:link w:val="30"/>
    <w:qFormat/>
    <w:rsid w:val="001D5ED6"/>
    <w:pPr>
      <w:keepNext/>
      <w:keepLines/>
      <w:spacing w:before="40"/>
      <w:outlineLvl w:val="2"/>
    </w:pPr>
    <w:rPr>
      <w:rFonts w:ascii="Cambria" w:hAnsi="Cambria" w:cs="Times New Roman"/>
      <w:color w:val="243F6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D5ED6"/>
  </w:style>
  <w:style w:type="paragraph" w:styleId="a4">
    <w:name w:val="header"/>
    <w:basedOn w:val="a"/>
    <w:rsid w:val="001D5ED6"/>
    <w:pPr>
      <w:tabs>
        <w:tab w:val="center" w:pos="4153"/>
        <w:tab w:val="right" w:pos="8306"/>
      </w:tabs>
    </w:pPr>
  </w:style>
  <w:style w:type="paragraph" w:styleId="a5">
    <w:name w:val="footer"/>
    <w:basedOn w:val="a"/>
    <w:rsid w:val="001D5ED6"/>
    <w:pPr>
      <w:tabs>
        <w:tab w:val="center" w:pos="4153"/>
        <w:tab w:val="right" w:pos="8306"/>
      </w:tabs>
    </w:pPr>
  </w:style>
  <w:style w:type="character" w:customStyle="1" w:styleId="30">
    <w:name w:val="כותרת 3 תו"/>
    <w:link w:val="3"/>
    <w:rsid w:val="001D5ED6"/>
    <w:rPr>
      <w:rFonts w:ascii="Cambria" w:hAnsi="Cambria"/>
      <w:color w:val="243F60"/>
      <w:sz w:val="24"/>
      <w:szCs w:val="24"/>
      <w:lang w:val="en-US" w:eastAsia="en-US" w:bidi="he-IL"/>
    </w:rPr>
  </w:style>
  <w:style w:type="character" w:styleId="a6">
    <w:name w:val="page number"/>
    <w:basedOn w:val="a0"/>
    <w:rsid w:val="005E0351"/>
  </w:style>
  <w:style w:type="character" w:styleId="Hyperlink">
    <w:name w:val="Hyperlink"/>
    <w:rsid w:val="005E0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573003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1045</Words>
  <Characters>5229</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6262</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3145840</vt:i4>
      </vt:variant>
      <vt:variant>
        <vt:i4>12</vt:i4>
      </vt:variant>
      <vt:variant>
        <vt:i4>0</vt:i4>
      </vt:variant>
      <vt:variant>
        <vt:i4>5</vt:i4>
      </vt:variant>
      <vt:variant>
        <vt:lpwstr>http://www.nevo.co.il/case/5730036</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30762</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גיא יחיא</vt:lpwstr>
  </property>
  <property fmtid="{D5CDD505-2E9C-101B-9397-08002B2CF9AE}" pid="10" name="LAWYER">
    <vt:lpwstr>דניאל שימשילשווילי וו שינקולבסקי</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20150722</vt:lpwstr>
  </property>
  <property fmtid="{D5CDD505-2E9C-101B-9397-08002B2CF9AE}" pid="14" name="TYPE_N_DATE">
    <vt:lpwstr>38020150722</vt:lpwstr>
  </property>
  <property fmtid="{D5CDD505-2E9C-101B-9397-08002B2CF9AE}" pid="15" name="CASESLISTTMP1">
    <vt:lpwstr>5730036</vt:lpwstr>
  </property>
  <property fmtid="{D5CDD505-2E9C-101B-9397-08002B2CF9AE}" pid="16" name="WORDNUMPAGES">
    <vt:lpwstr>5</vt:lpwstr>
  </property>
  <property fmtid="{D5CDD505-2E9C-101B-9397-08002B2CF9AE}" pid="17" name="TYPE_ABS_DATE">
    <vt:lpwstr>380020150722</vt:lpwstr>
  </property>
  <property fmtid="{D5CDD505-2E9C-101B-9397-08002B2CF9AE}" pid="18" name="ISABSTRACT">
    <vt:lpwstr>Y</vt:lpwstr>
  </property>
  <property fmtid="{D5CDD505-2E9C-101B-9397-08002B2CF9AE}" pid="19" name="LAWLISTTMP1">
    <vt:lpwstr>4216:3</vt:lpwstr>
  </property>
  <property fmtid="{D5CDD505-2E9C-101B-9397-08002B2CF9AE}" pid="20" name="LAWLISTTMP2">
    <vt:lpwstr>70301</vt:lpwstr>
  </property>
</Properties>
</file>