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D67BBA" w:rsidRPr="00C46442" w14:paraId="7DF43DCE" w14:textId="77777777">
        <w:trPr>
          <w:trHeight w:hRule="exact" w:val="418"/>
          <w:jc w:val="center"/>
        </w:trPr>
        <w:tc>
          <w:tcPr>
            <w:tcW w:w="8721" w:type="dxa"/>
            <w:gridSpan w:val="2"/>
          </w:tcPr>
          <w:p w14:paraId="4879A679" w14:textId="77777777" w:rsidR="00D67BBA" w:rsidRPr="00C46442" w:rsidRDefault="00D67BBA" w:rsidP="00C46442">
            <w:pPr>
              <w:pStyle w:val="a3"/>
              <w:jc w:val="center"/>
              <w:rPr>
                <w:rFonts w:ascii="Tahoma" w:hAnsi="Tahoma" w:cs="Tahoma"/>
                <w:color w:val="000080"/>
                <w:rtl/>
              </w:rPr>
            </w:pPr>
            <w:bookmarkStart w:id="0" w:name="LastJudge"/>
            <w:r w:rsidRPr="00C46442">
              <w:rPr>
                <w:rFonts w:ascii="Tahoma" w:hAnsi="Tahoma" w:cs="Tahoma"/>
                <w:b/>
                <w:bCs/>
                <w:color w:val="000080"/>
                <w:rtl/>
              </w:rPr>
              <w:t>בית משפט השלום בירושלים</w:t>
            </w:r>
          </w:p>
        </w:tc>
      </w:tr>
      <w:tr w:rsidR="00D67BBA" w:rsidRPr="00C46442" w14:paraId="1A0CE651" w14:textId="77777777">
        <w:trPr>
          <w:trHeight w:val="337"/>
          <w:jc w:val="center"/>
        </w:trPr>
        <w:tc>
          <w:tcPr>
            <w:tcW w:w="5055" w:type="dxa"/>
          </w:tcPr>
          <w:p w14:paraId="1DF3FD7A" w14:textId="77777777" w:rsidR="00D67BBA" w:rsidRPr="00C46442" w:rsidRDefault="00D67BBA" w:rsidP="00C46442">
            <w:pPr>
              <w:rPr>
                <w:rFonts w:cs="FrankRuehl"/>
                <w:sz w:val="28"/>
                <w:szCs w:val="28"/>
                <w:rtl/>
              </w:rPr>
            </w:pPr>
            <w:r w:rsidRPr="00C46442">
              <w:rPr>
                <w:rFonts w:cs="FrankRuehl"/>
                <w:sz w:val="28"/>
                <w:szCs w:val="28"/>
                <w:rtl/>
              </w:rPr>
              <w:t>ת"פ</w:t>
            </w:r>
            <w:r w:rsidRPr="00C46442">
              <w:rPr>
                <w:rFonts w:cs="FrankRuehl" w:hint="cs"/>
                <w:sz w:val="28"/>
                <w:szCs w:val="28"/>
                <w:rtl/>
              </w:rPr>
              <w:t xml:space="preserve"> </w:t>
            </w:r>
            <w:r w:rsidRPr="00C46442">
              <w:rPr>
                <w:rFonts w:cs="FrankRuehl"/>
                <w:sz w:val="28"/>
                <w:szCs w:val="28"/>
                <w:rtl/>
              </w:rPr>
              <w:t>54307-05-12</w:t>
            </w:r>
            <w:r w:rsidRPr="00C46442">
              <w:rPr>
                <w:rFonts w:cs="FrankRuehl" w:hint="cs"/>
                <w:sz w:val="28"/>
                <w:szCs w:val="28"/>
                <w:rtl/>
              </w:rPr>
              <w:t xml:space="preserve"> </w:t>
            </w:r>
            <w:r w:rsidRPr="00C46442">
              <w:rPr>
                <w:rFonts w:cs="FrankRuehl"/>
                <w:sz w:val="28"/>
                <w:szCs w:val="28"/>
                <w:rtl/>
              </w:rPr>
              <w:t>מדינת ישראל נ' גרינוולד</w:t>
            </w:r>
          </w:p>
          <w:p w14:paraId="344FEBB1" w14:textId="77777777" w:rsidR="00D67BBA" w:rsidRPr="00C46442" w:rsidRDefault="00D67BBA" w:rsidP="00C46442">
            <w:pPr>
              <w:rPr>
                <w:rFonts w:cs="FrankRuehl"/>
                <w:sz w:val="28"/>
                <w:szCs w:val="28"/>
                <w:rtl/>
              </w:rPr>
            </w:pPr>
            <w:r w:rsidRPr="00C46442">
              <w:rPr>
                <w:rFonts w:cs="FrankRuehl"/>
                <w:sz w:val="28"/>
                <w:szCs w:val="28"/>
                <w:rtl/>
              </w:rPr>
              <w:t>ת"פ</w:t>
            </w:r>
            <w:r w:rsidRPr="00C46442">
              <w:rPr>
                <w:rFonts w:cs="FrankRuehl" w:hint="cs"/>
                <w:sz w:val="28"/>
                <w:szCs w:val="28"/>
                <w:rtl/>
              </w:rPr>
              <w:t xml:space="preserve"> </w:t>
            </w:r>
            <w:r w:rsidRPr="00C46442">
              <w:rPr>
                <w:rFonts w:cs="FrankRuehl"/>
                <w:sz w:val="28"/>
                <w:szCs w:val="28"/>
                <w:rtl/>
              </w:rPr>
              <w:t>50613-12-12</w:t>
            </w:r>
            <w:r w:rsidRPr="00C46442">
              <w:rPr>
                <w:rFonts w:cs="FrankRuehl" w:hint="cs"/>
                <w:sz w:val="28"/>
                <w:szCs w:val="28"/>
                <w:rtl/>
              </w:rPr>
              <w:t xml:space="preserve"> </w:t>
            </w:r>
            <w:r w:rsidRPr="00C46442">
              <w:rPr>
                <w:rFonts w:cs="FrankRuehl"/>
                <w:sz w:val="28"/>
                <w:szCs w:val="28"/>
                <w:rtl/>
              </w:rPr>
              <w:t>מדינת ישראל נ' גרינוולד</w:t>
            </w:r>
          </w:p>
          <w:p w14:paraId="7911ABE1" w14:textId="77777777" w:rsidR="00D67BBA" w:rsidRPr="00C46442" w:rsidRDefault="00D67BBA" w:rsidP="00C46442">
            <w:pPr>
              <w:rPr>
                <w:rFonts w:cs="FrankRuehl"/>
                <w:sz w:val="28"/>
                <w:szCs w:val="28"/>
                <w:rtl/>
              </w:rPr>
            </w:pPr>
            <w:r w:rsidRPr="00C46442">
              <w:rPr>
                <w:rFonts w:cs="FrankRuehl"/>
                <w:sz w:val="28"/>
                <w:szCs w:val="28"/>
                <w:rtl/>
              </w:rPr>
              <w:t>ת"פ</w:t>
            </w:r>
            <w:r w:rsidRPr="00C46442">
              <w:rPr>
                <w:rFonts w:cs="FrankRuehl" w:hint="cs"/>
                <w:sz w:val="28"/>
                <w:szCs w:val="28"/>
                <w:rtl/>
              </w:rPr>
              <w:t xml:space="preserve"> </w:t>
            </w:r>
            <w:r w:rsidRPr="00C46442">
              <w:rPr>
                <w:rFonts w:cs="FrankRuehl"/>
                <w:sz w:val="28"/>
                <w:szCs w:val="28"/>
                <w:rtl/>
              </w:rPr>
              <w:t>48300-10-12</w:t>
            </w:r>
            <w:r w:rsidRPr="00C46442">
              <w:rPr>
                <w:rFonts w:cs="FrankRuehl" w:hint="cs"/>
                <w:sz w:val="28"/>
                <w:szCs w:val="28"/>
                <w:rtl/>
              </w:rPr>
              <w:t xml:space="preserve"> </w:t>
            </w:r>
            <w:r w:rsidRPr="00C46442">
              <w:rPr>
                <w:rFonts w:cs="FrankRuehl"/>
                <w:sz w:val="28"/>
                <w:szCs w:val="28"/>
                <w:rtl/>
              </w:rPr>
              <w:t>מדינת ישראל נ' גרינוולד</w:t>
            </w:r>
          </w:p>
        </w:tc>
        <w:tc>
          <w:tcPr>
            <w:tcW w:w="3666" w:type="dxa"/>
          </w:tcPr>
          <w:p w14:paraId="35FBDAFD" w14:textId="77777777" w:rsidR="00D67BBA" w:rsidRPr="00C46442" w:rsidRDefault="00D67BBA" w:rsidP="00C46442">
            <w:pPr>
              <w:pStyle w:val="a3"/>
              <w:jc w:val="right"/>
              <w:rPr>
                <w:rFonts w:cs="FrankRuehl"/>
                <w:sz w:val="28"/>
                <w:szCs w:val="28"/>
                <w:rtl/>
              </w:rPr>
            </w:pPr>
          </w:p>
        </w:tc>
      </w:tr>
    </w:tbl>
    <w:p w14:paraId="7BEC730F" w14:textId="77777777" w:rsidR="00D67BBA" w:rsidRPr="00C46442" w:rsidRDefault="00D67BBA" w:rsidP="00D67BBA">
      <w:pPr>
        <w:pStyle w:val="a3"/>
        <w:rPr>
          <w:rtl/>
        </w:rPr>
      </w:pPr>
      <w:r w:rsidRPr="00C46442">
        <w:rPr>
          <w:rFonts w:hint="cs"/>
          <w:rtl/>
        </w:rPr>
        <w:t xml:space="preserve"> </w:t>
      </w:r>
    </w:p>
    <w:p w14:paraId="39070B26" w14:textId="77777777" w:rsidR="00D67BBA" w:rsidRPr="00C46442" w:rsidRDefault="00D67BBA" w:rsidP="00D67BBA">
      <w:pPr>
        <w:rPr>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D67BBA" w:rsidRPr="00C46442" w14:paraId="3CDA475E" w14:textId="77777777">
        <w:trPr>
          <w:trHeight w:val="295"/>
          <w:jc w:val="center"/>
        </w:trPr>
        <w:tc>
          <w:tcPr>
            <w:tcW w:w="923" w:type="dxa"/>
            <w:tcBorders>
              <w:top w:val="nil"/>
              <w:left w:val="nil"/>
              <w:bottom w:val="nil"/>
              <w:right w:val="nil"/>
            </w:tcBorders>
            <w:shd w:val="clear" w:color="auto" w:fill="auto"/>
          </w:tcPr>
          <w:p w14:paraId="5E437EA7" w14:textId="77777777" w:rsidR="00D67BBA" w:rsidRPr="00C46442" w:rsidRDefault="00D67BBA" w:rsidP="00C46442">
            <w:pPr>
              <w:jc w:val="both"/>
              <w:rPr>
                <w:rFonts w:ascii="Arial" w:hAnsi="Arial"/>
                <w:b/>
                <w:bCs/>
              </w:rPr>
            </w:pPr>
            <w:r w:rsidRPr="00C46442">
              <w:rPr>
                <w:rFonts w:ascii="Arial" w:hAnsi="Arial" w:hint="cs"/>
                <w:b/>
                <w:bCs/>
                <w:rtl/>
              </w:rPr>
              <w:t>ל</w:t>
            </w:r>
            <w:r w:rsidRPr="00C46442">
              <w:rPr>
                <w:rFonts w:ascii="Arial" w:hAnsi="Arial"/>
                <w:b/>
                <w:bCs/>
                <w:rtl/>
              </w:rPr>
              <w:t xml:space="preserve">פני </w:t>
            </w:r>
          </w:p>
        </w:tc>
        <w:tc>
          <w:tcPr>
            <w:tcW w:w="7897" w:type="dxa"/>
            <w:gridSpan w:val="2"/>
            <w:tcBorders>
              <w:top w:val="nil"/>
              <w:left w:val="nil"/>
              <w:bottom w:val="nil"/>
              <w:right w:val="nil"/>
            </w:tcBorders>
            <w:shd w:val="clear" w:color="auto" w:fill="auto"/>
          </w:tcPr>
          <w:p w14:paraId="5E5EC24E" w14:textId="77777777" w:rsidR="00D67BBA" w:rsidRPr="00C46442" w:rsidRDefault="00D67BBA" w:rsidP="00C46442">
            <w:pPr>
              <w:rPr>
                <w:rFonts w:ascii="Arial" w:hAnsi="Arial"/>
                <w:b/>
                <w:bCs/>
                <w:rtl/>
              </w:rPr>
            </w:pPr>
            <w:r w:rsidRPr="00C46442">
              <w:rPr>
                <w:rFonts w:ascii="Arial" w:hAnsi="Arial" w:hint="cs"/>
                <w:b/>
                <w:bCs/>
                <w:rtl/>
              </w:rPr>
              <w:t>כבוד ה</w:t>
            </w:r>
            <w:r w:rsidRPr="00C46442">
              <w:rPr>
                <w:rFonts w:hint="cs"/>
                <w:b/>
                <w:bCs/>
                <w:rtl/>
              </w:rPr>
              <w:t>שופטת</w:t>
            </w:r>
            <w:r w:rsidRPr="00C46442">
              <w:rPr>
                <w:rFonts w:ascii="Arial" w:hAnsi="Arial" w:hint="cs"/>
                <w:b/>
                <w:bCs/>
                <w:rtl/>
              </w:rPr>
              <w:t xml:space="preserve">  </w:t>
            </w:r>
            <w:r w:rsidRPr="00C46442">
              <w:rPr>
                <w:rFonts w:hint="cs"/>
                <w:b/>
                <w:bCs/>
                <w:rtl/>
              </w:rPr>
              <w:t>חנה מרים לומפ</w:t>
            </w:r>
          </w:p>
          <w:p w14:paraId="74510AEA" w14:textId="77777777" w:rsidR="00D67BBA" w:rsidRPr="00C46442" w:rsidRDefault="00D67BBA" w:rsidP="00C46442">
            <w:pPr>
              <w:rPr>
                <w:b/>
                <w:bCs/>
                <w:rtl/>
              </w:rPr>
            </w:pPr>
          </w:p>
          <w:p w14:paraId="641CB861" w14:textId="77777777" w:rsidR="00D67BBA" w:rsidRPr="00C46442" w:rsidRDefault="00D67BBA" w:rsidP="00C46442">
            <w:pPr>
              <w:jc w:val="both"/>
              <w:rPr>
                <w:rFonts w:ascii="Arial" w:hAnsi="Arial"/>
                <w:b/>
                <w:bCs/>
              </w:rPr>
            </w:pPr>
          </w:p>
        </w:tc>
      </w:tr>
      <w:tr w:rsidR="00D67BBA" w:rsidRPr="00C46442" w14:paraId="27CD8E8B" w14:textId="77777777">
        <w:trPr>
          <w:trHeight w:val="355"/>
          <w:jc w:val="center"/>
        </w:trPr>
        <w:tc>
          <w:tcPr>
            <w:tcW w:w="923" w:type="dxa"/>
            <w:tcBorders>
              <w:top w:val="nil"/>
              <w:left w:val="nil"/>
              <w:bottom w:val="nil"/>
              <w:right w:val="nil"/>
            </w:tcBorders>
            <w:shd w:val="clear" w:color="auto" w:fill="auto"/>
          </w:tcPr>
          <w:p w14:paraId="1CF0AABB" w14:textId="77777777" w:rsidR="00D67BBA" w:rsidRPr="00C46442" w:rsidRDefault="00D67BBA" w:rsidP="00C46442">
            <w:pPr>
              <w:jc w:val="both"/>
              <w:rPr>
                <w:rFonts w:ascii="Arial" w:hAnsi="Arial"/>
                <w:b/>
                <w:bCs/>
                <w:sz w:val="28"/>
                <w:szCs w:val="28"/>
              </w:rPr>
            </w:pPr>
            <w:bookmarkStart w:id="1" w:name="FirstAppellant"/>
            <w:r w:rsidRPr="00C46442">
              <w:rPr>
                <w:rFonts w:ascii="Arial" w:hAnsi="Arial" w:hint="cs"/>
                <w:b/>
                <w:bCs/>
                <w:sz w:val="28"/>
                <w:szCs w:val="28"/>
                <w:rtl/>
              </w:rPr>
              <w:t>בעניין:</w:t>
            </w:r>
          </w:p>
        </w:tc>
        <w:tc>
          <w:tcPr>
            <w:tcW w:w="4126" w:type="dxa"/>
            <w:tcBorders>
              <w:top w:val="nil"/>
              <w:left w:val="nil"/>
              <w:bottom w:val="nil"/>
              <w:right w:val="nil"/>
            </w:tcBorders>
            <w:shd w:val="clear" w:color="auto" w:fill="auto"/>
          </w:tcPr>
          <w:p w14:paraId="57D289A5" w14:textId="77777777" w:rsidR="00D67BBA" w:rsidRPr="00C46442" w:rsidRDefault="00D67BBA" w:rsidP="00C46442">
            <w:pPr>
              <w:rPr>
                <w:b/>
                <w:bCs/>
                <w:sz w:val="28"/>
                <w:szCs w:val="28"/>
              </w:rPr>
            </w:pPr>
            <w:r w:rsidRPr="00C46442">
              <w:rPr>
                <w:rFonts w:hint="cs"/>
                <w:b/>
                <w:bCs/>
                <w:sz w:val="28"/>
                <w:szCs w:val="28"/>
                <w:rtl/>
              </w:rPr>
              <w:t>מדינת ישראל</w:t>
            </w:r>
          </w:p>
        </w:tc>
        <w:tc>
          <w:tcPr>
            <w:tcW w:w="3771" w:type="dxa"/>
            <w:tcBorders>
              <w:top w:val="nil"/>
              <w:left w:val="nil"/>
              <w:bottom w:val="nil"/>
              <w:right w:val="nil"/>
            </w:tcBorders>
            <w:shd w:val="clear" w:color="auto" w:fill="auto"/>
          </w:tcPr>
          <w:p w14:paraId="42F7643F" w14:textId="77777777" w:rsidR="00D67BBA" w:rsidRPr="00C46442" w:rsidRDefault="00D67BBA" w:rsidP="00C46442">
            <w:pPr>
              <w:jc w:val="both"/>
              <w:rPr>
                <w:rFonts w:ascii="Arial" w:hAnsi="Arial"/>
                <w:b/>
                <w:bCs/>
                <w:sz w:val="28"/>
                <w:szCs w:val="28"/>
              </w:rPr>
            </w:pPr>
          </w:p>
        </w:tc>
      </w:tr>
      <w:tr w:rsidR="00D67BBA" w:rsidRPr="00C46442" w14:paraId="669A02D8" w14:textId="77777777">
        <w:trPr>
          <w:trHeight w:val="355"/>
          <w:jc w:val="center"/>
        </w:trPr>
        <w:tc>
          <w:tcPr>
            <w:tcW w:w="923" w:type="dxa"/>
            <w:tcBorders>
              <w:top w:val="nil"/>
              <w:left w:val="nil"/>
              <w:bottom w:val="nil"/>
              <w:right w:val="nil"/>
            </w:tcBorders>
            <w:shd w:val="clear" w:color="auto" w:fill="auto"/>
          </w:tcPr>
          <w:p w14:paraId="13E2332E" w14:textId="77777777" w:rsidR="00D67BBA" w:rsidRPr="00C46442" w:rsidRDefault="00D67BBA" w:rsidP="00C46442">
            <w:pPr>
              <w:jc w:val="both"/>
              <w:rPr>
                <w:rFonts w:ascii="Arial" w:hAnsi="Arial"/>
                <w:b/>
                <w:bCs/>
                <w:sz w:val="28"/>
                <w:szCs w:val="28"/>
                <w:rtl/>
              </w:rPr>
            </w:pPr>
            <w:bookmarkStart w:id="2" w:name="FirstLawyer"/>
            <w:bookmarkEnd w:id="1"/>
          </w:p>
        </w:tc>
        <w:tc>
          <w:tcPr>
            <w:tcW w:w="4126" w:type="dxa"/>
            <w:tcBorders>
              <w:top w:val="nil"/>
              <w:left w:val="nil"/>
              <w:bottom w:val="nil"/>
              <w:right w:val="nil"/>
            </w:tcBorders>
            <w:shd w:val="clear" w:color="auto" w:fill="auto"/>
          </w:tcPr>
          <w:p w14:paraId="67D22687" w14:textId="77777777" w:rsidR="00D67BBA" w:rsidRPr="00C46442" w:rsidRDefault="00D67BBA" w:rsidP="00C46442">
            <w:pPr>
              <w:jc w:val="both"/>
              <w:rPr>
                <w:b/>
                <w:bCs/>
                <w:sz w:val="28"/>
                <w:szCs w:val="28"/>
                <w:rtl/>
              </w:rPr>
            </w:pPr>
            <w:r w:rsidRPr="00C46442">
              <w:rPr>
                <w:rFonts w:hint="cs"/>
                <w:b/>
                <w:bCs/>
                <w:sz w:val="28"/>
                <w:szCs w:val="28"/>
                <w:rtl/>
              </w:rPr>
              <w:t>ע"י ב"כ עו"ד דינה דוד</w:t>
            </w:r>
          </w:p>
        </w:tc>
        <w:tc>
          <w:tcPr>
            <w:tcW w:w="3771" w:type="dxa"/>
            <w:tcBorders>
              <w:top w:val="nil"/>
              <w:left w:val="nil"/>
              <w:bottom w:val="nil"/>
              <w:right w:val="nil"/>
            </w:tcBorders>
            <w:shd w:val="clear" w:color="auto" w:fill="auto"/>
          </w:tcPr>
          <w:p w14:paraId="041CF970" w14:textId="77777777" w:rsidR="00D67BBA" w:rsidRPr="00C46442" w:rsidRDefault="00D67BBA" w:rsidP="00C46442">
            <w:pPr>
              <w:jc w:val="right"/>
              <w:rPr>
                <w:rFonts w:ascii="Arial" w:hAnsi="Arial"/>
                <w:b/>
                <w:bCs/>
                <w:sz w:val="28"/>
                <w:szCs w:val="28"/>
                <w:rtl/>
              </w:rPr>
            </w:pPr>
            <w:r w:rsidRPr="00C46442">
              <w:rPr>
                <w:rFonts w:ascii="Arial" w:hAnsi="Arial" w:hint="cs"/>
                <w:b/>
                <w:bCs/>
                <w:sz w:val="28"/>
                <w:szCs w:val="28"/>
                <w:rtl/>
              </w:rPr>
              <w:t>ה</w:t>
            </w:r>
            <w:r w:rsidRPr="00C46442">
              <w:rPr>
                <w:rFonts w:hint="cs"/>
                <w:b/>
                <w:bCs/>
                <w:sz w:val="28"/>
                <w:szCs w:val="28"/>
                <w:rtl/>
              </w:rPr>
              <w:t>מאשימה</w:t>
            </w:r>
          </w:p>
        </w:tc>
      </w:tr>
      <w:bookmarkEnd w:id="2"/>
      <w:tr w:rsidR="00D67BBA" w:rsidRPr="00C46442" w14:paraId="39CCBECF" w14:textId="77777777">
        <w:trPr>
          <w:trHeight w:val="355"/>
          <w:jc w:val="center"/>
        </w:trPr>
        <w:tc>
          <w:tcPr>
            <w:tcW w:w="923" w:type="dxa"/>
            <w:tcBorders>
              <w:top w:val="nil"/>
              <w:left w:val="nil"/>
              <w:bottom w:val="nil"/>
              <w:right w:val="nil"/>
            </w:tcBorders>
            <w:shd w:val="clear" w:color="auto" w:fill="auto"/>
          </w:tcPr>
          <w:p w14:paraId="3D6C0B69" w14:textId="77777777" w:rsidR="00D67BBA" w:rsidRPr="00C46442" w:rsidRDefault="00D67BBA" w:rsidP="00C46442">
            <w:pPr>
              <w:jc w:val="both"/>
              <w:rPr>
                <w:rFonts w:ascii="Arial" w:hAnsi="Arial"/>
                <w:b/>
                <w:bCs/>
                <w:sz w:val="28"/>
                <w:szCs w:val="28"/>
                <w:rtl/>
              </w:rPr>
            </w:pPr>
          </w:p>
        </w:tc>
        <w:tc>
          <w:tcPr>
            <w:tcW w:w="7897" w:type="dxa"/>
            <w:gridSpan w:val="2"/>
            <w:tcBorders>
              <w:top w:val="nil"/>
              <w:left w:val="nil"/>
              <w:bottom w:val="nil"/>
              <w:right w:val="nil"/>
            </w:tcBorders>
            <w:shd w:val="clear" w:color="auto" w:fill="auto"/>
          </w:tcPr>
          <w:p w14:paraId="74FE870B" w14:textId="77777777" w:rsidR="00D67BBA" w:rsidRPr="00C46442" w:rsidRDefault="00D67BBA" w:rsidP="00C46442">
            <w:pPr>
              <w:jc w:val="center"/>
              <w:rPr>
                <w:rFonts w:ascii="Arial" w:hAnsi="Arial"/>
                <w:b/>
                <w:bCs/>
                <w:sz w:val="28"/>
                <w:szCs w:val="28"/>
                <w:rtl/>
              </w:rPr>
            </w:pPr>
          </w:p>
          <w:p w14:paraId="638FB145" w14:textId="77777777" w:rsidR="00D67BBA" w:rsidRPr="00C46442" w:rsidRDefault="00D67BBA" w:rsidP="00C46442">
            <w:pPr>
              <w:jc w:val="center"/>
              <w:rPr>
                <w:rFonts w:ascii="Arial" w:hAnsi="Arial"/>
                <w:b/>
                <w:bCs/>
                <w:sz w:val="28"/>
                <w:szCs w:val="28"/>
                <w:rtl/>
              </w:rPr>
            </w:pPr>
            <w:r w:rsidRPr="00C46442">
              <w:rPr>
                <w:rFonts w:ascii="Arial" w:hAnsi="Arial"/>
                <w:b/>
                <w:bCs/>
                <w:sz w:val="28"/>
                <w:szCs w:val="28"/>
                <w:rtl/>
              </w:rPr>
              <w:t>נגד</w:t>
            </w:r>
          </w:p>
          <w:p w14:paraId="1A90A313" w14:textId="77777777" w:rsidR="00D67BBA" w:rsidRPr="00C46442" w:rsidRDefault="00D67BBA" w:rsidP="00C46442">
            <w:pPr>
              <w:jc w:val="both"/>
              <w:rPr>
                <w:rFonts w:ascii="Arial" w:hAnsi="Arial"/>
                <w:b/>
                <w:bCs/>
                <w:sz w:val="28"/>
                <w:szCs w:val="28"/>
              </w:rPr>
            </w:pPr>
          </w:p>
        </w:tc>
      </w:tr>
      <w:tr w:rsidR="00D67BBA" w:rsidRPr="00C46442" w14:paraId="53688661" w14:textId="77777777">
        <w:trPr>
          <w:trHeight w:val="355"/>
          <w:jc w:val="center"/>
        </w:trPr>
        <w:tc>
          <w:tcPr>
            <w:tcW w:w="923" w:type="dxa"/>
            <w:tcBorders>
              <w:top w:val="nil"/>
              <w:left w:val="nil"/>
              <w:bottom w:val="nil"/>
              <w:right w:val="nil"/>
            </w:tcBorders>
            <w:shd w:val="clear" w:color="auto" w:fill="auto"/>
          </w:tcPr>
          <w:p w14:paraId="7EC0D9CC" w14:textId="77777777" w:rsidR="00D67BBA" w:rsidRPr="00C46442" w:rsidRDefault="00D67BBA" w:rsidP="00C46442">
            <w:pPr>
              <w:rPr>
                <w:rFonts w:ascii="Arial" w:hAnsi="Arial"/>
                <w:b/>
                <w:bCs/>
                <w:sz w:val="28"/>
                <w:szCs w:val="28"/>
                <w:rtl/>
              </w:rPr>
            </w:pPr>
          </w:p>
        </w:tc>
        <w:tc>
          <w:tcPr>
            <w:tcW w:w="4126" w:type="dxa"/>
            <w:tcBorders>
              <w:top w:val="nil"/>
              <w:left w:val="nil"/>
              <w:bottom w:val="nil"/>
              <w:right w:val="nil"/>
            </w:tcBorders>
            <w:shd w:val="clear" w:color="auto" w:fill="auto"/>
          </w:tcPr>
          <w:p w14:paraId="477055B4" w14:textId="77777777" w:rsidR="00D67BBA" w:rsidRPr="00C46442" w:rsidRDefault="00D67BBA" w:rsidP="00C46442">
            <w:pPr>
              <w:rPr>
                <w:b/>
                <w:bCs/>
                <w:sz w:val="28"/>
                <w:szCs w:val="28"/>
                <w:rtl/>
              </w:rPr>
            </w:pPr>
            <w:r w:rsidRPr="00C46442">
              <w:rPr>
                <w:rFonts w:hint="cs"/>
                <w:b/>
                <w:bCs/>
                <w:sz w:val="28"/>
                <w:szCs w:val="28"/>
                <w:rtl/>
              </w:rPr>
              <w:t>אריאל גרינוולד</w:t>
            </w:r>
          </w:p>
        </w:tc>
        <w:tc>
          <w:tcPr>
            <w:tcW w:w="3771" w:type="dxa"/>
            <w:tcBorders>
              <w:top w:val="nil"/>
              <w:left w:val="nil"/>
              <w:bottom w:val="nil"/>
              <w:right w:val="nil"/>
            </w:tcBorders>
            <w:shd w:val="clear" w:color="auto" w:fill="auto"/>
          </w:tcPr>
          <w:p w14:paraId="3B94B820" w14:textId="77777777" w:rsidR="00D67BBA" w:rsidRPr="00C46442" w:rsidRDefault="00D67BBA" w:rsidP="00C46442">
            <w:pPr>
              <w:jc w:val="right"/>
              <w:rPr>
                <w:rFonts w:ascii="Arial" w:hAnsi="Arial"/>
                <w:b/>
                <w:bCs/>
                <w:sz w:val="28"/>
                <w:szCs w:val="28"/>
              </w:rPr>
            </w:pPr>
          </w:p>
        </w:tc>
      </w:tr>
      <w:tr w:rsidR="00D67BBA" w:rsidRPr="00C46442" w14:paraId="6A41BAC2" w14:textId="77777777">
        <w:trPr>
          <w:trHeight w:val="355"/>
          <w:jc w:val="center"/>
        </w:trPr>
        <w:tc>
          <w:tcPr>
            <w:tcW w:w="923" w:type="dxa"/>
            <w:tcBorders>
              <w:top w:val="nil"/>
              <w:left w:val="nil"/>
              <w:bottom w:val="nil"/>
              <w:right w:val="nil"/>
            </w:tcBorders>
            <w:shd w:val="clear" w:color="auto" w:fill="auto"/>
          </w:tcPr>
          <w:p w14:paraId="6BF82083" w14:textId="77777777" w:rsidR="00D67BBA" w:rsidRPr="00C46442" w:rsidRDefault="00D67BBA" w:rsidP="00C46442">
            <w:pPr>
              <w:jc w:val="both"/>
              <w:rPr>
                <w:rFonts w:ascii="Arial" w:hAnsi="Arial"/>
                <w:b/>
                <w:bCs/>
                <w:sz w:val="28"/>
                <w:szCs w:val="28"/>
                <w:rtl/>
              </w:rPr>
            </w:pPr>
          </w:p>
        </w:tc>
        <w:tc>
          <w:tcPr>
            <w:tcW w:w="4126" w:type="dxa"/>
            <w:tcBorders>
              <w:top w:val="nil"/>
              <w:left w:val="nil"/>
              <w:bottom w:val="nil"/>
              <w:right w:val="nil"/>
            </w:tcBorders>
            <w:shd w:val="clear" w:color="auto" w:fill="auto"/>
          </w:tcPr>
          <w:p w14:paraId="2904234C" w14:textId="77777777" w:rsidR="00D67BBA" w:rsidRPr="00C46442" w:rsidRDefault="00D67BBA" w:rsidP="00C46442">
            <w:pPr>
              <w:jc w:val="both"/>
              <w:rPr>
                <w:b/>
                <w:bCs/>
                <w:sz w:val="28"/>
                <w:szCs w:val="28"/>
                <w:rtl/>
              </w:rPr>
            </w:pPr>
            <w:r w:rsidRPr="00C46442">
              <w:rPr>
                <w:rFonts w:hint="cs"/>
                <w:b/>
                <w:bCs/>
                <w:sz w:val="28"/>
                <w:szCs w:val="28"/>
                <w:rtl/>
              </w:rPr>
              <w:t>ע"י ב"כ עו"ד מיכאל עירוני</w:t>
            </w:r>
          </w:p>
        </w:tc>
        <w:tc>
          <w:tcPr>
            <w:tcW w:w="3771" w:type="dxa"/>
            <w:tcBorders>
              <w:top w:val="nil"/>
              <w:left w:val="nil"/>
              <w:bottom w:val="nil"/>
              <w:right w:val="nil"/>
            </w:tcBorders>
            <w:shd w:val="clear" w:color="auto" w:fill="auto"/>
          </w:tcPr>
          <w:p w14:paraId="1ECAEF0E" w14:textId="77777777" w:rsidR="00D67BBA" w:rsidRPr="00C46442" w:rsidRDefault="00D67BBA" w:rsidP="00C46442">
            <w:pPr>
              <w:jc w:val="right"/>
              <w:rPr>
                <w:rFonts w:ascii="Arial" w:hAnsi="Arial"/>
                <w:b/>
                <w:bCs/>
                <w:sz w:val="28"/>
                <w:szCs w:val="28"/>
              </w:rPr>
            </w:pPr>
            <w:r w:rsidRPr="00C46442">
              <w:rPr>
                <w:rFonts w:ascii="Arial" w:hAnsi="Arial" w:hint="cs"/>
                <w:b/>
                <w:bCs/>
                <w:sz w:val="28"/>
                <w:szCs w:val="28"/>
                <w:rtl/>
              </w:rPr>
              <w:t>ה</w:t>
            </w:r>
            <w:r w:rsidRPr="00C46442">
              <w:rPr>
                <w:rFonts w:hint="cs"/>
                <w:b/>
                <w:bCs/>
                <w:sz w:val="28"/>
                <w:szCs w:val="28"/>
                <w:rtl/>
              </w:rPr>
              <w:t>נאשם</w:t>
            </w:r>
          </w:p>
        </w:tc>
      </w:tr>
    </w:tbl>
    <w:p w14:paraId="76A69A09" w14:textId="77777777" w:rsidR="00854E04" w:rsidRDefault="00854E04" w:rsidP="00D67BBA">
      <w:pPr>
        <w:rPr>
          <w:rFonts w:ascii="Arial" w:hAnsi="Arial"/>
          <w:rtl/>
        </w:rPr>
      </w:pPr>
      <w:bookmarkStart w:id="3" w:name="LawTable"/>
      <w:bookmarkEnd w:id="3"/>
    </w:p>
    <w:p w14:paraId="70704B3F" w14:textId="77777777" w:rsidR="00854E04" w:rsidRPr="00854E04" w:rsidRDefault="00854E04" w:rsidP="00854E04">
      <w:pPr>
        <w:spacing w:after="120" w:line="240" w:lineRule="exact"/>
        <w:ind w:left="283" w:hanging="283"/>
        <w:jc w:val="both"/>
        <w:rPr>
          <w:rFonts w:ascii="FrankRuehl" w:hAnsi="FrankRuehl" w:cs="FrankRuehl"/>
          <w:rtl/>
        </w:rPr>
      </w:pPr>
    </w:p>
    <w:p w14:paraId="1F039305" w14:textId="77777777" w:rsidR="00854E04" w:rsidRPr="00854E04" w:rsidRDefault="00854E04" w:rsidP="00854E04">
      <w:pPr>
        <w:spacing w:after="120" w:line="240" w:lineRule="exact"/>
        <w:ind w:left="283" w:hanging="283"/>
        <w:jc w:val="both"/>
        <w:rPr>
          <w:rFonts w:ascii="FrankRuehl" w:hAnsi="FrankRuehl" w:cs="FrankRuehl"/>
          <w:rtl/>
        </w:rPr>
      </w:pPr>
      <w:r w:rsidRPr="00854E04">
        <w:rPr>
          <w:rFonts w:ascii="FrankRuehl" w:hAnsi="FrankRuehl" w:cs="FrankRuehl"/>
          <w:rtl/>
        </w:rPr>
        <w:t xml:space="preserve">חקיקה שאוזכרה: </w:t>
      </w:r>
    </w:p>
    <w:p w14:paraId="672BE647" w14:textId="77777777" w:rsidR="00854E04" w:rsidRPr="00854E04" w:rsidRDefault="00854E04" w:rsidP="00854E04">
      <w:pPr>
        <w:spacing w:after="120" w:line="240" w:lineRule="exact"/>
        <w:ind w:left="283" w:hanging="283"/>
        <w:jc w:val="both"/>
        <w:rPr>
          <w:rFonts w:ascii="FrankRuehl" w:hAnsi="FrankRuehl" w:cs="FrankRuehl"/>
          <w:rtl/>
        </w:rPr>
      </w:pPr>
      <w:hyperlink r:id="rId7" w:history="1">
        <w:r w:rsidRPr="00854E04">
          <w:rPr>
            <w:rFonts w:ascii="FrankRuehl" w:hAnsi="FrankRuehl" w:cs="FrankRuehl"/>
            <w:color w:val="0000FF"/>
            <w:u w:val="single"/>
            <w:rtl/>
          </w:rPr>
          <w:t>חוק העונשין, תשל"ז-1977</w:t>
        </w:r>
      </w:hyperlink>
      <w:r w:rsidRPr="00854E04">
        <w:rPr>
          <w:rFonts w:ascii="FrankRuehl" w:hAnsi="FrankRuehl" w:cs="FrankRuehl"/>
          <w:rtl/>
        </w:rPr>
        <w:t xml:space="preserve">: סע'  </w:t>
      </w:r>
      <w:hyperlink r:id="rId8" w:history="1">
        <w:r w:rsidRPr="00854E04">
          <w:rPr>
            <w:rFonts w:ascii="FrankRuehl" w:hAnsi="FrankRuehl" w:cs="FrankRuehl"/>
            <w:color w:val="0000FF"/>
            <w:u w:val="single"/>
            <w:rtl/>
          </w:rPr>
          <w:t>40ב'</w:t>
        </w:r>
      </w:hyperlink>
      <w:r w:rsidRPr="00854E04">
        <w:rPr>
          <w:rFonts w:ascii="FrankRuehl" w:hAnsi="FrankRuehl" w:cs="FrankRuehl"/>
          <w:rtl/>
        </w:rPr>
        <w:t xml:space="preserve">, </w:t>
      </w:r>
      <w:hyperlink r:id="rId9" w:history="1">
        <w:r w:rsidRPr="00854E04">
          <w:rPr>
            <w:rFonts w:ascii="FrankRuehl" w:hAnsi="FrankRuehl" w:cs="FrankRuehl"/>
            <w:color w:val="0000FF"/>
            <w:u w:val="single"/>
            <w:rtl/>
          </w:rPr>
          <w:t>40 ג'</w:t>
        </w:r>
      </w:hyperlink>
      <w:r w:rsidRPr="00854E04">
        <w:rPr>
          <w:rFonts w:ascii="FrankRuehl" w:hAnsi="FrankRuehl" w:cs="FrankRuehl"/>
          <w:rtl/>
        </w:rPr>
        <w:t xml:space="preserve">, </w:t>
      </w:r>
      <w:hyperlink r:id="rId10" w:history="1">
        <w:r w:rsidRPr="00854E04">
          <w:rPr>
            <w:rFonts w:ascii="FrankRuehl" w:hAnsi="FrankRuehl" w:cs="FrankRuehl"/>
            <w:color w:val="0000FF"/>
            <w:u w:val="single"/>
            <w:rtl/>
          </w:rPr>
          <w:t>40ד'</w:t>
        </w:r>
      </w:hyperlink>
      <w:r w:rsidRPr="00854E04">
        <w:rPr>
          <w:rFonts w:ascii="FrankRuehl" w:hAnsi="FrankRuehl" w:cs="FrankRuehl"/>
          <w:rtl/>
        </w:rPr>
        <w:t xml:space="preserve">, </w:t>
      </w:r>
      <w:hyperlink r:id="rId11" w:history="1">
        <w:r w:rsidRPr="00854E04">
          <w:rPr>
            <w:rFonts w:ascii="FrankRuehl" w:hAnsi="FrankRuehl" w:cs="FrankRuehl"/>
            <w:color w:val="0000FF"/>
            <w:u w:val="single"/>
            <w:rtl/>
          </w:rPr>
          <w:t>40 ט'</w:t>
        </w:r>
      </w:hyperlink>
      <w:r w:rsidRPr="00854E04">
        <w:rPr>
          <w:rFonts w:ascii="FrankRuehl" w:hAnsi="FrankRuehl" w:cs="FrankRuehl"/>
          <w:rtl/>
        </w:rPr>
        <w:t xml:space="preserve">, </w:t>
      </w:r>
      <w:hyperlink r:id="rId12" w:history="1">
        <w:r w:rsidRPr="00854E04">
          <w:rPr>
            <w:rFonts w:ascii="FrankRuehl" w:hAnsi="FrankRuehl" w:cs="FrankRuehl"/>
            <w:color w:val="0000FF"/>
            <w:u w:val="single"/>
            <w:rtl/>
          </w:rPr>
          <w:t>379</w:t>
        </w:r>
      </w:hyperlink>
      <w:r w:rsidRPr="00854E04">
        <w:rPr>
          <w:rFonts w:ascii="FrankRuehl" w:hAnsi="FrankRuehl" w:cs="FrankRuehl"/>
          <w:rtl/>
        </w:rPr>
        <w:t xml:space="preserve">, </w:t>
      </w:r>
      <w:hyperlink r:id="rId13" w:history="1">
        <w:r w:rsidRPr="00854E04">
          <w:rPr>
            <w:rFonts w:ascii="FrankRuehl" w:hAnsi="FrankRuehl" w:cs="FrankRuehl"/>
            <w:color w:val="0000FF"/>
            <w:u w:val="single"/>
            <w:rtl/>
          </w:rPr>
          <w:t>380</w:t>
        </w:r>
      </w:hyperlink>
      <w:r w:rsidRPr="00854E04">
        <w:rPr>
          <w:rFonts w:ascii="FrankRuehl" w:hAnsi="FrankRuehl" w:cs="FrankRuehl"/>
          <w:rtl/>
        </w:rPr>
        <w:t xml:space="preserve">, </w:t>
      </w:r>
      <w:hyperlink r:id="rId14" w:history="1">
        <w:r w:rsidRPr="00854E04">
          <w:rPr>
            <w:rFonts w:ascii="FrankRuehl" w:hAnsi="FrankRuehl" w:cs="FrankRuehl"/>
            <w:color w:val="0000FF"/>
            <w:u w:val="single"/>
            <w:rtl/>
          </w:rPr>
          <w:t>40יג(ב)</w:t>
        </w:r>
      </w:hyperlink>
    </w:p>
    <w:p w14:paraId="1A2E2C3A" w14:textId="77777777" w:rsidR="00854E04" w:rsidRPr="00854E04" w:rsidRDefault="00854E04" w:rsidP="00854E04">
      <w:pPr>
        <w:spacing w:after="120" w:line="240" w:lineRule="exact"/>
        <w:ind w:left="283" w:hanging="283"/>
        <w:jc w:val="both"/>
        <w:rPr>
          <w:rFonts w:ascii="FrankRuehl" w:hAnsi="FrankRuehl" w:cs="FrankRuehl"/>
          <w:rtl/>
        </w:rPr>
      </w:pPr>
      <w:hyperlink r:id="rId15" w:history="1">
        <w:r w:rsidRPr="00854E04">
          <w:rPr>
            <w:rFonts w:ascii="FrankRuehl" w:hAnsi="FrankRuehl" w:cs="FrankRuehl"/>
            <w:color w:val="0000FF"/>
            <w:u w:val="single"/>
            <w:rtl/>
          </w:rPr>
          <w:t>פקודת הסמים המסוכנים [נוסח חדש], תשל"ג-1973</w:t>
        </w:r>
      </w:hyperlink>
      <w:r w:rsidRPr="00854E04">
        <w:rPr>
          <w:rFonts w:ascii="FrankRuehl" w:hAnsi="FrankRuehl" w:cs="FrankRuehl"/>
          <w:rtl/>
        </w:rPr>
        <w:t xml:space="preserve">: סע'  </w:t>
      </w:r>
      <w:hyperlink r:id="rId16" w:history="1">
        <w:r w:rsidRPr="00854E04">
          <w:rPr>
            <w:rFonts w:ascii="FrankRuehl" w:hAnsi="FrankRuehl" w:cs="FrankRuehl"/>
            <w:color w:val="0000FF"/>
            <w:u w:val="single"/>
            <w:rtl/>
          </w:rPr>
          <w:t>7(א)</w:t>
        </w:r>
      </w:hyperlink>
      <w:r w:rsidRPr="00854E04">
        <w:rPr>
          <w:rFonts w:ascii="FrankRuehl" w:hAnsi="FrankRuehl" w:cs="FrankRuehl"/>
          <w:rtl/>
        </w:rPr>
        <w:t xml:space="preserve">, </w:t>
      </w:r>
      <w:hyperlink r:id="rId17" w:history="1">
        <w:r w:rsidRPr="00854E04">
          <w:rPr>
            <w:rFonts w:ascii="FrankRuehl" w:hAnsi="FrankRuehl" w:cs="FrankRuehl"/>
            <w:color w:val="0000FF"/>
            <w:u w:val="single"/>
            <w:rtl/>
          </w:rPr>
          <w:t>(ג)</w:t>
        </w:r>
      </w:hyperlink>
    </w:p>
    <w:p w14:paraId="78637F43" w14:textId="77777777" w:rsidR="00854E04" w:rsidRPr="00854E04" w:rsidRDefault="00854E04" w:rsidP="00854E04">
      <w:pPr>
        <w:spacing w:after="120" w:line="240" w:lineRule="exact"/>
        <w:ind w:left="283" w:hanging="283"/>
        <w:jc w:val="both"/>
        <w:rPr>
          <w:rFonts w:ascii="FrankRuehl" w:hAnsi="FrankRuehl" w:cs="FrankRuehl"/>
          <w:rtl/>
        </w:rPr>
      </w:pPr>
    </w:p>
    <w:p w14:paraId="1C163783" w14:textId="77777777" w:rsidR="00854E04" w:rsidRPr="00854E04" w:rsidRDefault="00854E04" w:rsidP="00D67BBA">
      <w:pPr>
        <w:rPr>
          <w:rFonts w:ascii="Arial" w:hAnsi="Arial"/>
          <w:rtl/>
        </w:rPr>
      </w:pPr>
      <w:bookmarkStart w:id="4" w:name="LawTable_End"/>
      <w:bookmarkEnd w:id="4"/>
    </w:p>
    <w:p w14:paraId="1B5C4DF8" w14:textId="77777777" w:rsidR="00241582" w:rsidRPr="00241582" w:rsidRDefault="00241582" w:rsidP="00D67BBA">
      <w:pPr>
        <w:rPr>
          <w:rFonts w:ascii="Arial" w:hAnsi="Arial"/>
          <w:rtl/>
        </w:rPr>
      </w:pPr>
    </w:p>
    <w:p w14:paraId="3F27F178" w14:textId="77777777" w:rsidR="00C46442" w:rsidRPr="00C46442" w:rsidRDefault="00C46442" w:rsidP="00D67BBA">
      <w:pPr>
        <w:rPr>
          <w:rFonts w:ascii="Arial" w:hAnsi="Arial" w:hint="cs"/>
          <w:rtl/>
        </w:rPr>
      </w:pPr>
    </w:p>
    <w:p w14:paraId="7A676248" w14:textId="77777777" w:rsidR="00C46442" w:rsidRPr="00C46442" w:rsidRDefault="00C46442" w:rsidP="00D67BBA">
      <w:pPr>
        <w:rPr>
          <w:rFonts w:ascii="Arial" w:hAnsi="Arial"/>
          <w:b/>
          <w:bCs/>
          <w:rtl/>
        </w:rPr>
      </w:pPr>
    </w:p>
    <w:p w14:paraId="6B324E41" w14:textId="77777777" w:rsidR="00D67BBA" w:rsidRPr="00C46442" w:rsidRDefault="00D67BBA" w:rsidP="00D67BBA">
      <w:pPr>
        <w:rPr>
          <w:rFonts w:ascii="Arial" w:hAnsi="Arial"/>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67BBA" w:rsidRPr="00D462B8" w14:paraId="07778575" w14:textId="77777777">
        <w:trPr>
          <w:trHeight w:val="355"/>
          <w:jc w:val="center"/>
        </w:trPr>
        <w:tc>
          <w:tcPr>
            <w:tcW w:w="8820" w:type="dxa"/>
            <w:tcBorders>
              <w:top w:val="nil"/>
              <w:left w:val="nil"/>
              <w:bottom w:val="nil"/>
              <w:right w:val="nil"/>
            </w:tcBorders>
            <w:shd w:val="clear" w:color="auto" w:fill="auto"/>
          </w:tcPr>
          <w:p w14:paraId="03F0F540" w14:textId="77777777" w:rsidR="00C46442" w:rsidRPr="00C46442" w:rsidRDefault="00C46442" w:rsidP="00C46442">
            <w:pPr>
              <w:jc w:val="center"/>
              <w:rPr>
                <w:rFonts w:ascii="Arial" w:hAnsi="Arial"/>
                <w:b/>
                <w:bCs/>
                <w:sz w:val="28"/>
                <w:szCs w:val="28"/>
                <w:u w:val="single"/>
                <w:rtl/>
              </w:rPr>
            </w:pPr>
            <w:bookmarkStart w:id="5" w:name="PsakDin" w:colFirst="0" w:colLast="0"/>
            <w:bookmarkEnd w:id="0"/>
            <w:r w:rsidRPr="00C46442">
              <w:rPr>
                <w:rFonts w:ascii="Arial" w:hAnsi="Arial"/>
                <w:b/>
                <w:bCs/>
                <w:sz w:val="28"/>
                <w:szCs w:val="28"/>
                <w:u w:val="single"/>
                <w:rtl/>
              </w:rPr>
              <w:t>גזר דין</w:t>
            </w:r>
          </w:p>
          <w:p w14:paraId="4DFD3F70" w14:textId="77777777" w:rsidR="00D67BBA" w:rsidRPr="00C46442" w:rsidRDefault="00D67BBA" w:rsidP="00C46442">
            <w:pPr>
              <w:jc w:val="center"/>
              <w:rPr>
                <w:rFonts w:ascii="Arial" w:hAnsi="Arial"/>
                <w:b/>
                <w:bCs/>
                <w:sz w:val="28"/>
                <w:szCs w:val="28"/>
                <w:u w:val="single"/>
                <w:rtl/>
              </w:rPr>
            </w:pPr>
          </w:p>
        </w:tc>
      </w:tr>
      <w:bookmarkEnd w:id="5"/>
    </w:tbl>
    <w:p w14:paraId="0F477DD9" w14:textId="77777777" w:rsidR="00D67BBA" w:rsidRPr="00D462B8" w:rsidRDefault="00D67BBA" w:rsidP="00D67BBA">
      <w:pPr>
        <w:rPr>
          <w:rFonts w:ascii="Arial" w:hAnsi="Arial"/>
          <w:b/>
          <w:bCs/>
          <w:rtl/>
        </w:rPr>
      </w:pPr>
    </w:p>
    <w:p w14:paraId="44B3A4FB" w14:textId="77777777" w:rsidR="00D67BBA" w:rsidRPr="00D462B8" w:rsidRDefault="00D67BBA" w:rsidP="00D67BBA">
      <w:pPr>
        <w:spacing w:line="360" w:lineRule="auto"/>
        <w:jc w:val="both"/>
        <w:rPr>
          <w:rFonts w:ascii="Arial" w:hAnsi="Arial"/>
          <w:b/>
          <w:bCs/>
          <w:u w:val="single"/>
          <w:rtl/>
        </w:rPr>
      </w:pPr>
      <w:r w:rsidRPr="00D462B8">
        <w:rPr>
          <w:rFonts w:ascii="Arial" w:hAnsi="Arial" w:hint="cs"/>
          <w:b/>
          <w:bCs/>
          <w:u w:val="single"/>
          <w:rtl/>
        </w:rPr>
        <w:t>רקע</w:t>
      </w:r>
    </w:p>
    <w:p w14:paraId="3ACCFF09" w14:textId="77777777" w:rsidR="00D67BBA" w:rsidRDefault="00D67BBA" w:rsidP="00D67BBA">
      <w:pPr>
        <w:pStyle w:val="ListParagraph"/>
        <w:numPr>
          <w:ilvl w:val="0"/>
          <w:numId w:val="1"/>
        </w:numPr>
        <w:spacing w:line="360" w:lineRule="auto"/>
        <w:jc w:val="both"/>
      </w:pPr>
      <w:bookmarkStart w:id="6" w:name="ABSTRACT_START"/>
      <w:bookmarkEnd w:id="6"/>
      <w:r>
        <w:rPr>
          <w:rFonts w:hint="cs"/>
          <w:rtl/>
        </w:rPr>
        <w:t xml:space="preserve">הנאשם הורשע ביום 05.06.13 בעקבות הסדר טיעון בכתב אישום מתוקן בעבירות של תקיפה סתם ותקיפה הגורמת חבלה ממשית, לפי </w:t>
      </w:r>
      <w:hyperlink r:id="rId18" w:history="1">
        <w:r w:rsidR="00E144DA" w:rsidRPr="00E144DA">
          <w:rPr>
            <w:rStyle w:val="Hyperlink"/>
            <w:rFonts w:hint="eastAsia"/>
            <w:rtl/>
          </w:rPr>
          <w:t>סעיפים</w:t>
        </w:r>
        <w:r w:rsidR="00E144DA" w:rsidRPr="00E144DA">
          <w:rPr>
            <w:rStyle w:val="Hyperlink"/>
            <w:rtl/>
          </w:rPr>
          <w:t xml:space="preserve"> 379</w:t>
        </w:r>
      </w:hyperlink>
      <w:r>
        <w:rPr>
          <w:rFonts w:hint="cs"/>
          <w:rtl/>
        </w:rPr>
        <w:t xml:space="preserve"> ו-</w:t>
      </w:r>
      <w:hyperlink r:id="rId19" w:history="1">
        <w:r w:rsidR="00E144DA" w:rsidRPr="00E144DA">
          <w:rPr>
            <w:rStyle w:val="Hyperlink"/>
            <w:rtl/>
          </w:rPr>
          <w:t>380</w:t>
        </w:r>
      </w:hyperlink>
      <w:r>
        <w:rPr>
          <w:rFonts w:hint="cs"/>
          <w:rtl/>
        </w:rPr>
        <w:t xml:space="preserve"> ל</w:t>
      </w:r>
      <w:hyperlink r:id="rId20" w:history="1">
        <w:r w:rsidR="00C46442" w:rsidRPr="00C46442">
          <w:rPr>
            <w:color w:val="0000FF"/>
            <w:u w:val="single"/>
            <w:rtl/>
          </w:rPr>
          <w:t>חוק העונשין</w:t>
        </w:r>
      </w:hyperlink>
      <w:r>
        <w:rPr>
          <w:rFonts w:hint="cs"/>
          <w:rtl/>
        </w:rPr>
        <w:t xml:space="preserve">, תשל"ז-1977 (להלן: </w:t>
      </w:r>
      <w:r>
        <w:rPr>
          <w:rFonts w:hint="cs"/>
          <w:b/>
          <w:bCs/>
          <w:rtl/>
        </w:rPr>
        <w:t>"חוק העונשין"</w:t>
      </w:r>
      <w:r>
        <w:rPr>
          <w:rFonts w:hint="cs"/>
          <w:rtl/>
        </w:rPr>
        <w:t xml:space="preserve">). במסגרת הסדר הטיעון, הוסכם כי יתקבל תסקיר בעניינו של הנאשם, כאשר המאשימה תעתור למאסר ממש, אולם המאשימה הצהירה כי לאחר קבלת תסקיר, תשקול להקל בעמדתה ולעתור למאסר שירוצה עבודות שירות, בעוד שב"כ הנאשם יהיה חופשי בטיעוניו. </w:t>
      </w:r>
    </w:p>
    <w:p w14:paraId="6560CB8B" w14:textId="77777777" w:rsidR="00D67BBA" w:rsidRPr="00566772" w:rsidRDefault="00D67BBA" w:rsidP="00D67BBA">
      <w:pPr>
        <w:pStyle w:val="ListParagraph"/>
        <w:spacing w:line="360" w:lineRule="auto"/>
        <w:jc w:val="both"/>
        <w:rPr>
          <w:sz w:val="12"/>
          <w:szCs w:val="12"/>
        </w:rPr>
      </w:pPr>
      <w:bookmarkStart w:id="7" w:name="ABSTRACT_END"/>
      <w:bookmarkEnd w:id="7"/>
    </w:p>
    <w:p w14:paraId="4D6D7414" w14:textId="77777777" w:rsidR="00D67BBA" w:rsidRDefault="00D67BBA" w:rsidP="00D67BBA">
      <w:pPr>
        <w:pStyle w:val="ListParagraph"/>
        <w:numPr>
          <w:ilvl w:val="0"/>
          <w:numId w:val="1"/>
        </w:numPr>
        <w:spacing w:line="360" w:lineRule="auto"/>
        <w:jc w:val="both"/>
      </w:pPr>
      <w:r>
        <w:rPr>
          <w:rFonts w:hint="cs"/>
          <w:rtl/>
        </w:rPr>
        <w:t xml:space="preserve">מעובדות כתב האישום המתוקן עולה כי ביום 15.03.12, תקף הנאשם את חברתו באותה העת הגב' אנה דוניה נחשון (להלן: "המתלוננת") וזאת על רקע פרידתם. המתלוננת הגיעה למקום עבודתו, הזמינה כוס יין וביקשה מהנאשם לשבת לידה. הנאשם ביקש ממנה לעזוב </w:t>
      </w:r>
      <w:r>
        <w:rPr>
          <w:rFonts w:hint="cs"/>
          <w:rtl/>
        </w:rPr>
        <w:lastRenderedPageBreak/>
        <w:t xml:space="preserve">את המקום. משסירבה, ירק עליה ובעט בכיסא שפגע ברגלה. הנאשם חזר למקום עבודתו והמתלוננת נותרה במקומה, ובהמשך חזר הנאשם למקום בו ישבה המתלוננת, ביקש שוב שתעזוב את המקום, הכה באגרופו בפניה וכן הכה באגרופו שתי מכות נוספות בגופה ושפך עליה כוס יין. </w:t>
      </w:r>
    </w:p>
    <w:p w14:paraId="7B0B0245" w14:textId="77777777" w:rsidR="00D67BBA" w:rsidRPr="00F23B8B" w:rsidRDefault="00D67BBA" w:rsidP="00D67BBA">
      <w:pPr>
        <w:pStyle w:val="ListParagraph"/>
        <w:spacing w:line="360" w:lineRule="auto"/>
        <w:jc w:val="both"/>
        <w:rPr>
          <w:sz w:val="12"/>
          <w:szCs w:val="12"/>
        </w:rPr>
      </w:pPr>
    </w:p>
    <w:p w14:paraId="70631D8E" w14:textId="77777777" w:rsidR="00D67BBA" w:rsidRDefault="00D67BBA" w:rsidP="00D67BBA">
      <w:pPr>
        <w:pStyle w:val="ListParagraph"/>
        <w:numPr>
          <w:ilvl w:val="0"/>
          <w:numId w:val="1"/>
        </w:numPr>
        <w:spacing w:line="360" w:lineRule="auto"/>
        <w:jc w:val="both"/>
      </w:pPr>
      <w:r>
        <w:rPr>
          <w:rFonts w:hint="cs"/>
          <w:rtl/>
        </w:rPr>
        <w:t xml:space="preserve">עוד עולה מעובדות כתב האישום המתוקן, כי כשבעה חודשים עובר לאירוע ביום 15.03.12, בבית הוריו של הנאשם, תקף הנאשם את המתלוננת וגרם לה חבלה, בכך שנגח בפניה ודם רב ניגר מאפה. </w:t>
      </w:r>
    </w:p>
    <w:p w14:paraId="2571C09B" w14:textId="77777777" w:rsidR="00D67BBA" w:rsidRPr="00F02E4E" w:rsidRDefault="00D67BBA" w:rsidP="00D67BBA">
      <w:pPr>
        <w:pStyle w:val="ListParagraph"/>
        <w:spacing w:line="360" w:lineRule="auto"/>
        <w:jc w:val="both"/>
        <w:rPr>
          <w:sz w:val="12"/>
          <w:szCs w:val="12"/>
        </w:rPr>
      </w:pPr>
    </w:p>
    <w:p w14:paraId="17F6C311" w14:textId="77777777" w:rsidR="00D67BBA" w:rsidRDefault="00D67BBA" w:rsidP="00D67BBA">
      <w:pPr>
        <w:pStyle w:val="ListParagraph"/>
        <w:numPr>
          <w:ilvl w:val="0"/>
          <w:numId w:val="1"/>
        </w:numPr>
        <w:spacing w:line="360" w:lineRule="auto"/>
        <w:jc w:val="both"/>
      </w:pPr>
      <w:r>
        <w:rPr>
          <w:rFonts w:hint="cs"/>
          <w:rtl/>
        </w:rPr>
        <w:t xml:space="preserve">בישיבת יום 03.12.14, ביקש הנאשם לצרף את </w:t>
      </w:r>
      <w:hyperlink r:id="rId21" w:history="1">
        <w:r w:rsidR="00C46442" w:rsidRPr="00C46442">
          <w:rPr>
            <w:color w:val="0000FF"/>
            <w:u w:val="single"/>
            <w:rtl/>
          </w:rPr>
          <w:t>ת"פ 50613-12-12</w:t>
        </w:r>
      </w:hyperlink>
      <w:r>
        <w:rPr>
          <w:rFonts w:hint="cs"/>
          <w:rtl/>
        </w:rPr>
        <w:t xml:space="preserve"> ואת </w:t>
      </w:r>
      <w:hyperlink r:id="rId22" w:history="1">
        <w:r w:rsidR="00C46442" w:rsidRPr="00C46442">
          <w:rPr>
            <w:color w:val="0000FF"/>
            <w:u w:val="single"/>
            <w:rtl/>
          </w:rPr>
          <w:t>ת"פ 48300-10-12</w:t>
        </w:r>
      </w:hyperlink>
      <w:r>
        <w:rPr>
          <w:rFonts w:hint="cs"/>
          <w:rtl/>
        </w:rPr>
        <w:t xml:space="preserve"> והורשע בשתי עבירות של החזקת סמים לצריכה עצמית, עבירה של הספקת סמים ועבירה של החזקת כלים לצריכה עצמית, עבירות לפי </w:t>
      </w:r>
      <w:hyperlink r:id="rId23" w:history="1">
        <w:r w:rsidR="00E144DA" w:rsidRPr="00E144DA">
          <w:rPr>
            <w:rStyle w:val="Hyperlink"/>
            <w:rFonts w:hint="eastAsia"/>
            <w:rtl/>
          </w:rPr>
          <w:t>סעיפים</w:t>
        </w:r>
        <w:r w:rsidR="00E144DA" w:rsidRPr="00E144DA">
          <w:rPr>
            <w:rStyle w:val="Hyperlink"/>
            <w:rtl/>
          </w:rPr>
          <w:t xml:space="preserve"> 7(א)</w:t>
        </w:r>
      </w:hyperlink>
      <w:r>
        <w:rPr>
          <w:rFonts w:hint="cs"/>
          <w:rtl/>
        </w:rPr>
        <w:t xml:space="preserve"> בצירוף </w:t>
      </w:r>
      <w:hyperlink r:id="rId24" w:history="1">
        <w:r w:rsidR="00E144DA" w:rsidRPr="00E144DA">
          <w:rPr>
            <w:rStyle w:val="Hyperlink"/>
            <w:rtl/>
          </w:rPr>
          <w:t>(ג),</w:t>
        </w:r>
      </w:hyperlink>
      <w:r>
        <w:rPr>
          <w:rFonts w:hint="cs"/>
          <w:rtl/>
        </w:rPr>
        <w:t xml:space="preserve"> 13 בצירוף 19א ו-10 סיפא ל</w:t>
      </w:r>
      <w:hyperlink r:id="rId25" w:history="1">
        <w:r w:rsidR="00C46442" w:rsidRPr="00C46442">
          <w:rPr>
            <w:color w:val="0000FF"/>
            <w:u w:val="single"/>
            <w:rtl/>
          </w:rPr>
          <w:t>פקודת הסמים המסוכנים</w:t>
        </w:r>
      </w:hyperlink>
      <w:r>
        <w:rPr>
          <w:rFonts w:hint="cs"/>
          <w:rtl/>
        </w:rPr>
        <w:t xml:space="preserve">, התשל"ג 1973. </w:t>
      </w:r>
    </w:p>
    <w:p w14:paraId="70A624F6" w14:textId="77777777" w:rsidR="00D67BBA" w:rsidRPr="00566772" w:rsidRDefault="00D67BBA" w:rsidP="00D67BBA">
      <w:pPr>
        <w:pStyle w:val="ListParagraph"/>
        <w:spacing w:line="360" w:lineRule="auto"/>
        <w:jc w:val="both"/>
        <w:rPr>
          <w:sz w:val="12"/>
          <w:szCs w:val="12"/>
        </w:rPr>
      </w:pPr>
    </w:p>
    <w:p w14:paraId="30E4DDA4" w14:textId="77777777" w:rsidR="00D67BBA" w:rsidRDefault="00D67BBA" w:rsidP="00D67BBA">
      <w:pPr>
        <w:pStyle w:val="ListParagraph"/>
        <w:numPr>
          <w:ilvl w:val="0"/>
          <w:numId w:val="1"/>
        </w:numPr>
        <w:spacing w:line="360" w:lineRule="auto"/>
        <w:jc w:val="both"/>
      </w:pPr>
      <w:r>
        <w:rPr>
          <w:rFonts w:hint="cs"/>
          <w:rtl/>
        </w:rPr>
        <w:t>מעובדות כתב האישום ב</w:t>
      </w:r>
      <w:hyperlink r:id="rId26" w:history="1">
        <w:r w:rsidR="00C46442" w:rsidRPr="00C46442">
          <w:rPr>
            <w:color w:val="0000FF"/>
            <w:u w:val="single"/>
            <w:rtl/>
          </w:rPr>
          <w:t>ת"פ 50613-12-12</w:t>
        </w:r>
      </w:hyperlink>
      <w:r>
        <w:rPr>
          <w:rFonts w:hint="cs"/>
          <w:rtl/>
        </w:rPr>
        <w:t xml:space="preserve"> עולה כי ביום 17.04.12, החזיק הנאשם בביתו 1.54 גרם חשיש. עוד עולה מעובדות כתב האישום כי הנאשם היה משתמש בחשיש באופן קבוע וקנה אחת לשבועיים סם מסוחר סמים בבאר שבע בתמורה ל-200 ₪, ובין החודשים דצמבר 2011 ועד ינואר 2012, השתמש ביחד עם אחר בסמים.</w:t>
      </w:r>
    </w:p>
    <w:p w14:paraId="5717A22F" w14:textId="77777777" w:rsidR="00D67BBA" w:rsidRPr="00566772" w:rsidRDefault="00D67BBA" w:rsidP="00D67BBA">
      <w:pPr>
        <w:pStyle w:val="ListParagraph"/>
        <w:spacing w:line="360" w:lineRule="auto"/>
        <w:jc w:val="both"/>
        <w:rPr>
          <w:sz w:val="12"/>
          <w:szCs w:val="12"/>
        </w:rPr>
      </w:pPr>
    </w:p>
    <w:p w14:paraId="40B5DB76" w14:textId="77777777" w:rsidR="00D67BBA" w:rsidRDefault="00D67BBA" w:rsidP="00D67BBA">
      <w:pPr>
        <w:pStyle w:val="ListParagraph"/>
        <w:numPr>
          <w:ilvl w:val="0"/>
          <w:numId w:val="1"/>
        </w:numPr>
        <w:spacing w:line="360" w:lineRule="auto"/>
        <w:jc w:val="both"/>
      </w:pPr>
      <w:r>
        <w:rPr>
          <w:rFonts w:hint="cs"/>
          <w:rtl/>
        </w:rPr>
        <w:t>מעובדות כתב האישום ב</w:t>
      </w:r>
      <w:hyperlink r:id="rId27" w:history="1">
        <w:r w:rsidR="00C46442" w:rsidRPr="00C46442">
          <w:rPr>
            <w:color w:val="0000FF"/>
            <w:u w:val="single"/>
            <w:rtl/>
          </w:rPr>
          <w:t>ת"פ 48300-10-12</w:t>
        </w:r>
      </w:hyperlink>
      <w:r>
        <w:rPr>
          <w:rFonts w:hint="cs"/>
          <w:rtl/>
        </w:rPr>
        <w:t xml:space="preserve"> עולה כי ביום 07.05.11 סיפק הנאשם לאחר סם מסוכן מסוג חשיש, וביום 08.05.11 החזיק הנאשם בביתו סם מסוכן מסוג חשיש במשקל 5.112 גרם נטו, ובשני כלים לעישון סמים.</w:t>
      </w:r>
    </w:p>
    <w:p w14:paraId="1BB11769" w14:textId="77777777" w:rsidR="00D67BBA" w:rsidRDefault="00D67BBA" w:rsidP="00D67BBA">
      <w:pPr>
        <w:spacing w:line="360" w:lineRule="auto"/>
        <w:jc w:val="both"/>
        <w:rPr>
          <w:rtl/>
        </w:rPr>
      </w:pPr>
    </w:p>
    <w:p w14:paraId="73DBCCF1" w14:textId="77777777" w:rsidR="00D67BBA" w:rsidRPr="007908BA" w:rsidRDefault="00D67BBA" w:rsidP="00D67BBA">
      <w:pPr>
        <w:spacing w:line="360" w:lineRule="auto"/>
        <w:jc w:val="both"/>
        <w:rPr>
          <w:b/>
          <w:bCs/>
          <w:u w:val="single"/>
        </w:rPr>
      </w:pPr>
      <w:r w:rsidRPr="007908BA">
        <w:rPr>
          <w:rFonts w:hint="cs"/>
          <w:b/>
          <w:bCs/>
          <w:u w:val="single"/>
          <w:rtl/>
        </w:rPr>
        <w:t>תסקיר שירות המבחן</w:t>
      </w:r>
    </w:p>
    <w:p w14:paraId="5252236C" w14:textId="77777777" w:rsidR="00D67BBA" w:rsidRDefault="00D67BBA" w:rsidP="00D67BBA">
      <w:pPr>
        <w:pStyle w:val="ListParagraph"/>
        <w:numPr>
          <w:ilvl w:val="0"/>
          <w:numId w:val="1"/>
        </w:numPr>
        <w:spacing w:line="360" w:lineRule="auto"/>
        <w:jc w:val="both"/>
      </w:pPr>
      <w:r>
        <w:rPr>
          <w:rFonts w:hint="cs"/>
          <w:rtl/>
        </w:rPr>
        <w:t xml:space="preserve">מתסקיר שירות המבחן מיום 19.03.14 עולה כי הנאשם בן 28, עובד באופן חלקי ומתגורר בדירה שכורה, סיים 12 שנות לימוד והשתלב לאורך השנים במסגרות חינוך דתיות על אף שלא רואה עצמו כדתי מתוך רצון לרצות את הוריו. בהמשך, הוא סיים את לימודיו, השתלב במכינה קדם-צבאית דתית ובהמשך התגייס לצה"ל, שירת שירות חלקי ושוחרר על רקע סיבות בריאותיות. הוא עמד בקשר עם קב"ן ובסופו של דבר שוחרר לאחר שישה חודשי שירות. עם שחרורו, עבד במכירות בחו"ל, למד בישול והשתלב בעבודה בתחום זה, עבד בארבע מסעדות למשך תקופות קצרות תוך קושי להתמיד. </w:t>
      </w:r>
    </w:p>
    <w:p w14:paraId="3425D966" w14:textId="77777777" w:rsidR="00D67BBA" w:rsidRPr="00650B5B" w:rsidRDefault="00D67BBA" w:rsidP="00D67BBA">
      <w:pPr>
        <w:pStyle w:val="ListParagraph"/>
        <w:spacing w:line="360" w:lineRule="auto"/>
        <w:jc w:val="both"/>
        <w:rPr>
          <w:sz w:val="12"/>
          <w:szCs w:val="12"/>
        </w:rPr>
      </w:pPr>
    </w:p>
    <w:p w14:paraId="2B11FEDD" w14:textId="77777777" w:rsidR="00D67BBA" w:rsidRDefault="00D67BBA" w:rsidP="00D67BBA">
      <w:pPr>
        <w:pStyle w:val="ListParagraph"/>
        <w:numPr>
          <w:ilvl w:val="0"/>
          <w:numId w:val="1"/>
        </w:numPr>
        <w:spacing w:line="360" w:lineRule="auto"/>
        <w:jc w:val="both"/>
      </w:pPr>
      <w:r>
        <w:rPr>
          <w:rFonts w:hint="cs"/>
          <w:rtl/>
        </w:rPr>
        <w:t xml:space="preserve">בגיל 23, עבר משבר נפשי בעקבות שימוש בסמים ואושפז בבית החולים איתנים למשך חודש וטופל תרופתית עד לאיזון במצבו. בהמשך, עבד בעבודות בתחום ההסעדה, ובשנתיים האחרונות עבד באופן חלקי בעסק קייטרינג משפחתי. נסיבות חייו של הנאשם מפורטות בהרחבה בתסקיר, הוא עלה עם הוריו לארץ מארצות הברית כאשר היה בן עשר, בעקבות </w:t>
      </w:r>
      <w:r>
        <w:rPr>
          <w:rFonts w:hint="cs"/>
          <w:rtl/>
        </w:rPr>
        <w:lastRenderedPageBreak/>
        <w:t xml:space="preserve">תהליך שעברו הוריו אשר חזרו בתשובה. אחיו סבלו מבעיות שונות המפורטות בתסקיר ובעניין זה לא ארחיב בשל צנעת הפרט. </w:t>
      </w:r>
    </w:p>
    <w:p w14:paraId="6C6B31D5" w14:textId="77777777" w:rsidR="00D67BBA" w:rsidRPr="000925D4" w:rsidRDefault="00D67BBA" w:rsidP="00D67BBA">
      <w:pPr>
        <w:pStyle w:val="ListParagraph"/>
        <w:spacing w:line="360" w:lineRule="auto"/>
        <w:jc w:val="both"/>
        <w:rPr>
          <w:sz w:val="12"/>
          <w:szCs w:val="12"/>
        </w:rPr>
      </w:pPr>
    </w:p>
    <w:p w14:paraId="6763B881" w14:textId="77777777" w:rsidR="00D67BBA" w:rsidRDefault="00D67BBA" w:rsidP="00D67BBA">
      <w:pPr>
        <w:pStyle w:val="ListParagraph"/>
        <w:numPr>
          <w:ilvl w:val="0"/>
          <w:numId w:val="1"/>
        </w:numPr>
        <w:spacing w:line="360" w:lineRule="auto"/>
        <w:jc w:val="both"/>
      </w:pPr>
      <w:r>
        <w:rPr>
          <w:rFonts w:hint="cs"/>
          <w:rtl/>
        </w:rPr>
        <w:t>אשר לביצוע העבירות, הנאשם לקח אחריות למעשיו, ומסר כי ברקע לביצוען מערכת יחסית תובענית ועמוסת לחצים עם חברתו באותה העת. הנאשם מסר לקצינת המבחן כי פעל מתוך חוסר אונים כדי לגרום למתלוננת לעזוב את המקום ובאשר לאישום השני, פעל מתוך תחושת לחץ במהלך ויכוח, תגובה שיצאה משליטה. הנאשם הביע צער על מעשיו ומסר כי כיום קיים קשר ידידותי ותקין בינו לבין המתלוננת.</w:t>
      </w:r>
    </w:p>
    <w:p w14:paraId="77AA1E14" w14:textId="77777777" w:rsidR="00D67BBA" w:rsidRPr="008C33DA" w:rsidRDefault="00D67BBA" w:rsidP="00D67BBA">
      <w:pPr>
        <w:pStyle w:val="ListParagraph"/>
        <w:spacing w:line="360" w:lineRule="auto"/>
        <w:jc w:val="both"/>
        <w:rPr>
          <w:sz w:val="12"/>
          <w:szCs w:val="12"/>
        </w:rPr>
      </w:pPr>
    </w:p>
    <w:p w14:paraId="5450D0B6" w14:textId="77777777" w:rsidR="00D67BBA" w:rsidRDefault="00D67BBA" w:rsidP="00D67BBA">
      <w:pPr>
        <w:pStyle w:val="ListParagraph"/>
        <w:numPr>
          <w:ilvl w:val="0"/>
          <w:numId w:val="1"/>
        </w:numPr>
        <w:spacing w:line="360" w:lineRule="auto"/>
        <w:jc w:val="both"/>
      </w:pPr>
      <w:r>
        <w:rPr>
          <w:rFonts w:hint="cs"/>
          <w:rtl/>
        </w:rPr>
        <w:t xml:space="preserve">עוד עולה מהתסקיר כי הנאשם החל לשתות אלכוהול מגיל 16, וכאשר הפסיק את השימוש בו בגיל 18, החל להשתמש בסמים מסוג "גראס" באופן מזדמן ובהמשך על בסיס יומיומי. בעקבות זאת, סבל ממצב נפשי קשה, אושפז וטופל תרופתית. לאחר סיום הטיפול התרופתי הוא חש כעסים וקושי בוויסות רגשי ועל כן המשיך את השימוש בסמים. חצי שנה טרם הגשת התסקיר הפסיק להשתמש בסמים ומסר לקצינת המבחן כי פיתח שיטות שונות להרגעה עצמית בדרכים אלטרנטיביות. שירות המבחן ביקש חודשיים נוספים להשלמת האבחון ולגיבוש המלצות מתאימות. </w:t>
      </w:r>
    </w:p>
    <w:p w14:paraId="3B63C23D" w14:textId="77777777" w:rsidR="00D67BBA" w:rsidRPr="00891AEA" w:rsidRDefault="00D67BBA" w:rsidP="00D67BBA">
      <w:pPr>
        <w:pStyle w:val="ListParagraph"/>
        <w:spacing w:line="360" w:lineRule="auto"/>
        <w:jc w:val="both"/>
        <w:rPr>
          <w:sz w:val="12"/>
          <w:szCs w:val="12"/>
        </w:rPr>
      </w:pPr>
    </w:p>
    <w:p w14:paraId="7D1F7C1E" w14:textId="77777777" w:rsidR="00D67BBA" w:rsidRDefault="00D67BBA" w:rsidP="00D67BBA">
      <w:pPr>
        <w:pStyle w:val="ListParagraph"/>
        <w:numPr>
          <w:ilvl w:val="0"/>
          <w:numId w:val="1"/>
        </w:numPr>
        <w:spacing w:line="360" w:lineRule="auto"/>
        <w:jc w:val="both"/>
      </w:pPr>
      <w:r>
        <w:rPr>
          <w:rFonts w:hint="cs"/>
          <w:rtl/>
        </w:rPr>
        <w:t xml:space="preserve">בתסקיר מיום 01.07.14, שוחחה קצינת המבחן עם פסיכיאטרית אשר עמה עמד הנאשם בקשר בעת ביצוע העבירות. מדבריה עלה כי הנאשם פנה לטיפול מיוזמתו, על מנת למצוא פתרונות חיוביים ולא אלימים בעקבות מצוקה שחש בקשר הזוגי. הפסיכיאטרית התרשמה כי הנאשם סובל מקושי בוויסות נפשי, והדגישה כי ההתנהגות האלימה במסגרת הקשר הזוגי באה בעקבות גירוי חזק מצד חברתו לשעבר. </w:t>
      </w:r>
    </w:p>
    <w:p w14:paraId="3BE9828F" w14:textId="77777777" w:rsidR="00D67BBA" w:rsidRPr="0007232E" w:rsidRDefault="00D67BBA" w:rsidP="00D67BBA">
      <w:pPr>
        <w:pStyle w:val="ListParagraph"/>
        <w:spacing w:line="360" w:lineRule="auto"/>
        <w:jc w:val="both"/>
        <w:rPr>
          <w:sz w:val="12"/>
          <w:szCs w:val="12"/>
        </w:rPr>
      </w:pPr>
    </w:p>
    <w:p w14:paraId="084284F0" w14:textId="77777777" w:rsidR="00D67BBA" w:rsidRDefault="00D67BBA" w:rsidP="00D67BBA">
      <w:pPr>
        <w:pStyle w:val="ListParagraph"/>
        <w:numPr>
          <w:ilvl w:val="0"/>
          <w:numId w:val="1"/>
        </w:numPr>
        <w:spacing w:line="360" w:lineRule="auto"/>
        <w:jc w:val="both"/>
      </w:pPr>
      <w:r>
        <w:rPr>
          <w:rFonts w:hint="cs"/>
          <w:rtl/>
        </w:rPr>
        <w:t xml:space="preserve">קצינת המבחן שוחחה עם המתלוננת, אשר תיארה אלימות פיזית ונפשית כלפיה, כאשר היא חוותה קשיים נפשיים אשר יצרו צורך מוגבר בתמיכה מצידה והיא הייתה תלותית ביחס לנאשם. עוד מסרה, כי הנאשם לא לקח אחריות להתנהגותו האלימה ונטה להאשימה בכך שגרמה להתנהגות זו. עוד הוסיפה כי הנאשם יצר עמה קשר ושלח לה מסרון בעל אופי מטריד. </w:t>
      </w:r>
    </w:p>
    <w:p w14:paraId="7AF2AE9F" w14:textId="77777777" w:rsidR="00D67BBA" w:rsidRPr="008C33DA" w:rsidRDefault="00D67BBA" w:rsidP="00D67BBA">
      <w:pPr>
        <w:pStyle w:val="ListParagraph"/>
        <w:spacing w:line="360" w:lineRule="auto"/>
        <w:jc w:val="both"/>
        <w:rPr>
          <w:sz w:val="12"/>
          <w:szCs w:val="12"/>
        </w:rPr>
      </w:pPr>
    </w:p>
    <w:p w14:paraId="4B21F5E2" w14:textId="77777777" w:rsidR="00D67BBA" w:rsidRDefault="00D67BBA" w:rsidP="00D67BBA">
      <w:pPr>
        <w:pStyle w:val="ListParagraph"/>
        <w:numPr>
          <w:ilvl w:val="0"/>
          <w:numId w:val="1"/>
        </w:numPr>
        <w:spacing w:line="360" w:lineRule="auto"/>
        <w:jc w:val="both"/>
      </w:pPr>
      <w:r>
        <w:rPr>
          <w:rFonts w:hint="cs"/>
          <w:rtl/>
        </w:rPr>
        <w:t xml:space="preserve">קצינת המבחן מסרה כי בדיקות השתן שמסר הנאשם נמצאו נקיות משרידי סם. יחד עם זאת, מסרה קצינת המבחן כי הנאשם לא הגיע לכל הבדיקות שהוזמן אליהן ואף לא לממונה על עבודות השירות, וזאת מאחר שהנאשם חש מתח עז בשל חשש שיוטל עליו עונש מאסר בפועל, שכתוצאה ממנו הוא הגיב בכעס ובהתנתקות. </w:t>
      </w:r>
    </w:p>
    <w:p w14:paraId="70E2BD22" w14:textId="77777777" w:rsidR="00D67BBA" w:rsidRPr="00C21ABB" w:rsidRDefault="00D67BBA" w:rsidP="00D67BBA">
      <w:pPr>
        <w:pStyle w:val="ListParagraph"/>
        <w:spacing w:line="360" w:lineRule="auto"/>
        <w:jc w:val="both"/>
        <w:rPr>
          <w:sz w:val="12"/>
          <w:szCs w:val="12"/>
        </w:rPr>
      </w:pPr>
    </w:p>
    <w:p w14:paraId="457EBFFB" w14:textId="77777777" w:rsidR="00D67BBA" w:rsidRDefault="00D67BBA" w:rsidP="00D67BBA">
      <w:pPr>
        <w:pStyle w:val="ListParagraph"/>
        <w:numPr>
          <w:ilvl w:val="0"/>
          <w:numId w:val="1"/>
        </w:numPr>
        <w:spacing w:line="360" w:lineRule="auto"/>
        <w:jc w:val="both"/>
      </w:pPr>
      <w:r>
        <w:rPr>
          <w:rFonts w:hint="cs"/>
          <w:rtl/>
        </w:rPr>
        <w:t>אשר לסיכון לעבריינות והסיכוי לשיקום, התרשמה קצינת המבחן כי הנאשם מאופיין בחוסר בשלות, קשיים רגשיים וקושי בוויסות רגשי הגורמים לגילויי התנהגות אימפולסיבית, הוא מתקשה להיעזר בדרך של טיפול ובתמיכה משפחתית. מנגד, הנאשם עושה מאמצים לתפקוד תקין, הוא לקח אחריות למעשיו, גילה בושה ומצוקה ופנה מיוזמתו לקבלת עזרה. נוכח אלה, סברה קצינת המבחן כי ישנה חשיבות לשילוב הנאשם בהליך של טיפול, אולם הנאשם הביע התנגדות לכך. לצד זאת, הביע נכונות לעמוד בפיקוח של מסירת בדיקות שתן. לפיכך, המליצה קצינת המבחן על הטלת עונש מאסר קצר שירוצה בדרך של עבודות שירות.</w:t>
      </w:r>
    </w:p>
    <w:p w14:paraId="2A97D920" w14:textId="77777777" w:rsidR="00D67BBA" w:rsidRPr="0006188D" w:rsidRDefault="00D67BBA" w:rsidP="00D67BBA">
      <w:pPr>
        <w:pStyle w:val="ListParagraph"/>
        <w:spacing w:line="360" w:lineRule="auto"/>
        <w:jc w:val="both"/>
        <w:rPr>
          <w:sz w:val="12"/>
          <w:szCs w:val="12"/>
        </w:rPr>
      </w:pPr>
    </w:p>
    <w:p w14:paraId="1E716B68" w14:textId="77777777" w:rsidR="00D67BBA" w:rsidRDefault="00D67BBA" w:rsidP="00D67BBA">
      <w:pPr>
        <w:pStyle w:val="ListParagraph"/>
        <w:numPr>
          <w:ilvl w:val="0"/>
          <w:numId w:val="1"/>
        </w:numPr>
        <w:spacing w:line="360" w:lineRule="auto"/>
        <w:jc w:val="both"/>
      </w:pPr>
      <w:r>
        <w:rPr>
          <w:rFonts w:hint="cs"/>
          <w:rtl/>
        </w:rPr>
        <w:t xml:space="preserve">ביום 02.12.14 התקבלה חוות דעת הממונה על עבודות השירות, לפיה הנאשם מתאים לבצע עבודות שירות. </w:t>
      </w:r>
    </w:p>
    <w:p w14:paraId="003232E7" w14:textId="77777777" w:rsidR="00D67BBA" w:rsidRDefault="00D67BBA" w:rsidP="00D67BBA">
      <w:pPr>
        <w:pStyle w:val="ListParagraph"/>
        <w:numPr>
          <w:ilvl w:val="0"/>
          <w:numId w:val="1"/>
        </w:numPr>
        <w:spacing w:line="360" w:lineRule="auto"/>
        <w:jc w:val="both"/>
      </w:pPr>
      <w:r>
        <w:rPr>
          <w:rFonts w:hint="cs"/>
          <w:rtl/>
        </w:rPr>
        <w:t>ביום 18.10.15, הוגש תסקיר משלים בעניינו של הנאשם, וזאת לאחר שהנאשם טייל והתגורר בחו"ל למשך מספר חודשים וחזר לארץ. מהתסקיר עולה, כי הנאשם עובד בעבודות קייטרינג ומתגורר בדירה שכורה בירושלים, הוא עובד במקום עבודה מסודר במשך שלוש שנים ומעסיקו ציין כי מדובר בעובד אחראי וחרוץ המתפקד באופן טוב גם במצב לחץ. המעסיק אף הרחיב את תחום אחריותו.</w:t>
      </w:r>
    </w:p>
    <w:p w14:paraId="20D76B49" w14:textId="77777777" w:rsidR="00D67BBA" w:rsidRPr="00CA7AEA" w:rsidRDefault="00D67BBA" w:rsidP="00D67BBA">
      <w:pPr>
        <w:pStyle w:val="ListParagraph"/>
        <w:spacing w:line="360" w:lineRule="auto"/>
        <w:jc w:val="both"/>
        <w:rPr>
          <w:sz w:val="12"/>
          <w:szCs w:val="12"/>
        </w:rPr>
      </w:pPr>
    </w:p>
    <w:p w14:paraId="033B9F2C" w14:textId="77777777" w:rsidR="00D67BBA" w:rsidRDefault="00D67BBA" w:rsidP="00D67BBA">
      <w:pPr>
        <w:pStyle w:val="ListParagraph"/>
        <w:numPr>
          <w:ilvl w:val="0"/>
          <w:numId w:val="1"/>
        </w:numPr>
        <w:spacing w:line="360" w:lineRule="auto"/>
        <w:jc w:val="both"/>
      </w:pPr>
      <w:r>
        <w:rPr>
          <w:rFonts w:hint="cs"/>
          <w:rtl/>
        </w:rPr>
        <w:t xml:space="preserve">אשר לשימוש בסמים, הנאשם מסר כי הפסיק להשתמש בסמים והוא משתמש יותר באלכוהול במצבים בהם חש חרדה או מתח, או בקשיים חברתיים. הנאשם לא התייצב לבדיקות שתן מאחר ששהה בחו"ל, וביקש לתאם מועדים אחרים. הנאשם שב והביע התנגדות לעבור הליך טיפולי. קצינת המבחן שבה ושוחחה עם המתלוננת שמסרה כי נותק קשר בינה לבין הנאשם מזה כשנה. קצינת המבחן שבה והמליצה על הטלת מאסר שירוצה בעבודות שירות ומאסר על תנאי. </w:t>
      </w:r>
    </w:p>
    <w:p w14:paraId="21562012" w14:textId="77777777" w:rsidR="00D67BBA" w:rsidRPr="009064B2" w:rsidRDefault="00D67BBA" w:rsidP="00D67BBA">
      <w:pPr>
        <w:pStyle w:val="ListParagraph"/>
        <w:spacing w:line="360" w:lineRule="auto"/>
        <w:jc w:val="both"/>
        <w:rPr>
          <w:sz w:val="12"/>
          <w:szCs w:val="12"/>
        </w:rPr>
      </w:pPr>
    </w:p>
    <w:p w14:paraId="00191827" w14:textId="77777777" w:rsidR="00D67BBA" w:rsidRDefault="00D67BBA" w:rsidP="00D67BBA">
      <w:pPr>
        <w:pStyle w:val="ListParagraph"/>
        <w:numPr>
          <w:ilvl w:val="0"/>
          <w:numId w:val="1"/>
        </w:numPr>
        <w:spacing w:line="360" w:lineRule="auto"/>
        <w:jc w:val="both"/>
      </w:pPr>
      <w:r>
        <w:rPr>
          <w:rFonts w:hint="cs"/>
          <w:rtl/>
        </w:rPr>
        <w:t xml:space="preserve">בישיבת יום 19.10.15, מסרו הצדדים כי קצינת המבחן לא התייחסה לכך שתלוי ועומד כנגד הנאשם מאסר מותנה ולכן הדיון נדחה לקבלת תסקיר משלים. בתסקיר מיום 03.12.15, מסרה קצינת המבחן כי הנאשם מסר מספר בדיקות שתן שנמצאו נקיות משרידי סם. הנאשם הופנה למקום השמה לצורך ביצוע של"צ ונמצא מתאים, וקצינת המבחן המליצה על הקלה בעונש וסברה כי יש להטיל על הנאשם צו של"צ בהיקף של 230 שעות וכן המליצה על הארכת עונש המאסר המותנה. </w:t>
      </w:r>
    </w:p>
    <w:p w14:paraId="5DC050D4" w14:textId="77777777" w:rsidR="00D67BBA" w:rsidRPr="00A16725" w:rsidRDefault="00D67BBA" w:rsidP="00D67BBA">
      <w:pPr>
        <w:pStyle w:val="ListParagraph"/>
        <w:spacing w:line="360" w:lineRule="auto"/>
        <w:jc w:val="both"/>
        <w:rPr>
          <w:sz w:val="12"/>
          <w:szCs w:val="12"/>
        </w:rPr>
      </w:pPr>
    </w:p>
    <w:p w14:paraId="35E9CBDB" w14:textId="77777777" w:rsidR="00D67BBA" w:rsidRDefault="00D67BBA" w:rsidP="00D67BBA">
      <w:pPr>
        <w:pStyle w:val="ListParagraph"/>
        <w:numPr>
          <w:ilvl w:val="0"/>
          <w:numId w:val="1"/>
        </w:numPr>
        <w:spacing w:line="360" w:lineRule="auto"/>
        <w:jc w:val="both"/>
      </w:pPr>
      <w:r>
        <w:rPr>
          <w:rFonts w:hint="cs"/>
          <w:rtl/>
        </w:rPr>
        <w:t>בישיבת יום 03.12.15, נשמעו טיעוני המאשימה לעונש. לאחר שהוסבר לנאשם כי ניתן לחרוג מהעונש ההולם מטעמי שיקום, וזאת לאחר שיעבור טיפול, ביקש ב"כ הנאשם כי קצינת המבחן תבדוק את השתלבותו של הנאשם בהליך של טיפול.</w:t>
      </w:r>
    </w:p>
    <w:p w14:paraId="653E54D1" w14:textId="77777777" w:rsidR="00D67BBA" w:rsidRPr="003F48A2" w:rsidRDefault="00D67BBA" w:rsidP="00D67BBA">
      <w:pPr>
        <w:pStyle w:val="ListParagraph"/>
        <w:spacing w:line="360" w:lineRule="auto"/>
        <w:jc w:val="both"/>
        <w:rPr>
          <w:sz w:val="12"/>
          <w:szCs w:val="12"/>
        </w:rPr>
      </w:pPr>
    </w:p>
    <w:p w14:paraId="2348C1F9" w14:textId="77777777" w:rsidR="00D67BBA" w:rsidRDefault="00D67BBA" w:rsidP="00D67BBA">
      <w:pPr>
        <w:pStyle w:val="ListParagraph"/>
        <w:numPr>
          <w:ilvl w:val="0"/>
          <w:numId w:val="1"/>
        </w:numPr>
        <w:spacing w:line="360" w:lineRule="auto"/>
        <w:jc w:val="both"/>
      </w:pPr>
      <w:r>
        <w:rPr>
          <w:rFonts w:hint="cs"/>
          <w:rtl/>
        </w:rPr>
        <w:t>בתסקיר משלים מיום 25.01.16, מסרה קצינת המבחן כי הנאשם מסר לה כי הפסיק את השימוש בסמים, אינו רואה את עצמו כמכור הזקוק לעזרה בתחום זה ולכן לא המליצה על טיפול בהתמכרות לסמים. קצינת המבחן בדקה את אפשרות להפנות את הנאשם לקבוצה טיפולית בנושא אלימות זוגית ושליטה בכעסים. הנאשם גילה נכונות ראשונית להשתלב בטיפול, אך בשל שעות עבודתו, גילה קושי להשתלב בקבוצה. קצינת המבחן הציעה לנאשם להשתלב בקבוצה בנושא מיומנויות תקשורת ויחסים בין אישיים והנאשם גילה פתיחות ומוטיבציה להשתלב בקבוצה זו, אך בשל נסיעתו של הנאשם לחוץ לארץ היה קושי ביצירת קשר עמו, אך ביום 24.01.16 השתתף הנאשם בראיון ונמצא מתאים להשתלב בקבוצה. לפיכך, קצינת המבחן המליצה על הטלת צו מבחן למשך שנה, צו של"צ בהיקף 230 שעות והארכת המאסר המותנה.</w:t>
      </w:r>
    </w:p>
    <w:p w14:paraId="39464473" w14:textId="77777777" w:rsidR="00D67BBA" w:rsidRPr="003F48A2" w:rsidRDefault="00D67BBA" w:rsidP="00D67BBA">
      <w:pPr>
        <w:pStyle w:val="ListParagraph"/>
        <w:spacing w:line="360" w:lineRule="auto"/>
        <w:jc w:val="both"/>
      </w:pPr>
    </w:p>
    <w:p w14:paraId="57BCC532" w14:textId="77777777" w:rsidR="00D67BBA" w:rsidRPr="00944BED" w:rsidRDefault="00D67BBA" w:rsidP="00D67BBA">
      <w:pPr>
        <w:spacing w:line="360" w:lineRule="auto"/>
        <w:jc w:val="both"/>
        <w:rPr>
          <w:b/>
          <w:bCs/>
          <w:u w:val="single"/>
        </w:rPr>
      </w:pPr>
      <w:r w:rsidRPr="00944BED">
        <w:rPr>
          <w:rFonts w:hint="cs"/>
          <w:b/>
          <w:bCs/>
          <w:u w:val="single"/>
          <w:rtl/>
        </w:rPr>
        <w:t>טיעוני הצדדים לעונש</w:t>
      </w:r>
    </w:p>
    <w:p w14:paraId="7FE5EBB2" w14:textId="77777777" w:rsidR="00D67BBA" w:rsidRDefault="00D67BBA" w:rsidP="00D67BBA">
      <w:pPr>
        <w:pStyle w:val="ListParagraph"/>
        <w:numPr>
          <w:ilvl w:val="0"/>
          <w:numId w:val="1"/>
        </w:numPr>
        <w:spacing w:line="360" w:lineRule="auto"/>
        <w:jc w:val="both"/>
      </w:pPr>
      <w:r>
        <w:rPr>
          <w:rFonts w:hint="cs"/>
          <w:rtl/>
        </w:rPr>
        <w:t xml:space="preserve">ב"כ המאשימה טענה כי הערכים המוגנים העומדים בבסיס התיק העיקרי הם שמירה על גופו וכבודו של אדם, וציינה כי הנאשם פגע בערכים אלה באופן משמעותי נוכח העובדה כי הנאשם תקף את המתלוננת לעיני כל ובכך ביזה והשפיל אותה. ב"כ המאשימה הוסיפה כי הנאשם אף לא היסס לנהוג באופן אלים כלפי המתלוננת בבית הוריו. אשר לעבירות הסמים, הדגישה ב"כ המאשימה את חומרת העבירות שכן התנהגותו של הנאשם לא רק שפגעה בו אלא גרמה לכניסת מעורבים נוספים למעגל המשתמשים בסמים. </w:t>
      </w:r>
    </w:p>
    <w:p w14:paraId="32901861" w14:textId="77777777" w:rsidR="00D67BBA" w:rsidRPr="004D385D" w:rsidRDefault="00D67BBA" w:rsidP="00D67BBA">
      <w:pPr>
        <w:pStyle w:val="ListParagraph"/>
        <w:spacing w:line="360" w:lineRule="auto"/>
        <w:jc w:val="both"/>
        <w:rPr>
          <w:sz w:val="12"/>
          <w:szCs w:val="12"/>
        </w:rPr>
      </w:pPr>
    </w:p>
    <w:p w14:paraId="5D041FDF" w14:textId="77777777" w:rsidR="00D67BBA" w:rsidRDefault="00D67BBA" w:rsidP="00D67BBA">
      <w:pPr>
        <w:pStyle w:val="ListParagraph"/>
        <w:numPr>
          <w:ilvl w:val="0"/>
          <w:numId w:val="1"/>
        </w:numPr>
        <w:spacing w:line="360" w:lineRule="auto"/>
        <w:jc w:val="both"/>
      </w:pPr>
      <w:r>
        <w:rPr>
          <w:rFonts w:hint="cs"/>
          <w:rtl/>
        </w:rPr>
        <w:t>ב"כ המאשימה, סברה כי מתחם העונש ההולם את עבירות האלימות נע בין 18-8 חודשי מאסר. אשר לעבירות של הספקת הסמים והחזקת הכלים, סברה ב"כ המאשימה כי מתחם העונש ההולם נע בין 12-6 חודשי מאסר. לעניין עבירות החזקת הסמים לצריכה עצמית סברה ב"כ המאשימה כי מתחם העונש ההולם נע ה ממאסר על תנאי ועד למספר חודשי מאסר.</w:t>
      </w:r>
    </w:p>
    <w:p w14:paraId="024797AA" w14:textId="77777777" w:rsidR="00D67BBA" w:rsidRPr="004D385D" w:rsidRDefault="00D67BBA" w:rsidP="00D67BBA">
      <w:pPr>
        <w:pStyle w:val="ListParagraph"/>
        <w:spacing w:line="360" w:lineRule="auto"/>
        <w:jc w:val="both"/>
        <w:rPr>
          <w:sz w:val="12"/>
          <w:szCs w:val="12"/>
        </w:rPr>
      </w:pPr>
    </w:p>
    <w:p w14:paraId="0F920C95" w14:textId="77777777" w:rsidR="00D67BBA" w:rsidRDefault="00D67BBA" w:rsidP="00D67BBA">
      <w:pPr>
        <w:pStyle w:val="ListParagraph"/>
        <w:numPr>
          <w:ilvl w:val="0"/>
          <w:numId w:val="1"/>
        </w:numPr>
        <w:spacing w:line="360" w:lineRule="auto"/>
        <w:jc w:val="both"/>
      </w:pPr>
      <w:r>
        <w:rPr>
          <w:rFonts w:hint="cs"/>
          <w:rtl/>
        </w:rPr>
        <w:t xml:space="preserve">אשר לעונש המתאים, הדגישה ב"כ המאשימה את הניסיונות החוזרים והנשנים של שירות המבחן לשלב את הנאשם בטיפול והתרשמותה כי הנאשם לא רוצה להשתלב בטיפול. ב"כ המאשימה ציינה כי במשך שלוש שנים, ניתנו לנאשם הזדמנויות להשתלב בטיפול משמעותי, ורק כעת, כאשר החרב מונחת על צווארו, הוא הסכים להשתלב בקבוצה טיפולית וגם אז היה צורך ליצור אתו קשר ולא הוא זה שיזם אותו. </w:t>
      </w:r>
    </w:p>
    <w:p w14:paraId="70F96FF8" w14:textId="77777777" w:rsidR="00D67BBA" w:rsidRPr="0064208D" w:rsidRDefault="00D67BBA" w:rsidP="00D67BBA">
      <w:pPr>
        <w:pStyle w:val="ListParagraph"/>
        <w:spacing w:line="360" w:lineRule="auto"/>
        <w:jc w:val="both"/>
        <w:rPr>
          <w:sz w:val="12"/>
          <w:szCs w:val="12"/>
        </w:rPr>
      </w:pPr>
    </w:p>
    <w:p w14:paraId="2C4964A5" w14:textId="77777777" w:rsidR="00D67BBA" w:rsidRDefault="00D67BBA" w:rsidP="00D67BBA">
      <w:pPr>
        <w:pStyle w:val="ListParagraph"/>
        <w:numPr>
          <w:ilvl w:val="0"/>
          <w:numId w:val="1"/>
        </w:numPr>
        <w:spacing w:line="360" w:lineRule="auto"/>
        <w:jc w:val="both"/>
      </w:pPr>
      <w:r>
        <w:rPr>
          <w:rFonts w:hint="cs"/>
          <w:rtl/>
        </w:rPr>
        <w:t>המאשימה סברה כי אין לאמץ את המלצת שירות המבחן, וביקשה להטיל על הנאשם בשל הספקת  הסמים 10 חודשי מאסר, בשל עבירת החזקת הסמים חודשיים מאסר ובשל עבירות האלימות 8 חודשי מאסר. בסך הכל, 20 חודשי מאסר, מאסר על תנאי, פסילה ופסילה על תנאי וכן להפעיל את המאסר על תנאי במצטבר.</w:t>
      </w:r>
    </w:p>
    <w:p w14:paraId="16A6E8FB" w14:textId="77777777" w:rsidR="00D67BBA" w:rsidRPr="000A4B92" w:rsidRDefault="00D67BBA" w:rsidP="00D67BBA">
      <w:pPr>
        <w:pStyle w:val="ListParagraph"/>
        <w:spacing w:line="360" w:lineRule="auto"/>
        <w:jc w:val="both"/>
        <w:rPr>
          <w:sz w:val="12"/>
          <w:szCs w:val="12"/>
        </w:rPr>
      </w:pPr>
    </w:p>
    <w:p w14:paraId="1C44B343" w14:textId="77777777" w:rsidR="00D67BBA" w:rsidRDefault="00D67BBA" w:rsidP="00D67BBA">
      <w:pPr>
        <w:pStyle w:val="ListParagraph"/>
        <w:numPr>
          <w:ilvl w:val="0"/>
          <w:numId w:val="1"/>
        </w:numPr>
        <w:spacing w:line="360" w:lineRule="auto"/>
        <w:jc w:val="both"/>
      </w:pPr>
      <w:r>
        <w:rPr>
          <w:rFonts w:hint="cs"/>
          <w:rtl/>
        </w:rPr>
        <w:t>ב"כ הנאשם טען כי הנאשם השתתף בתוכניות טיפוליות מיזמתו והקושי שלו להשתלב בתוכנית טיפולית של שירות המבחן נבע ממצבו הנפשי ומבנה אישיותו. הנאשם היה מאושפז באיתנים, וטופל תרופתית וכן סבל מבעיות חברתיות נוספות. מזה שנים, הוא אינו משתמש בסמים, בדיקות השתן שלו נמצאו נקיות. הנאשם לקח אחריות למעשיו ושיתף פעולה עם שירות המבחן. מזה 4 שנים הוא לא עבר עבירות נוספות, עובד באופן מסודר, מוכן לטיפול של שירות המבחן ולכן מתקיימת בעניינו הדרישה לפוטנציאל שיקומי ממשי, כך שניתן לחרוג בעניינו ממתחם העונש ההולם. ב"כ הנאשם ביקש מבית המשפט להושיט יד לנאשם, לסייע לשיקומו ולאמץ את המלצת שירות המבחן במלואה.</w:t>
      </w:r>
    </w:p>
    <w:p w14:paraId="129DCF29" w14:textId="77777777" w:rsidR="00D67BBA" w:rsidRPr="00B05847" w:rsidRDefault="00D67BBA" w:rsidP="00D67BBA">
      <w:pPr>
        <w:pStyle w:val="ListParagraph"/>
        <w:numPr>
          <w:ilvl w:val="0"/>
          <w:numId w:val="1"/>
        </w:numPr>
        <w:spacing w:line="360" w:lineRule="auto"/>
        <w:jc w:val="both"/>
        <w:rPr>
          <w:rtl/>
        </w:rPr>
      </w:pPr>
      <w:r>
        <w:rPr>
          <w:rFonts w:hint="cs"/>
          <w:rtl/>
        </w:rPr>
        <w:t>הנאשם, בדברו האחרון, מסר כי ההליך המשפטי קשה לו מאוד, ביקש לשים הליך זה מאחוריו ולהשלים את הליך השיקום אותו עבר.</w:t>
      </w:r>
    </w:p>
    <w:p w14:paraId="4B2105C0" w14:textId="77777777" w:rsidR="00D67BBA" w:rsidRDefault="00D67BBA" w:rsidP="00D67BBA">
      <w:pPr>
        <w:spacing w:line="360" w:lineRule="auto"/>
        <w:jc w:val="both"/>
        <w:rPr>
          <w:b/>
          <w:bCs/>
          <w:u w:val="single"/>
          <w:rtl/>
        </w:rPr>
      </w:pPr>
    </w:p>
    <w:p w14:paraId="4CE676E2" w14:textId="77777777" w:rsidR="00D67BBA" w:rsidRPr="00F655B0" w:rsidRDefault="00D67BBA" w:rsidP="00D67BBA">
      <w:pPr>
        <w:spacing w:line="360" w:lineRule="auto"/>
        <w:jc w:val="both"/>
        <w:rPr>
          <w:b/>
          <w:bCs/>
          <w:u w:val="single"/>
          <w:rtl/>
        </w:rPr>
      </w:pPr>
      <w:r w:rsidRPr="00F655B0">
        <w:rPr>
          <w:b/>
          <w:bCs/>
          <w:u w:val="single"/>
          <w:rtl/>
        </w:rPr>
        <w:t>ריבוי עבירות</w:t>
      </w:r>
    </w:p>
    <w:p w14:paraId="406B97AA" w14:textId="77777777" w:rsidR="00D67BBA" w:rsidRDefault="00D67BBA" w:rsidP="00D67BBA">
      <w:pPr>
        <w:pStyle w:val="ListParagraph"/>
        <w:numPr>
          <w:ilvl w:val="0"/>
          <w:numId w:val="1"/>
        </w:numPr>
        <w:spacing w:line="360" w:lineRule="auto"/>
        <w:jc w:val="both"/>
      </w:pPr>
      <w:r w:rsidRPr="00451192">
        <w:rPr>
          <w:rFonts w:hint="cs"/>
          <w:rtl/>
        </w:rPr>
        <w:t>כאמור, הנאשם צירף לתיק מושא כתב האישום שלפניי, שני תיקים נוספים. מהות העבירות בכל אחד מהתיקים ומידת חומרתן אינה זהה: בעוד שבתיק העיקרי מדובר בעבירות של תקיפה סתם ותקיפה הגורמת חבלה של ממש אשר</w:t>
      </w:r>
      <w:r w:rsidRPr="00F655B0">
        <w:rPr>
          <w:rtl/>
        </w:rPr>
        <w:t xml:space="preserve"> הופנו כלפי </w:t>
      </w:r>
      <w:r w:rsidRPr="00451192">
        <w:rPr>
          <w:rFonts w:hint="cs"/>
          <w:rtl/>
        </w:rPr>
        <w:t>בת זוגו</w:t>
      </w:r>
      <w:r w:rsidRPr="00F655B0">
        <w:rPr>
          <w:rtl/>
        </w:rPr>
        <w:t xml:space="preserve"> של הנאשם (המתלוננת)</w:t>
      </w:r>
      <w:r w:rsidRPr="00451192">
        <w:rPr>
          <w:rFonts w:hint="cs"/>
          <w:rtl/>
        </w:rPr>
        <w:t xml:space="preserve"> הרי בתיקים המצורפים עסקינן בעבירות של החזקת סמים לצריכה עצמית, עבירה של </w:t>
      </w:r>
      <w:r>
        <w:rPr>
          <w:rFonts w:hint="cs"/>
          <w:rtl/>
        </w:rPr>
        <w:t>הספקת</w:t>
      </w:r>
      <w:r w:rsidRPr="00451192">
        <w:rPr>
          <w:rFonts w:hint="cs"/>
          <w:rtl/>
        </w:rPr>
        <w:t xml:space="preserve"> סמים ועביר</w:t>
      </w:r>
      <w:r>
        <w:rPr>
          <w:rFonts w:hint="cs"/>
          <w:rtl/>
        </w:rPr>
        <w:t>ה</w:t>
      </w:r>
      <w:r w:rsidRPr="00451192">
        <w:rPr>
          <w:rFonts w:hint="cs"/>
          <w:rtl/>
        </w:rPr>
        <w:t xml:space="preserve"> של החזקת כלים לצריכה עצמית. כן</w:t>
      </w:r>
      <w:r w:rsidRPr="00F655B0">
        <w:rPr>
          <w:rtl/>
        </w:rPr>
        <w:t xml:space="preserve"> קיים פער זמנים בביצוע העבירות </w:t>
      </w:r>
      <w:r>
        <w:rPr>
          <w:rFonts w:hint="cs"/>
          <w:rtl/>
        </w:rPr>
        <w:t>נשוא</w:t>
      </w:r>
      <w:r w:rsidRPr="00F655B0">
        <w:rPr>
          <w:rtl/>
        </w:rPr>
        <w:t xml:space="preserve"> ש</w:t>
      </w:r>
      <w:r w:rsidRPr="00451192">
        <w:rPr>
          <w:rFonts w:hint="cs"/>
          <w:rtl/>
        </w:rPr>
        <w:t>לושת</w:t>
      </w:r>
      <w:r w:rsidRPr="00F655B0">
        <w:rPr>
          <w:rtl/>
        </w:rPr>
        <w:t xml:space="preserve"> התיקים. בהתחשב בכל אלה, אני סבורה כי מכלול העבירות בכל אחד מהתיקים מהוות אירוע נפרד לצורך קביעת מתחם עונש הולם, כאמוּר </w:t>
      </w:r>
      <w:hyperlink r:id="rId28" w:history="1">
        <w:r w:rsidR="00E144DA" w:rsidRPr="00E144DA">
          <w:rPr>
            <w:rStyle w:val="Hyperlink"/>
            <w:rtl/>
          </w:rPr>
          <w:t>בסעיף 40יג(ב)</w:t>
        </w:r>
      </w:hyperlink>
      <w:r w:rsidRPr="00F655B0">
        <w:rPr>
          <w:rtl/>
        </w:rPr>
        <w:t xml:space="preserve"> ל</w:t>
      </w:r>
      <w:hyperlink r:id="rId29" w:history="1">
        <w:r w:rsidR="00C46442" w:rsidRPr="00C46442">
          <w:rPr>
            <w:color w:val="0000FF"/>
            <w:u w:val="single"/>
            <w:rtl/>
          </w:rPr>
          <w:t>חוק העונשין</w:t>
        </w:r>
      </w:hyperlink>
      <w:r w:rsidRPr="00F655B0">
        <w:rPr>
          <w:rtl/>
        </w:rPr>
        <w:t xml:space="preserve">. </w:t>
      </w:r>
    </w:p>
    <w:p w14:paraId="7AA62D3F" w14:textId="77777777" w:rsidR="00D67BBA" w:rsidRPr="00BE0E15" w:rsidRDefault="00D67BBA" w:rsidP="00D67BBA">
      <w:pPr>
        <w:pStyle w:val="ListParagraph"/>
        <w:spacing w:line="360" w:lineRule="auto"/>
        <w:jc w:val="both"/>
        <w:rPr>
          <w:sz w:val="12"/>
          <w:szCs w:val="12"/>
          <w:rtl/>
        </w:rPr>
      </w:pPr>
    </w:p>
    <w:p w14:paraId="5422B795" w14:textId="77777777" w:rsidR="00D67BBA" w:rsidRPr="00451192" w:rsidRDefault="00D67BBA" w:rsidP="00D67BBA">
      <w:pPr>
        <w:pStyle w:val="ListParagraph"/>
        <w:numPr>
          <w:ilvl w:val="0"/>
          <w:numId w:val="1"/>
        </w:numPr>
        <w:spacing w:line="360" w:lineRule="auto"/>
        <w:jc w:val="both"/>
        <w:rPr>
          <w:rtl/>
        </w:rPr>
      </w:pPr>
      <w:r w:rsidRPr="00F655B0">
        <w:rPr>
          <w:rtl/>
        </w:rPr>
        <w:t xml:space="preserve">עם זאת, בהתחשב </w:t>
      </w:r>
      <w:r w:rsidRPr="00451192">
        <w:rPr>
          <w:rtl/>
        </w:rPr>
        <w:t>במהות העבירות והרקע המשותף להן</w:t>
      </w:r>
      <w:r w:rsidRPr="00451192">
        <w:rPr>
          <w:rFonts w:hint="cs"/>
          <w:rtl/>
        </w:rPr>
        <w:t xml:space="preserve">, </w:t>
      </w:r>
      <w:r w:rsidRPr="00F655B0">
        <w:rPr>
          <w:rtl/>
        </w:rPr>
        <w:t xml:space="preserve">אני </w:t>
      </w:r>
      <w:r>
        <w:rPr>
          <w:rFonts w:hint="cs"/>
          <w:rtl/>
        </w:rPr>
        <w:t xml:space="preserve">סבורה </w:t>
      </w:r>
      <w:r w:rsidRPr="00F655B0">
        <w:rPr>
          <w:rtl/>
        </w:rPr>
        <w:t xml:space="preserve">כי ראוי לגזור עונש כולל בגין </w:t>
      </w:r>
      <w:r w:rsidRPr="00451192">
        <w:rPr>
          <w:rFonts w:hint="cs"/>
          <w:rtl/>
        </w:rPr>
        <w:t xml:space="preserve">שלושת </w:t>
      </w:r>
      <w:r w:rsidRPr="00F655B0">
        <w:rPr>
          <w:rtl/>
        </w:rPr>
        <w:t xml:space="preserve">התיקים בהתאם להסדר הקבוע </w:t>
      </w:r>
      <w:hyperlink r:id="rId30" w:history="1">
        <w:r w:rsidR="00E144DA" w:rsidRPr="00E144DA">
          <w:rPr>
            <w:rStyle w:val="Hyperlink"/>
            <w:rtl/>
          </w:rPr>
          <w:t>בסעיף 40יג(ב)</w:t>
        </w:r>
      </w:hyperlink>
      <w:r w:rsidRPr="00F655B0">
        <w:rPr>
          <w:rtl/>
        </w:rPr>
        <w:t xml:space="preserve"> ל</w:t>
      </w:r>
      <w:hyperlink r:id="rId31" w:history="1">
        <w:r w:rsidR="00C46442" w:rsidRPr="00C46442">
          <w:rPr>
            <w:color w:val="0000FF"/>
            <w:u w:val="single"/>
            <w:rtl/>
          </w:rPr>
          <w:t>חוק העונשין</w:t>
        </w:r>
      </w:hyperlink>
      <w:r w:rsidRPr="00F655B0">
        <w:rPr>
          <w:rtl/>
        </w:rPr>
        <w:t xml:space="preserve">.  </w:t>
      </w:r>
    </w:p>
    <w:p w14:paraId="52E9A5F8" w14:textId="77777777" w:rsidR="00D67BBA" w:rsidRDefault="00D67BBA" w:rsidP="00D67BBA">
      <w:pPr>
        <w:spacing w:line="360" w:lineRule="auto"/>
        <w:jc w:val="both"/>
        <w:rPr>
          <w:b/>
          <w:bCs/>
          <w:u w:val="single"/>
          <w:rtl/>
        </w:rPr>
      </w:pPr>
    </w:p>
    <w:p w14:paraId="689108F0" w14:textId="77777777" w:rsidR="00D67BBA" w:rsidRDefault="00D67BBA" w:rsidP="00854E04">
      <w:pPr>
        <w:pStyle w:val="ListParagraph"/>
        <w:numPr>
          <w:ilvl w:val="0"/>
          <w:numId w:val="1"/>
        </w:numPr>
        <w:spacing w:line="360" w:lineRule="auto"/>
        <w:ind w:left="714" w:hanging="357"/>
        <w:jc w:val="both"/>
        <w:rPr>
          <w:b/>
          <w:bCs/>
        </w:rPr>
      </w:pPr>
      <w:r>
        <w:rPr>
          <w:rFonts w:hint="cs"/>
          <w:b/>
          <w:bCs/>
          <w:u w:val="single"/>
          <w:rtl/>
        </w:rPr>
        <w:t xml:space="preserve">מתחם העונש ההולם </w:t>
      </w:r>
      <w:hyperlink r:id="rId32" w:history="1">
        <w:r w:rsidR="00C46442" w:rsidRPr="00C46442">
          <w:rPr>
            <w:b/>
            <w:bCs/>
            <w:color w:val="0000FF"/>
            <w:u w:val="single"/>
            <w:rtl/>
          </w:rPr>
          <w:t>ת.פ 54307-05-12</w:t>
        </w:r>
        <w:r w:rsidR="00C46442" w:rsidRPr="00C46442">
          <w:rPr>
            <w:b/>
            <w:bCs/>
            <w:color w:val="0000FF"/>
            <w:u w:val="single"/>
            <w:rtl/>
          </w:rPr>
          <w:cr/>
        </w:r>
      </w:hyperlink>
      <w:r w:rsidRPr="00323779">
        <w:rPr>
          <w:rFonts w:ascii="Calibri" w:hAnsi="Calibri" w:hint="eastAsia"/>
          <w:rtl/>
        </w:rPr>
        <w:t>בהתאם</w:t>
      </w:r>
      <w:r w:rsidRPr="00323779">
        <w:rPr>
          <w:rFonts w:ascii="Calibri" w:hAnsi="Calibri"/>
          <w:rtl/>
        </w:rPr>
        <w:t xml:space="preserve"> </w:t>
      </w:r>
      <w:r w:rsidRPr="00323779">
        <w:rPr>
          <w:rFonts w:ascii="Calibri" w:hAnsi="Calibri" w:hint="eastAsia"/>
          <w:rtl/>
        </w:rPr>
        <w:t>לתיקון</w:t>
      </w:r>
      <w:r w:rsidRPr="00323779">
        <w:rPr>
          <w:rFonts w:ascii="Calibri" w:hAnsi="Calibri"/>
          <w:rtl/>
        </w:rPr>
        <w:t xml:space="preserve"> 113 </w:t>
      </w:r>
      <w:r w:rsidRPr="00323779">
        <w:rPr>
          <w:rFonts w:ascii="Calibri" w:hAnsi="Calibri" w:hint="eastAsia"/>
          <w:rtl/>
        </w:rPr>
        <w:t>לחוק</w:t>
      </w:r>
      <w:r w:rsidRPr="00323779">
        <w:rPr>
          <w:rFonts w:ascii="Calibri" w:hAnsi="Calibri"/>
          <w:rtl/>
        </w:rPr>
        <w:t xml:space="preserve">, </w:t>
      </w:r>
      <w:r w:rsidRPr="00323779">
        <w:rPr>
          <w:rFonts w:ascii="Calibri" w:hAnsi="Calibri" w:hint="eastAsia"/>
          <w:rtl/>
        </w:rPr>
        <w:t>יש</w:t>
      </w:r>
      <w:r w:rsidRPr="00323779">
        <w:rPr>
          <w:rFonts w:ascii="Calibri" w:hAnsi="Calibri"/>
          <w:rtl/>
        </w:rPr>
        <w:t xml:space="preserve"> </w:t>
      </w:r>
      <w:r w:rsidRPr="00323779">
        <w:rPr>
          <w:rFonts w:ascii="Calibri" w:hAnsi="Calibri" w:hint="eastAsia"/>
          <w:rtl/>
        </w:rPr>
        <w:t>לקבוע</w:t>
      </w:r>
      <w:r w:rsidRPr="00323779">
        <w:rPr>
          <w:rFonts w:ascii="Calibri" w:hAnsi="Calibri"/>
          <w:rtl/>
        </w:rPr>
        <w:t xml:space="preserve"> </w:t>
      </w:r>
      <w:r w:rsidRPr="00323779">
        <w:rPr>
          <w:rFonts w:ascii="Calibri" w:hAnsi="Calibri" w:hint="eastAsia"/>
          <w:rtl/>
        </w:rPr>
        <w:t>תחילה</w:t>
      </w:r>
      <w:r w:rsidRPr="00323779">
        <w:rPr>
          <w:rFonts w:ascii="Calibri" w:hAnsi="Calibri"/>
          <w:rtl/>
        </w:rPr>
        <w:t xml:space="preserve">, </w:t>
      </w:r>
      <w:r w:rsidRPr="00323779">
        <w:rPr>
          <w:rFonts w:ascii="Calibri" w:hAnsi="Calibri" w:hint="eastAsia"/>
          <w:rtl/>
        </w:rPr>
        <w:t>האם</w:t>
      </w:r>
      <w:r w:rsidRPr="00323779">
        <w:rPr>
          <w:rFonts w:ascii="Calibri" w:hAnsi="Calibri"/>
          <w:rtl/>
        </w:rPr>
        <w:t xml:space="preserve"> </w:t>
      </w:r>
      <w:r w:rsidRPr="00323779">
        <w:rPr>
          <w:rFonts w:ascii="Calibri" w:hAnsi="Calibri" w:hint="eastAsia"/>
          <w:rtl/>
        </w:rPr>
        <w:t>עסקינן</w:t>
      </w:r>
      <w:r w:rsidRPr="00323779">
        <w:rPr>
          <w:rFonts w:ascii="Calibri" w:hAnsi="Calibri"/>
          <w:rtl/>
        </w:rPr>
        <w:t xml:space="preserve"> </w:t>
      </w:r>
      <w:r w:rsidRPr="00323779">
        <w:rPr>
          <w:rFonts w:ascii="Calibri" w:hAnsi="Calibri" w:hint="eastAsia"/>
          <w:rtl/>
        </w:rPr>
        <w:t>באירוע</w:t>
      </w:r>
      <w:r w:rsidRPr="00323779">
        <w:rPr>
          <w:rFonts w:ascii="Calibri" w:hAnsi="Calibri"/>
          <w:rtl/>
        </w:rPr>
        <w:t xml:space="preserve"> </w:t>
      </w:r>
      <w:r w:rsidRPr="00323779">
        <w:rPr>
          <w:rFonts w:ascii="Calibri" w:hAnsi="Calibri" w:hint="eastAsia"/>
          <w:rtl/>
        </w:rPr>
        <w:t>אחד</w:t>
      </w:r>
      <w:r w:rsidRPr="00323779">
        <w:rPr>
          <w:rFonts w:ascii="Calibri" w:hAnsi="Calibri"/>
          <w:rtl/>
        </w:rPr>
        <w:t xml:space="preserve"> </w:t>
      </w:r>
      <w:r w:rsidRPr="00323779">
        <w:rPr>
          <w:rFonts w:ascii="Calibri" w:hAnsi="Calibri" w:hint="eastAsia"/>
          <w:rtl/>
        </w:rPr>
        <w:t>או</w:t>
      </w:r>
      <w:r w:rsidRPr="00323779">
        <w:rPr>
          <w:rFonts w:ascii="Calibri" w:hAnsi="Calibri"/>
          <w:rtl/>
        </w:rPr>
        <w:t xml:space="preserve"> </w:t>
      </w:r>
      <w:r w:rsidRPr="00323779">
        <w:rPr>
          <w:rFonts w:ascii="Calibri" w:hAnsi="Calibri" w:hint="eastAsia"/>
          <w:rtl/>
        </w:rPr>
        <w:t>במספר</w:t>
      </w:r>
      <w:r w:rsidRPr="00323779">
        <w:rPr>
          <w:rFonts w:ascii="Calibri" w:hAnsi="Calibri"/>
          <w:rtl/>
        </w:rPr>
        <w:t xml:space="preserve"> </w:t>
      </w:r>
      <w:r w:rsidRPr="00323779">
        <w:rPr>
          <w:rFonts w:ascii="Calibri" w:hAnsi="Calibri" w:hint="eastAsia"/>
          <w:rtl/>
        </w:rPr>
        <w:t>אירועים</w:t>
      </w:r>
      <w:r w:rsidRPr="00323779">
        <w:rPr>
          <w:rFonts w:ascii="Calibri" w:hAnsi="Calibri"/>
          <w:rtl/>
        </w:rPr>
        <w:t xml:space="preserve">. </w:t>
      </w:r>
      <w:r w:rsidRPr="00323779">
        <w:rPr>
          <w:rFonts w:ascii="Calibri" w:hAnsi="Calibri" w:hint="eastAsia"/>
          <w:rtl/>
        </w:rPr>
        <w:t>הצדדים</w:t>
      </w:r>
      <w:r w:rsidRPr="00323779">
        <w:rPr>
          <w:rFonts w:ascii="Calibri" w:hAnsi="Calibri"/>
          <w:rtl/>
        </w:rPr>
        <w:t xml:space="preserve"> </w:t>
      </w:r>
      <w:r>
        <w:rPr>
          <w:rFonts w:ascii="Calibri" w:hAnsi="Calibri" w:hint="cs"/>
          <w:rtl/>
        </w:rPr>
        <w:t>לא היו חלוקים ב</w:t>
      </w:r>
      <w:r w:rsidRPr="00323779">
        <w:rPr>
          <w:rFonts w:ascii="Calibri" w:hAnsi="Calibri" w:hint="eastAsia"/>
          <w:rtl/>
        </w:rPr>
        <w:t>שאלה</w:t>
      </w:r>
      <w:r w:rsidRPr="00323779">
        <w:rPr>
          <w:rFonts w:ascii="Calibri" w:hAnsi="Calibri"/>
          <w:rtl/>
        </w:rPr>
        <w:t xml:space="preserve"> </w:t>
      </w:r>
      <w:r>
        <w:rPr>
          <w:rFonts w:ascii="Calibri" w:hAnsi="Calibri" w:hint="cs"/>
          <w:rtl/>
        </w:rPr>
        <w:t>זו ו</w:t>
      </w:r>
      <w:r w:rsidRPr="00323779">
        <w:rPr>
          <w:rFonts w:ascii="Calibri" w:hAnsi="Calibri" w:hint="eastAsia"/>
          <w:rtl/>
        </w:rPr>
        <w:t>מצאתי</w:t>
      </w:r>
      <w:r w:rsidRPr="00323779">
        <w:rPr>
          <w:rFonts w:ascii="Calibri" w:hAnsi="Calibri"/>
          <w:rtl/>
        </w:rPr>
        <w:t xml:space="preserve"> </w:t>
      </w:r>
      <w:r w:rsidRPr="00323779">
        <w:rPr>
          <w:rFonts w:ascii="Calibri" w:hAnsi="Calibri" w:hint="eastAsia"/>
          <w:rtl/>
        </w:rPr>
        <w:t>כי</w:t>
      </w:r>
      <w:r w:rsidRPr="00323779">
        <w:rPr>
          <w:rFonts w:ascii="Calibri" w:hAnsi="Calibri"/>
          <w:rtl/>
        </w:rPr>
        <w:t xml:space="preserve"> </w:t>
      </w:r>
      <w:r w:rsidRPr="00323779">
        <w:rPr>
          <w:rFonts w:ascii="Calibri" w:hAnsi="Calibri" w:hint="eastAsia"/>
          <w:rtl/>
        </w:rPr>
        <w:t>במקרה</w:t>
      </w:r>
      <w:r w:rsidRPr="00323779">
        <w:rPr>
          <w:rFonts w:ascii="Calibri" w:hAnsi="Calibri"/>
          <w:rtl/>
        </w:rPr>
        <w:t xml:space="preserve"> </w:t>
      </w:r>
      <w:r w:rsidRPr="00323779">
        <w:rPr>
          <w:rFonts w:ascii="Calibri" w:hAnsi="Calibri" w:hint="eastAsia"/>
          <w:rtl/>
        </w:rPr>
        <w:t>שלפני</w:t>
      </w:r>
      <w:r w:rsidRPr="00323779">
        <w:rPr>
          <w:rFonts w:ascii="Calibri" w:hAnsi="Calibri"/>
          <w:rtl/>
        </w:rPr>
        <w:t xml:space="preserve">, </w:t>
      </w:r>
      <w:r>
        <w:rPr>
          <w:rFonts w:ascii="Calibri" w:hAnsi="Calibri" w:hint="cs"/>
          <w:rtl/>
        </w:rPr>
        <w:t>אאמץ את גישתם של  כב' השופטת ברק-ארז וכב' השופט פוגלמן ב</w:t>
      </w:r>
      <w:hyperlink r:id="rId33" w:history="1">
        <w:r w:rsidR="00854E04" w:rsidRPr="00854E04">
          <w:rPr>
            <w:rStyle w:val="Hyperlink"/>
            <w:rFonts w:ascii="Calibri" w:hAnsi="Calibri" w:hint="eastAsia"/>
            <w:rtl/>
          </w:rPr>
          <w:t>ע</w:t>
        </w:r>
        <w:r w:rsidR="00854E04" w:rsidRPr="00854E04">
          <w:rPr>
            <w:rStyle w:val="Hyperlink"/>
            <w:rFonts w:ascii="Calibri" w:hAnsi="Calibri"/>
            <w:rtl/>
          </w:rPr>
          <w:t xml:space="preserve">"פ 4910/13 </w:t>
        </w:r>
      </w:hyperlink>
      <w:r>
        <w:rPr>
          <w:rFonts w:ascii="Calibri" w:hAnsi="Calibri" w:hint="cs"/>
          <w:rtl/>
        </w:rPr>
        <w:t xml:space="preserve"> </w:t>
      </w:r>
      <w:r>
        <w:rPr>
          <w:rFonts w:ascii="Calibri" w:hAnsi="Calibri" w:hint="cs"/>
          <w:b/>
          <w:bCs/>
          <w:rtl/>
        </w:rPr>
        <w:t>ג'אבר נ' מדינת ישראל</w:t>
      </w:r>
      <w:r>
        <w:rPr>
          <w:rFonts w:ascii="Calibri" w:hAnsi="Calibri" w:hint="cs"/>
          <w:rtl/>
        </w:rPr>
        <w:t xml:space="preserve"> (מיום 29.10.2014) (להלן: </w:t>
      </w:r>
      <w:r>
        <w:rPr>
          <w:rFonts w:ascii="Calibri" w:hAnsi="Calibri" w:hint="cs"/>
          <w:b/>
          <w:bCs/>
          <w:rtl/>
        </w:rPr>
        <w:t>"ע"פ ג'אבר"</w:t>
      </w:r>
      <w:r>
        <w:rPr>
          <w:rFonts w:ascii="Calibri" w:hAnsi="Calibri" w:hint="cs"/>
          <w:rtl/>
        </w:rPr>
        <w:t xml:space="preserve">) -"מבחן הקשר ההדוק", לפיה  ניתן לראות את העבירות בהן הורשע הנאשם במסגרת כתב האישום אירוע אחד בגינו יש לקבוע מתחם עונש הולם אחד, </w:t>
      </w:r>
      <w:r w:rsidRPr="00323779">
        <w:rPr>
          <w:rFonts w:ascii="Calibri" w:hAnsi="Calibri" w:hint="eastAsia"/>
          <w:rtl/>
        </w:rPr>
        <w:t>היות</w:t>
      </w:r>
      <w:r w:rsidRPr="00323779">
        <w:rPr>
          <w:rFonts w:ascii="Calibri" w:hAnsi="Calibri"/>
          <w:rtl/>
        </w:rPr>
        <w:t xml:space="preserve"> </w:t>
      </w:r>
      <w:r w:rsidRPr="00323779">
        <w:rPr>
          <w:rFonts w:ascii="Calibri" w:hAnsi="Calibri" w:hint="eastAsia"/>
          <w:rtl/>
        </w:rPr>
        <w:t>שמדובר</w:t>
      </w:r>
      <w:r w:rsidRPr="00323779">
        <w:rPr>
          <w:rFonts w:ascii="Calibri" w:hAnsi="Calibri"/>
          <w:rtl/>
        </w:rPr>
        <w:t xml:space="preserve"> </w:t>
      </w:r>
      <w:r>
        <w:rPr>
          <w:rFonts w:ascii="Calibri" w:hAnsi="Calibri" w:hint="cs"/>
          <w:rtl/>
        </w:rPr>
        <w:t>בשני אירועים שהתרחשו בנסיבות דומות, בתוך חודשים ספורים בין הנאשם למתלוננת</w:t>
      </w:r>
      <w:r w:rsidRPr="00323779">
        <w:rPr>
          <w:rFonts w:ascii="Calibri" w:hAnsi="Calibri"/>
          <w:rtl/>
        </w:rPr>
        <w:t xml:space="preserve">, </w:t>
      </w:r>
      <w:r>
        <w:rPr>
          <w:rFonts w:ascii="Calibri" w:hAnsi="Calibri" w:hint="cs"/>
          <w:rtl/>
        </w:rPr>
        <w:t xml:space="preserve">כאשר הערך החברתי המוגן הוא זהה. </w:t>
      </w:r>
      <w:r w:rsidRPr="00323779">
        <w:rPr>
          <w:rtl/>
        </w:rPr>
        <w:t xml:space="preserve">לפיכך, </w:t>
      </w:r>
      <w:r w:rsidRPr="00323779">
        <w:rPr>
          <w:rFonts w:ascii="Calibri" w:hAnsi="Calibri" w:hint="eastAsia"/>
          <w:rtl/>
        </w:rPr>
        <w:t>אקבע</w:t>
      </w:r>
      <w:r w:rsidRPr="00323779">
        <w:rPr>
          <w:rFonts w:ascii="Calibri" w:hAnsi="Calibri"/>
          <w:rtl/>
        </w:rPr>
        <w:t xml:space="preserve"> </w:t>
      </w:r>
      <w:r w:rsidRPr="00323779">
        <w:rPr>
          <w:rFonts w:ascii="Calibri" w:hAnsi="Calibri" w:hint="eastAsia"/>
          <w:rtl/>
        </w:rPr>
        <w:t>מתחם</w:t>
      </w:r>
      <w:r w:rsidRPr="00323779">
        <w:rPr>
          <w:rFonts w:ascii="Calibri" w:hAnsi="Calibri"/>
          <w:rtl/>
        </w:rPr>
        <w:t xml:space="preserve"> </w:t>
      </w:r>
      <w:r w:rsidRPr="00323779">
        <w:rPr>
          <w:rFonts w:ascii="Calibri" w:hAnsi="Calibri" w:hint="eastAsia"/>
          <w:rtl/>
        </w:rPr>
        <w:t>אחד</w:t>
      </w:r>
      <w:r w:rsidRPr="00323779">
        <w:rPr>
          <w:rFonts w:ascii="Calibri" w:hAnsi="Calibri"/>
          <w:rtl/>
        </w:rPr>
        <w:t xml:space="preserve">, </w:t>
      </w:r>
      <w:r w:rsidRPr="00323779">
        <w:rPr>
          <w:rFonts w:ascii="Calibri" w:hAnsi="Calibri" w:hint="eastAsia"/>
          <w:rtl/>
        </w:rPr>
        <w:t>המביא</w:t>
      </w:r>
      <w:r w:rsidRPr="00323779">
        <w:rPr>
          <w:rFonts w:ascii="Calibri" w:hAnsi="Calibri"/>
          <w:rtl/>
        </w:rPr>
        <w:t xml:space="preserve"> </w:t>
      </w:r>
      <w:r w:rsidRPr="00323779">
        <w:rPr>
          <w:rFonts w:ascii="Calibri" w:hAnsi="Calibri" w:hint="eastAsia"/>
          <w:rtl/>
        </w:rPr>
        <w:t>לידי</w:t>
      </w:r>
      <w:r w:rsidRPr="00323779">
        <w:rPr>
          <w:rFonts w:ascii="Calibri" w:hAnsi="Calibri"/>
          <w:rtl/>
        </w:rPr>
        <w:t xml:space="preserve"> </w:t>
      </w:r>
      <w:r w:rsidRPr="00323779">
        <w:rPr>
          <w:rFonts w:ascii="Calibri" w:hAnsi="Calibri" w:hint="eastAsia"/>
          <w:rtl/>
        </w:rPr>
        <w:t>ביטוי</w:t>
      </w:r>
      <w:r w:rsidRPr="00323779">
        <w:rPr>
          <w:rFonts w:ascii="Calibri" w:hAnsi="Calibri"/>
          <w:rtl/>
        </w:rPr>
        <w:t xml:space="preserve"> </w:t>
      </w:r>
      <w:r w:rsidRPr="00323779">
        <w:rPr>
          <w:rFonts w:ascii="Calibri" w:hAnsi="Calibri" w:hint="eastAsia"/>
          <w:rtl/>
        </w:rPr>
        <w:t>את</w:t>
      </w:r>
      <w:r w:rsidRPr="00323779">
        <w:rPr>
          <w:rFonts w:ascii="Calibri" w:hAnsi="Calibri"/>
          <w:rtl/>
        </w:rPr>
        <w:t xml:space="preserve"> </w:t>
      </w:r>
      <w:r w:rsidRPr="00323779">
        <w:rPr>
          <w:rFonts w:ascii="Calibri" w:hAnsi="Calibri" w:hint="eastAsia"/>
          <w:rtl/>
        </w:rPr>
        <w:t>העובדה</w:t>
      </w:r>
      <w:r w:rsidRPr="00323779">
        <w:rPr>
          <w:rFonts w:ascii="Calibri" w:hAnsi="Calibri"/>
          <w:rtl/>
        </w:rPr>
        <w:t xml:space="preserve"> </w:t>
      </w:r>
      <w:r w:rsidRPr="00323779">
        <w:rPr>
          <w:rFonts w:ascii="Calibri" w:hAnsi="Calibri" w:hint="eastAsia"/>
          <w:rtl/>
        </w:rPr>
        <w:t>שמדובר</w:t>
      </w:r>
      <w:r w:rsidRPr="00323779">
        <w:rPr>
          <w:rFonts w:ascii="Calibri" w:hAnsi="Calibri"/>
          <w:rtl/>
        </w:rPr>
        <w:t xml:space="preserve"> </w:t>
      </w:r>
      <w:r w:rsidRPr="00323779">
        <w:rPr>
          <w:rFonts w:ascii="Calibri" w:hAnsi="Calibri" w:hint="eastAsia"/>
          <w:rtl/>
        </w:rPr>
        <w:t>בריבוי</w:t>
      </w:r>
      <w:r w:rsidRPr="00323779">
        <w:rPr>
          <w:rFonts w:ascii="Calibri" w:hAnsi="Calibri"/>
          <w:rtl/>
        </w:rPr>
        <w:t xml:space="preserve"> </w:t>
      </w:r>
      <w:r w:rsidRPr="00323779">
        <w:rPr>
          <w:rFonts w:ascii="Calibri" w:hAnsi="Calibri" w:hint="eastAsia"/>
          <w:rtl/>
        </w:rPr>
        <w:t>מעשים</w:t>
      </w:r>
      <w:r w:rsidRPr="00323779">
        <w:rPr>
          <w:rFonts w:ascii="Calibri" w:hAnsi="Calibri"/>
          <w:rtl/>
        </w:rPr>
        <w:t xml:space="preserve"> </w:t>
      </w:r>
      <w:r w:rsidRPr="00323779">
        <w:rPr>
          <w:rFonts w:ascii="Calibri" w:hAnsi="Calibri" w:hint="eastAsia"/>
          <w:rtl/>
        </w:rPr>
        <w:t>ובריבוי</w:t>
      </w:r>
      <w:r w:rsidRPr="00323779">
        <w:rPr>
          <w:rFonts w:ascii="Calibri" w:hAnsi="Calibri"/>
          <w:rtl/>
        </w:rPr>
        <w:t xml:space="preserve"> </w:t>
      </w:r>
      <w:r w:rsidRPr="00323779">
        <w:rPr>
          <w:rFonts w:ascii="Calibri" w:hAnsi="Calibri" w:hint="eastAsia"/>
          <w:rtl/>
        </w:rPr>
        <w:t>עבירות</w:t>
      </w:r>
      <w:r w:rsidRPr="00323779">
        <w:rPr>
          <w:rFonts w:ascii="Calibri" w:hAnsi="Calibri"/>
          <w:rtl/>
        </w:rPr>
        <w:t xml:space="preserve">. </w:t>
      </w:r>
    </w:p>
    <w:p w14:paraId="1F10C3F8" w14:textId="77777777" w:rsidR="00D67BBA" w:rsidRPr="0015541B" w:rsidRDefault="00D67BBA" w:rsidP="00D67BBA">
      <w:pPr>
        <w:pStyle w:val="ListParagraph"/>
        <w:spacing w:line="360" w:lineRule="auto"/>
        <w:ind w:left="714"/>
        <w:jc w:val="both"/>
        <w:rPr>
          <w:b/>
          <w:bCs/>
          <w:sz w:val="12"/>
          <w:szCs w:val="12"/>
        </w:rPr>
      </w:pPr>
    </w:p>
    <w:p w14:paraId="613AC055" w14:textId="77777777" w:rsidR="00D67BBA" w:rsidRDefault="00D67BBA" w:rsidP="00D67BBA">
      <w:pPr>
        <w:pStyle w:val="ListParagraph"/>
        <w:numPr>
          <w:ilvl w:val="0"/>
          <w:numId w:val="1"/>
        </w:numPr>
        <w:spacing w:line="360" w:lineRule="auto"/>
        <w:jc w:val="both"/>
        <w:rPr>
          <w:rFonts w:ascii="Calibri" w:hAnsi="Calibri"/>
        </w:rPr>
      </w:pPr>
      <w:r w:rsidRPr="00323779">
        <w:rPr>
          <w:rFonts w:ascii="Arial" w:hAnsi="Arial"/>
          <w:rtl/>
        </w:rPr>
        <w:t>על</w:t>
      </w:r>
      <w:r w:rsidRPr="00323779">
        <w:rPr>
          <w:rFonts w:ascii="Calibri" w:hAnsi="Calibri"/>
          <w:rtl/>
        </w:rPr>
        <w:t xml:space="preserve"> </w:t>
      </w:r>
      <w:r w:rsidRPr="00323779">
        <w:rPr>
          <w:rFonts w:ascii="Calibri" w:hAnsi="Calibri" w:hint="eastAsia"/>
          <w:rtl/>
        </w:rPr>
        <w:t>פי</w:t>
      </w:r>
      <w:r w:rsidRPr="00323779">
        <w:rPr>
          <w:rFonts w:ascii="Calibri" w:hAnsi="Calibri"/>
          <w:rtl/>
        </w:rPr>
        <w:t xml:space="preserve"> </w:t>
      </w:r>
      <w:hyperlink r:id="rId34" w:history="1">
        <w:r w:rsidR="00E144DA" w:rsidRPr="00E144DA">
          <w:rPr>
            <w:rStyle w:val="Hyperlink"/>
            <w:rFonts w:ascii="Calibri" w:hAnsi="Calibri" w:hint="eastAsia"/>
            <w:rtl/>
          </w:rPr>
          <w:t>סעיף</w:t>
        </w:r>
        <w:r w:rsidR="00E144DA" w:rsidRPr="00E144DA">
          <w:rPr>
            <w:rStyle w:val="Hyperlink"/>
            <w:rFonts w:ascii="Calibri" w:hAnsi="Calibri"/>
            <w:rtl/>
          </w:rPr>
          <w:t xml:space="preserve"> 40</w:t>
        </w:r>
        <w:r w:rsidR="00E144DA" w:rsidRPr="00E144DA">
          <w:rPr>
            <w:rStyle w:val="Hyperlink"/>
            <w:rFonts w:ascii="Calibri" w:hAnsi="Calibri" w:hint="eastAsia"/>
            <w:rtl/>
          </w:rPr>
          <w:t>ב</w:t>
        </w:r>
        <w:r w:rsidR="00E144DA" w:rsidRPr="00E144DA">
          <w:rPr>
            <w:rStyle w:val="Hyperlink"/>
            <w:rFonts w:ascii="Calibri" w:hAnsi="Calibri"/>
            <w:rtl/>
          </w:rPr>
          <w:t>'</w:t>
        </w:r>
      </w:hyperlink>
      <w:r w:rsidRPr="00323779">
        <w:rPr>
          <w:rFonts w:ascii="Calibri" w:hAnsi="Calibri"/>
          <w:rtl/>
        </w:rPr>
        <w:t xml:space="preserve"> </w:t>
      </w:r>
      <w:r w:rsidRPr="00323779">
        <w:rPr>
          <w:rFonts w:ascii="Calibri" w:hAnsi="Calibri" w:hint="eastAsia"/>
          <w:rtl/>
        </w:rPr>
        <w:t>לחוק</w:t>
      </w:r>
      <w:r w:rsidRPr="00323779">
        <w:rPr>
          <w:rFonts w:ascii="Calibri" w:hAnsi="Calibri"/>
          <w:rtl/>
        </w:rPr>
        <w:t xml:space="preserve"> </w:t>
      </w:r>
      <w:r w:rsidRPr="00323779">
        <w:rPr>
          <w:rFonts w:ascii="Calibri" w:hAnsi="Calibri" w:hint="eastAsia"/>
          <w:rtl/>
        </w:rPr>
        <w:t>העיקרון</w:t>
      </w:r>
      <w:r w:rsidRPr="00323779">
        <w:rPr>
          <w:rFonts w:ascii="Calibri" w:hAnsi="Calibri"/>
          <w:rtl/>
        </w:rPr>
        <w:t xml:space="preserve"> </w:t>
      </w:r>
      <w:r w:rsidRPr="00323779">
        <w:rPr>
          <w:rFonts w:ascii="Calibri" w:hAnsi="Calibri" w:hint="eastAsia"/>
          <w:rtl/>
        </w:rPr>
        <w:t>המנחה</w:t>
      </w:r>
      <w:r w:rsidRPr="00323779">
        <w:rPr>
          <w:rFonts w:ascii="Calibri" w:hAnsi="Calibri"/>
          <w:rtl/>
        </w:rPr>
        <w:t xml:space="preserve"> </w:t>
      </w:r>
      <w:r w:rsidRPr="00323779">
        <w:rPr>
          <w:rFonts w:ascii="Calibri" w:hAnsi="Calibri" w:hint="eastAsia"/>
          <w:rtl/>
        </w:rPr>
        <w:t>בענישה</w:t>
      </w:r>
      <w:r w:rsidRPr="00323779">
        <w:rPr>
          <w:rFonts w:ascii="Calibri" w:hAnsi="Calibri"/>
          <w:rtl/>
        </w:rPr>
        <w:t xml:space="preserve"> </w:t>
      </w:r>
      <w:r w:rsidRPr="00323779">
        <w:rPr>
          <w:rFonts w:ascii="Calibri" w:hAnsi="Calibri" w:hint="eastAsia"/>
          <w:rtl/>
        </w:rPr>
        <w:t>הוא</w:t>
      </w:r>
      <w:r w:rsidRPr="00323779">
        <w:rPr>
          <w:rFonts w:ascii="Calibri" w:hAnsi="Calibri"/>
          <w:rtl/>
        </w:rPr>
        <w:t xml:space="preserve"> </w:t>
      </w:r>
      <w:r w:rsidRPr="00323779">
        <w:rPr>
          <w:rFonts w:ascii="Calibri" w:hAnsi="Calibri" w:hint="eastAsia"/>
          <w:rtl/>
        </w:rPr>
        <w:t>הלימה</w:t>
      </w:r>
      <w:r w:rsidRPr="00323779">
        <w:rPr>
          <w:rFonts w:ascii="Calibri" w:hAnsi="Calibri"/>
          <w:rtl/>
        </w:rPr>
        <w:t xml:space="preserve">, </w:t>
      </w:r>
      <w:r w:rsidRPr="00323779">
        <w:rPr>
          <w:rFonts w:ascii="Calibri" w:hAnsi="Calibri" w:hint="eastAsia"/>
          <w:rtl/>
        </w:rPr>
        <w:t>קרי</w:t>
      </w:r>
      <w:r w:rsidRPr="00323779">
        <w:rPr>
          <w:rFonts w:ascii="Calibri" w:hAnsi="Calibri"/>
          <w:rtl/>
        </w:rPr>
        <w:t xml:space="preserve">: </w:t>
      </w:r>
      <w:r w:rsidRPr="00323779">
        <w:rPr>
          <w:rFonts w:ascii="Calibri" w:hAnsi="Calibri" w:hint="eastAsia"/>
          <w:rtl/>
        </w:rPr>
        <w:t>יחס</w:t>
      </w:r>
      <w:r w:rsidRPr="00323779">
        <w:rPr>
          <w:rFonts w:ascii="Calibri" w:hAnsi="Calibri"/>
          <w:rtl/>
        </w:rPr>
        <w:t xml:space="preserve"> </w:t>
      </w:r>
      <w:r w:rsidRPr="00323779">
        <w:rPr>
          <w:rFonts w:ascii="Calibri" w:hAnsi="Calibri" w:hint="eastAsia"/>
          <w:rtl/>
        </w:rPr>
        <w:t>הולם</w:t>
      </w:r>
      <w:r w:rsidRPr="00323779">
        <w:rPr>
          <w:rFonts w:ascii="Calibri" w:hAnsi="Calibri"/>
          <w:rtl/>
        </w:rPr>
        <w:t xml:space="preserve"> </w:t>
      </w:r>
      <w:r w:rsidRPr="00323779">
        <w:rPr>
          <w:rFonts w:ascii="Calibri" w:hAnsi="Calibri" w:hint="eastAsia"/>
          <w:rtl/>
        </w:rPr>
        <w:t>בין</w:t>
      </w:r>
      <w:r w:rsidRPr="00323779">
        <w:rPr>
          <w:rFonts w:ascii="Calibri" w:hAnsi="Calibri"/>
          <w:rtl/>
        </w:rPr>
        <w:t xml:space="preserve"> </w:t>
      </w:r>
      <w:r w:rsidRPr="00323779">
        <w:rPr>
          <w:rFonts w:ascii="Calibri" w:hAnsi="Calibri" w:hint="eastAsia"/>
          <w:rtl/>
        </w:rPr>
        <w:t>חומרת</w:t>
      </w:r>
      <w:r w:rsidRPr="00323779">
        <w:rPr>
          <w:rFonts w:ascii="Calibri" w:hAnsi="Calibri"/>
          <w:rtl/>
        </w:rPr>
        <w:t xml:space="preserve"> </w:t>
      </w:r>
      <w:r w:rsidRPr="00323779">
        <w:rPr>
          <w:rFonts w:ascii="Calibri" w:hAnsi="Calibri" w:hint="eastAsia"/>
          <w:rtl/>
        </w:rPr>
        <w:t>מעשה</w:t>
      </w:r>
      <w:r w:rsidRPr="00323779">
        <w:rPr>
          <w:rFonts w:ascii="Calibri" w:hAnsi="Calibri"/>
          <w:rtl/>
        </w:rPr>
        <w:t xml:space="preserve"> </w:t>
      </w:r>
      <w:r w:rsidRPr="00323779">
        <w:rPr>
          <w:rFonts w:ascii="Calibri" w:hAnsi="Calibri" w:hint="eastAsia"/>
          <w:rtl/>
        </w:rPr>
        <w:t>העבירה</w:t>
      </w:r>
      <w:r w:rsidRPr="00323779">
        <w:rPr>
          <w:rFonts w:ascii="Calibri" w:hAnsi="Calibri"/>
          <w:rtl/>
        </w:rPr>
        <w:t xml:space="preserve"> </w:t>
      </w:r>
      <w:r w:rsidRPr="00323779">
        <w:rPr>
          <w:rFonts w:ascii="Calibri" w:hAnsi="Calibri" w:hint="eastAsia"/>
          <w:rtl/>
        </w:rPr>
        <w:t>ונסיבותיו</w:t>
      </w:r>
      <w:r w:rsidRPr="00323779">
        <w:rPr>
          <w:rFonts w:ascii="Calibri" w:hAnsi="Calibri"/>
          <w:rtl/>
        </w:rPr>
        <w:t xml:space="preserve"> </w:t>
      </w:r>
      <w:r w:rsidRPr="00323779">
        <w:rPr>
          <w:rFonts w:ascii="Calibri" w:hAnsi="Calibri" w:hint="eastAsia"/>
          <w:rtl/>
        </w:rPr>
        <w:t>ומידת</w:t>
      </w:r>
      <w:r w:rsidRPr="00323779">
        <w:rPr>
          <w:rFonts w:ascii="Calibri" w:hAnsi="Calibri"/>
          <w:rtl/>
        </w:rPr>
        <w:t xml:space="preserve"> </w:t>
      </w:r>
      <w:r w:rsidRPr="00323779">
        <w:rPr>
          <w:rFonts w:ascii="Calibri" w:hAnsi="Calibri" w:hint="eastAsia"/>
          <w:rtl/>
        </w:rPr>
        <w:t>אשמו</w:t>
      </w:r>
      <w:r w:rsidRPr="00323779">
        <w:rPr>
          <w:rFonts w:ascii="Calibri" w:hAnsi="Calibri"/>
          <w:rtl/>
        </w:rPr>
        <w:t xml:space="preserve"> </w:t>
      </w:r>
      <w:r w:rsidRPr="00323779">
        <w:rPr>
          <w:rFonts w:ascii="Calibri" w:hAnsi="Calibri" w:hint="eastAsia"/>
          <w:rtl/>
        </w:rPr>
        <w:t>של</w:t>
      </w:r>
      <w:r w:rsidRPr="00323779">
        <w:rPr>
          <w:rFonts w:ascii="Calibri" w:hAnsi="Calibri"/>
          <w:rtl/>
        </w:rPr>
        <w:t xml:space="preserve"> </w:t>
      </w:r>
      <w:r w:rsidRPr="00323779">
        <w:rPr>
          <w:rFonts w:ascii="Calibri" w:hAnsi="Calibri" w:hint="eastAsia"/>
          <w:rtl/>
        </w:rPr>
        <w:t>הנאשם</w:t>
      </w:r>
      <w:r w:rsidRPr="00323779">
        <w:rPr>
          <w:rFonts w:ascii="Calibri" w:hAnsi="Calibri"/>
          <w:rtl/>
        </w:rPr>
        <w:t xml:space="preserve">, </w:t>
      </w:r>
      <w:r w:rsidRPr="00323779">
        <w:rPr>
          <w:rFonts w:ascii="Calibri" w:hAnsi="Calibri" w:hint="eastAsia"/>
          <w:rtl/>
        </w:rPr>
        <w:t>לבין</w:t>
      </w:r>
      <w:r w:rsidRPr="00323779">
        <w:rPr>
          <w:rFonts w:ascii="Calibri" w:hAnsi="Calibri"/>
          <w:rtl/>
        </w:rPr>
        <w:t xml:space="preserve"> </w:t>
      </w:r>
      <w:r w:rsidRPr="00323779">
        <w:rPr>
          <w:rFonts w:ascii="Calibri" w:hAnsi="Calibri" w:hint="eastAsia"/>
          <w:rtl/>
        </w:rPr>
        <w:t>סוג</w:t>
      </w:r>
      <w:r w:rsidRPr="00323779">
        <w:rPr>
          <w:rFonts w:ascii="Calibri" w:hAnsi="Calibri"/>
          <w:rtl/>
        </w:rPr>
        <w:t xml:space="preserve"> </w:t>
      </w:r>
      <w:r w:rsidRPr="00323779">
        <w:rPr>
          <w:rFonts w:ascii="Calibri" w:hAnsi="Calibri" w:hint="eastAsia"/>
          <w:rtl/>
        </w:rPr>
        <w:t>ומידת</w:t>
      </w:r>
      <w:r w:rsidRPr="00323779">
        <w:rPr>
          <w:rFonts w:ascii="Calibri" w:hAnsi="Calibri"/>
          <w:rtl/>
        </w:rPr>
        <w:t xml:space="preserve"> </w:t>
      </w:r>
      <w:r w:rsidRPr="00323779">
        <w:rPr>
          <w:rFonts w:ascii="Calibri" w:hAnsi="Calibri" w:hint="eastAsia"/>
          <w:rtl/>
        </w:rPr>
        <w:t>העונש</w:t>
      </w:r>
      <w:r w:rsidRPr="00323779">
        <w:rPr>
          <w:rFonts w:ascii="Calibri" w:hAnsi="Calibri"/>
          <w:rtl/>
        </w:rPr>
        <w:t xml:space="preserve"> </w:t>
      </w:r>
      <w:r w:rsidRPr="00323779">
        <w:rPr>
          <w:rFonts w:ascii="Calibri" w:hAnsi="Calibri" w:hint="eastAsia"/>
          <w:rtl/>
        </w:rPr>
        <w:t>המוטל</w:t>
      </w:r>
      <w:r w:rsidRPr="00323779">
        <w:rPr>
          <w:rFonts w:ascii="Calibri" w:hAnsi="Calibri"/>
          <w:rtl/>
        </w:rPr>
        <w:t xml:space="preserve"> </w:t>
      </w:r>
      <w:r w:rsidRPr="00323779">
        <w:rPr>
          <w:rFonts w:ascii="Calibri" w:hAnsi="Calibri" w:hint="eastAsia"/>
          <w:rtl/>
        </w:rPr>
        <w:t>עליו</w:t>
      </w:r>
      <w:r w:rsidRPr="00323779">
        <w:rPr>
          <w:rFonts w:ascii="Calibri" w:hAnsi="Calibri"/>
          <w:rtl/>
        </w:rPr>
        <w:t xml:space="preserve">. </w:t>
      </w:r>
      <w:r w:rsidRPr="00323779">
        <w:rPr>
          <w:rFonts w:ascii="Calibri" w:hAnsi="Calibri" w:hint="eastAsia"/>
          <w:rtl/>
        </w:rPr>
        <w:t>בקביעת</w:t>
      </w:r>
      <w:r w:rsidRPr="00323779">
        <w:rPr>
          <w:rFonts w:ascii="Calibri" w:hAnsi="Calibri"/>
          <w:rtl/>
        </w:rPr>
        <w:t xml:space="preserve"> </w:t>
      </w:r>
      <w:r w:rsidRPr="00323779">
        <w:rPr>
          <w:rFonts w:ascii="Calibri" w:hAnsi="Calibri" w:hint="eastAsia"/>
          <w:rtl/>
        </w:rPr>
        <w:t>מתחם</w:t>
      </w:r>
      <w:r w:rsidRPr="00323779">
        <w:rPr>
          <w:rFonts w:ascii="Calibri" w:hAnsi="Calibri"/>
          <w:rtl/>
        </w:rPr>
        <w:t xml:space="preserve"> </w:t>
      </w:r>
      <w:r w:rsidRPr="00323779">
        <w:rPr>
          <w:rFonts w:ascii="Calibri" w:hAnsi="Calibri" w:hint="eastAsia"/>
          <w:rtl/>
        </w:rPr>
        <w:t>העונש</w:t>
      </w:r>
      <w:r w:rsidRPr="00323779">
        <w:rPr>
          <w:rFonts w:ascii="Calibri" w:hAnsi="Calibri"/>
          <w:rtl/>
        </w:rPr>
        <w:t xml:space="preserve"> </w:t>
      </w:r>
      <w:r w:rsidRPr="00323779">
        <w:rPr>
          <w:rFonts w:ascii="Calibri" w:hAnsi="Calibri" w:hint="eastAsia"/>
          <w:rtl/>
        </w:rPr>
        <w:t>ההולם</w:t>
      </w:r>
      <w:r w:rsidRPr="00323779">
        <w:rPr>
          <w:rFonts w:ascii="Calibri" w:hAnsi="Calibri"/>
          <w:rtl/>
        </w:rPr>
        <w:t xml:space="preserve">, </w:t>
      </w:r>
      <w:r w:rsidRPr="00323779">
        <w:rPr>
          <w:rFonts w:ascii="Calibri" w:hAnsi="Calibri" w:hint="eastAsia"/>
          <w:rtl/>
        </w:rPr>
        <w:t>על</w:t>
      </w:r>
      <w:r w:rsidRPr="00323779">
        <w:rPr>
          <w:rFonts w:ascii="Calibri" w:hAnsi="Calibri"/>
          <w:rtl/>
        </w:rPr>
        <w:t xml:space="preserve"> </w:t>
      </w:r>
      <w:r w:rsidRPr="00323779">
        <w:rPr>
          <w:rFonts w:ascii="Calibri" w:hAnsi="Calibri" w:hint="eastAsia"/>
          <w:rtl/>
        </w:rPr>
        <w:t>בית</w:t>
      </w:r>
      <w:r w:rsidRPr="00323779">
        <w:rPr>
          <w:rFonts w:ascii="Calibri" w:hAnsi="Calibri"/>
          <w:rtl/>
        </w:rPr>
        <w:t xml:space="preserve"> </w:t>
      </w:r>
      <w:r w:rsidRPr="00323779">
        <w:rPr>
          <w:rFonts w:ascii="Calibri" w:hAnsi="Calibri" w:hint="eastAsia"/>
          <w:rtl/>
        </w:rPr>
        <w:t>המשפט</w:t>
      </w:r>
      <w:r w:rsidRPr="00323779">
        <w:rPr>
          <w:rFonts w:ascii="Calibri" w:hAnsi="Calibri"/>
          <w:rtl/>
        </w:rPr>
        <w:t xml:space="preserve"> </w:t>
      </w:r>
      <w:r w:rsidRPr="00323779">
        <w:rPr>
          <w:rFonts w:ascii="Calibri" w:hAnsi="Calibri" w:hint="eastAsia"/>
          <w:rtl/>
        </w:rPr>
        <w:t>להתחשב</w:t>
      </w:r>
      <w:r w:rsidRPr="00323779">
        <w:rPr>
          <w:rFonts w:ascii="Calibri" w:hAnsi="Calibri"/>
          <w:rtl/>
        </w:rPr>
        <w:t xml:space="preserve"> </w:t>
      </w:r>
      <w:r w:rsidRPr="00323779">
        <w:rPr>
          <w:rFonts w:ascii="Calibri" w:hAnsi="Calibri" w:hint="eastAsia"/>
          <w:rtl/>
        </w:rPr>
        <w:t>בערך</w:t>
      </w:r>
      <w:r w:rsidRPr="00323779">
        <w:rPr>
          <w:rFonts w:ascii="Calibri" w:hAnsi="Calibri"/>
          <w:rtl/>
        </w:rPr>
        <w:t xml:space="preserve"> </w:t>
      </w:r>
      <w:r w:rsidRPr="00323779">
        <w:rPr>
          <w:rFonts w:ascii="Calibri" w:hAnsi="Calibri" w:hint="eastAsia"/>
          <w:rtl/>
        </w:rPr>
        <w:t>החברתי</w:t>
      </w:r>
      <w:r w:rsidRPr="00323779">
        <w:rPr>
          <w:rFonts w:ascii="Calibri" w:hAnsi="Calibri"/>
          <w:rtl/>
        </w:rPr>
        <w:t xml:space="preserve"> </w:t>
      </w:r>
      <w:r w:rsidRPr="00323779">
        <w:rPr>
          <w:rFonts w:ascii="Calibri" w:hAnsi="Calibri" w:hint="eastAsia"/>
          <w:rtl/>
        </w:rPr>
        <w:t>שנפגע</w:t>
      </w:r>
      <w:r w:rsidRPr="00323779">
        <w:rPr>
          <w:rFonts w:ascii="Calibri" w:hAnsi="Calibri"/>
          <w:rtl/>
        </w:rPr>
        <w:t xml:space="preserve">, </w:t>
      </w:r>
      <w:r w:rsidRPr="00323779">
        <w:rPr>
          <w:rFonts w:ascii="Calibri" w:hAnsi="Calibri" w:hint="eastAsia"/>
          <w:rtl/>
        </w:rPr>
        <w:t>במידת</w:t>
      </w:r>
      <w:r w:rsidRPr="00323779">
        <w:rPr>
          <w:rFonts w:ascii="Calibri" w:hAnsi="Calibri"/>
          <w:rtl/>
        </w:rPr>
        <w:t xml:space="preserve"> </w:t>
      </w:r>
      <w:r w:rsidRPr="00323779">
        <w:rPr>
          <w:rFonts w:ascii="Calibri" w:hAnsi="Calibri" w:hint="eastAsia"/>
          <w:rtl/>
        </w:rPr>
        <w:t>הפגיעה</w:t>
      </w:r>
      <w:r w:rsidRPr="00323779">
        <w:rPr>
          <w:rFonts w:ascii="Calibri" w:hAnsi="Calibri"/>
          <w:rtl/>
        </w:rPr>
        <w:t xml:space="preserve"> </w:t>
      </w:r>
      <w:r w:rsidRPr="00323779">
        <w:rPr>
          <w:rFonts w:ascii="Calibri" w:hAnsi="Calibri" w:hint="eastAsia"/>
          <w:rtl/>
        </w:rPr>
        <w:t>בו</w:t>
      </w:r>
      <w:r w:rsidRPr="00323779">
        <w:rPr>
          <w:rFonts w:ascii="Calibri" w:hAnsi="Calibri"/>
          <w:rtl/>
        </w:rPr>
        <w:t xml:space="preserve">, </w:t>
      </w:r>
      <w:r w:rsidRPr="00323779">
        <w:rPr>
          <w:rFonts w:ascii="Calibri" w:hAnsi="Calibri" w:hint="eastAsia"/>
          <w:rtl/>
        </w:rPr>
        <w:t>במדיניות</w:t>
      </w:r>
      <w:r w:rsidRPr="00323779">
        <w:rPr>
          <w:rFonts w:ascii="Calibri" w:hAnsi="Calibri"/>
          <w:rtl/>
        </w:rPr>
        <w:t xml:space="preserve"> </w:t>
      </w:r>
      <w:r w:rsidRPr="00323779">
        <w:rPr>
          <w:rFonts w:ascii="Calibri" w:hAnsi="Calibri" w:hint="eastAsia"/>
          <w:rtl/>
        </w:rPr>
        <w:t>הענישה</w:t>
      </w:r>
      <w:r w:rsidRPr="00323779">
        <w:rPr>
          <w:rFonts w:ascii="Calibri" w:hAnsi="Calibri"/>
          <w:rtl/>
        </w:rPr>
        <w:t xml:space="preserve"> </w:t>
      </w:r>
      <w:r w:rsidRPr="00323779">
        <w:rPr>
          <w:rFonts w:ascii="Calibri" w:hAnsi="Calibri" w:hint="eastAsia"/>
          <w:rtl/>
        </w:rPr>
        <w:t>הנהוגה</w:t>
      </w:r>
      <w:r w:rsidRPr="00323779">
        <w:rPr>
          <w:rFonts w:ascii="Calibri" w:hAnsi="Calibri"/>
          <w:rtl/>
        </w:rPr>
        <w:t xml:space="preserve"> </w:t>
      </w:r>
      <w:r w:rsidRPr="00323779">
        <w:rPr>
          <w:rFonts w:ascii="Calibri" w:hAnsi="Calibri" w:hint="eastAsia"/>
          <w:rtl/>
        </w:rPr>
        <w:t>ובנסיבות</w:t>
      </w:r>
      <w:r w:rsidRPr="00323779">
        <w:rPr>
          <w:rFonts w:ascii="Calibri" w:hAnsi="Calibri"/>
          <w:rtl/>
        </w:rPr>
        <w:t xml:space="preserve"> </w:t>
      </w:r>
      <w:r w:rsidRPr="00323779">
        <w:rPr>
          <w:rFonts w:ascii="Calibri" w:hAnsi="Calibri" w:hint="eastAsia"/>
          <w:rtl/>
        </w:rPr>
        <w:t>הקשורות</w:t>
      </w:r>
      <w:r w:rsidRPr="00323779">
        <w:rPr>
          <w:rFonts w:ascii="Calibri" w:hAnsi="Calibri"/>
          <w:rtl/>
        </w:rPr>
        <w:t xml:space="preserve"> </w:t>
      </w:r>
      <w:r w:rsidRPr="00323779">
        <w:rPr>
          <w:rFonts w:ascii="Calibri" w:hAnsi="Calibri" w:hint="eastAsia"/>
          <w:rtl/>
        </w:rPr>
        <w:t>לביצוע</w:t>
      </w:r>
      <w:r w:rsidRPr="00323779">
        <w:rPr>
          <w:rFonts w:ascii="Calibri" w:hAnsi="Calibri"/>
          <w:rtl/>
        </w:rPr>
        <w:t xml:space="preserve"> </w:t>
      </w:r>
      <w:r w:rsidRPr="00323779">
        <w:rPr>
          <w:rFonts w:ascii="Calibri" w:hAnsi="Calibri" w:hint="eastAsia"/>
          <w:rtl/>
        </w:rPr>
        <w:t>העבירה</w:t>
      </w:r>
      <w:r w:rsidRPr="00323779">
        <w:rPr>
          <w:rFonts w:ascii="Calibri" w:hAnsi="Calibri"/>
          <w:rtl/>
        </w:rPr>
        <w:t>.</w:t>
      </w:r>
    </w:p>
    <w:p w14:paraId="25F16269" w14:textId="77777777" w:rsidR="00D67BBA" w:rsidRPr="007A2254" w:rsidRDefault="00D67BBA" w:rsidP="00D67BBA">
      <w:pPr>
        <w:spacing w:line="360" w:lineRule="auto"/>
        <w:ind w:left="360"/>
        <w:jc w:val="both"/>
        <w:rPr>
          <w:rFonts w:ascii="Calibri" w:hAnsi="Calibri"/>
          <w:sz w:val="12"/>
          <w:szCs w:val="12"/>
        </w:rPr>
      </w:pPr>
      <w:r w:rsidRPr="007A2254">
        <w:rPr>
          <w:rFonts w:ascii="Calibri" w:hAnsi="Calibri"/>
          <w:rtl/>
        </w:rPr>
        <w:t xml:space="preserve"> </w:t>
      </w:r>
    </w:p>
    <w:p w14:paraId="38590E57" w14:textId="77777777" w:rsidR="00D67BBA" w:rsidRDefault="00D67BBA" w:rsidP="00D67BBA">
      <w:pPr>
        <w:pStyle w:val="ListParagraph"/>
        <w:numPr>
          <w:ilvl w:val="0"/>
          <w:numId w:val="1"/>
        </w:numPr>
        <w:spacing w:line="360" w:lineRule="auto"/>
        <w:jc w:val="both"/>
        <w:rPr>
          <w:b/>
          <w:bCs/>
          <w:u w:val="single"/>
        </w:rPr>
      </w:pPr>
      <w:r w:rsidRPr="00323779">
        <w:rPr>
          <w:rFonts w:ascii="Calibri" w:hAnsi="Calibri" w:hint="eastAsia"/>
          <w:rtl/>
        </w:rPr>
        <w:t>במקרה</w:t>
      </w:r>
      <w:r w:rsidRPr="00323779">
        <w:rPr>
          <w:rFonts w:ascii="Calibri" w:hAnsi="Calibri"/>
          <w:rtl/>
        </w:rPr>
        <w:t xml:space="preserve"> </w:t>
      </w:r>
      <w:r w:rsidRPr="00323779">
        <w:rPr>
          <w:rFonts w:ascii="Calibri" w:hAnsi="Calibri" w:hint="eastAsia"/>
          <w:rtl/>
        </w:rPr>
        <w:t>דנן</w:t>
      </w:r>
      <w:r w:rsidRPr="00323779">
        <w:rPr>
          <w:rFonts w:ascii="Calibri" w:hAnsi="Calibri"/>
          <w:rtl/>
        </w:rPr>
        <w:t xml:space="preserve">, </w:t>
      </w:r>
      <w:r w:rsidRPr="00323779">
        <w:rPr>
          <w:rFonts w:ascii="Calibri" w:hAnsi="Calibri" w:hint="eastAsia"/>
          <w:rtl/>
        </w:rPr>
        <w:t>הערך</w:t>
      </w:r>
      <w:r w:rsidRPr="00323779">
        <w:rPr>
          <w:rFonts w:ascii="Calibri" w:hAnsi="Calibri"/>
          <w:rtl/>
        </w:rPr>
        <w:t xml:space="preserve"> </w:t>
      </w:r>
      <w:r w:rsidRPr="00323779">
        <w:rPr>
          <w:rFonts w:ascii="Calibri" w:hAnsi="Calibri" w:hint="eastAsia"/>
          <w:rtl/>
        </w:rPr>
        <w:t>החברתי</w:t>
      </w:r>
      <w:r w:rsidRPr="00323779">
        <w:rPr>
          <w:rFonts w:ascii="Calibri" w:hAnsi="Calibri"/>
          <w:rtl/>
        </w:rPr>
        <w:t xml:space="preserve"> </w:t>
      </w:r>
      <w:r w:rsidRPr="00323779">
        <w:rPr>
          <w:rFonts w:ascii="Calibri" w:hAnsi="Calibri" w:hint="eastAsia"/>
          <w:rtl/>
        </w:rPr>
        <w:t>אשר</w:t>
      </w:r>
      <w:r w:rsidRPr="00323779">
        <w:rPr>
          <w:rFonts w:ascii="Calibri" w:hAnsi="Calibri"/>
          <w:rtl/>
        </w:rPr>
        <w:t xml:space="preserve"> </w:t>
      </w:r>
      <w:r w:rsidRPr="00323779">
        <w:rPr>
          <w:rFonts w:ascii="Calibri" w:hAnsi="Calibri" w:hint="eastAsia"/>
          <w:rtl/>
        </w:rPr>
        <w:t>נפגע</w:t>
      </w:r>
      <w:r w:rsidRPr="00323779">
        <w:rPr>
          <w:rFonts w:ascii="Calibri" w:hAnsi="Calibri"/>
          <w:rtl/>
        </w:rPr>
        <w:t xml:space="preserve"> </w:t>
      </w:r>
      <w:r w:rsidRPr="00323779">
        <w:rPr>
          <w:rFonts w:ascii="Calibri" w:hAnsi="Calibri" w:hint="eastAsia"/>
          <w:rtl/>
        </w:rPr>
        <w:t>על</w:t>
      </w:r>
      <w:r w:rsidRPr="00323779">
        <w:rPr>
          <w:rFonts w:ascii="Calibri" w:hAnsi="Calibri"/>
          <w:rtl/>
        </w:rPr>
        <w:t xml:space="preserve"> </w:t>
      </w:r>
      <w:r w:rsidRPr="00323779">
        <w:rPr>
          <w:rFonts w:ascii="Calibri" w:hAnsi="Calibri" w:hint="eastAsia"/>
          <w:rtl/>
        </w:rPr>
        <w:t>ידי</w:t>
      </w:r>
      <w:r w:rsidRPr="00323779">
        <w:rPr>
          <w:rFonts w:ascii="Calibri" w:hAnsi="Calibri"/>
          <w:rtl/>
        </w:rPr>
        <w:t xml:space="preserve"> </w:t>
      </w:r>
      <w:r w:rsidRPr="00323779">
        <w:rPr>
          <w:rFonts w:ascii="Calibri" w:hAnsi="Calibri" w:hint="eastAsia"/>
          <w:rtl/>
        </w:rPr>
        <w:t>ביצוע</w:t>
      </w:r>
      <w:r w:rsidRPr="00323779">
        <w:rPr>
          <w:rFonts w:ascii="Calibri" w:hAnsi="Calibri"/>
          <w:rtl/>
        </w:rPr>
        <w:t xml:space="preserve"> </w:t>
      </w:r>
      <w:r w:rsidRPr="00323779">
        <w:rPr>
          <w:rFonts w:ascii="Calibri" w:hAnsi="Calibri" w:hint="eastAsia"/>
          <w:rtl/>
        </w:rPr>
        <w:t>עביר</w:t>
      </w:r>
      <w:r>
        <w:rPr>
          <w:rFonts w:ascii="Calibri" w:hAnsi="Calibri" w:hint="cs"/>
          <w:rtl/>
        </w:rPr>
        <w:t>ו</w:t>
      </w:r>
      <w:r w:rsidRPr="00323779">
        <w:rPr>
          <w:rFonts w:ascii="Calibri" w:hAnsi="Calibri" w:hint="eastAsia"/>
          <w:rtl/>
        </w:rPr>
        <w:t>ת</w:t>
      </w:r>
      <w:r w:rsidRPr="00323779">
        <w:rPr>
          <w:rFonts w:ascii="Calibri" w:hAnsi="Calibri"/>
          <w:rtl/>
        </w:rPr>
        <w:t xml:space="preserve"> </w:t>
      </w:r>
      <w:r w:rsidRPr="00323779">
        <w:rPr>
          <w:rFonts w:ascii="Calibri" w:hAnsi="Calibri" w:hint="eastAsia"/>
          <w:rtl/>
        </w:rPr>
        <w:t>התקיפה</w:t>
      </w:r>
      <w:r w:rsidRPr="00323779">
        <w:rPr>
          <w:rFonts w:ascii="Calibri" w:hAnsi="Calibri"/>
          <w:rtl/>
        </w:rPr>
        <w:t xml:space="preserve"> </w:t>
      </w:r>
      <w:r w:rsidRPr="00323779">
        <w:rPr>
          <w:rFonts w:ascii="Calibri" w:hAnsi="Calibri" w:hint="eastAsia"/>
          <w:rtl/>
        </w:rPr>
        <w:t>הוא</w:t>
      </w:r>
      <w:r w:rsidRPr="00323779">
        <w:rPr>
          <w:rFonts w:ascii="Calibri" w:hAnsi="Calibri"/>
          <w:rtl/>
        </w:rPr>
        <w:t xml:space="preserve"> </w:t>
      </w:r>
      <w:r w:rsidRPr="00323779">
        <w:rPr>
          <w:rFonts w:ascii="Calibri" w:hAnsi="Calibri" w:hint="eastAsia"/>
          <w:rtl/>
        </w:rPr>
        <w:t>זכותו</w:t>
      </w:r>
      <w:r w:rsidRPr="00323779">
        <w:rPr>
          <w:rFonts w:ascii="Calibri" w:hAnsi="Calibri"/>
          <w:rtl/>
        </w:rPr>
        <w:t xml:space="preserve"> </w:t>
      </w:r>
      <w:r w:rsidRPr="00323779">
        <w:rPr>
          <w:rFonts w:ascii="Calibri" w:hAnsi="Calibri" w:hint="eastAsia"/>
          <w:rtl/>
        </w:rPr>
        <w:t>של</w:t>
      </w:r>
      <w:r w:rsidRPr="00323779">
        <w:rPr>
          <w:rFonts w:ascii="Calibri" w:hAnsi="Calibri"/>
          <w:rtl/>
        </w:rPr>
        <w:t xml:space="preserve"> </w:t>
      </w:r>
      <w:r w:rsidRPr="00323779">
        <w:rPr>
          <w:rFonts w:ascii="Calibri" w:hAnsi="Calibri" w:hint="eastAsia"/>
          <w:rtl/>
        </w:rPr>
        <w:t>כל</w:t>
      </w:r>
      <w:r w:rsidRPr="00323779">
        <w:rPr>
          <w:rFonts w:ascii="Calibri" w:hAnsi="Calibri"/>
          <w:rtl/>
        </w:rPr>
        <w:t xml:space="preserve"> </w:t>
      </w:r>
      <w:r w:rsidRPr="00323779">
        <w:rPr>
          <w:rFonts w:ascii="Calibri" w:hAnsi="Calibri" w:hint="eastAsia"/>
          <w:rtl/>
        </w:rPr>
        <w:t>אדם</w:t>
      </w:r>
      <w:r w:rsidRPr="00323779">
        <w:rPr>
          <w:rFonts w:ascii="Calibri" w:hAnsi="Calibri"/>
          <w:rtl/>
        </w:rPr>
        <w:t xml:space="preserve"> </w:t>
      </w:r>
      <w:r w:rsidRPr="00323779">
        <w:rPr>
          <w:rFonts w:ascii="Calibri" w:hAnsi="Calibri" w:hint="eastAsia"/>
          <w:rtl/>
        </w:rPr>
        <w:t>לשמירה</w:t>
      </w:r>
      <w:r w:rsidRPr="00323779">
        <w:rPr>
          <w:rFonts w:ascii="Calibri" w:hAnsi="Calibri"/>
          <w:rtl/>
        </w:rPr>
        <w:t xml:space="preserve"> </w:t>
      </w:r>
      <w:r w:rsidRPr="00323779">
        <w:rPr>
          <w:rFonts w:ascii="Calibri" w:hAnsi="Calibri" w:hint="eastAsia"/>
          <w:rtl/>
        </w:rPr>
        <w:t>על</w:t>
      </w:r>
      <w:r w:rsidRPr="00323779">
        <w:rPr>
          <w:rFonts w:ascii="Calibri" w:hAnsi="Calibri"/>
          <w:rtl/>
        </w:rPr>
        <w:t xml:space="preserve"> </w:t>
      </w:r>
      <w:r w:rsidRPr="00323779">
        <w:rPr>
          <w:rFonts w:ascii="Calibri" w:hAnsi="Calibri" w:hint="eastAsia"/>
          <w:rtl/>
        </w:rPr>
        <w:t>בטחונו</w:t>
      </w:r>
      <w:r w:rsidRPr="00323779">
        <w:rPr>
          <w:rFonts w:ascii="Calibri" w:hAnsi="Calibri"/>
          <w:rtl/>
        </w:rPr>
        <w:t xml:space="preserve"> </w:t>
      </w:r>
      <w:r w:rsidRPr="00323779">
        <w:rPr>
          <w:rFonts w:ascii="Calibri" w:hAnsi="Calibri" w:hint="eastAsia"/>
          <w:rtl/>
        </w:rPr>
        <w:t>האישי</w:t>
      </w:r>
      <w:r w:rsidRPr="00323779">
        <w:rPr>
          <w:rFonts w:ascii="Calibri" w:hAnsi="Calibri"/>
          <w:rtl/>
        </w:rPr>
        <w:t xml:space="preserve"> </w:t>
      </w:r>
      <w:r w:rsidRPr="00323779">
        <w:rPr>
          <w:rFonts w:ascii="Calibri" w:hAnsi="Calibri" w:hint="eastAsia"/>
          <w:rtl/>
        </w:rPr>
        <w:t>ועל</w:t>
      </w:r>
      <w:r w:rsidRPr="00323779">
        <w:rPr>
          <w:rFonts w:ascii="Calibri" w:hAnsi="Calibri"/>
          <w:rtl/>
        </w:rPr>
        <w:t xml:space="preserve"> </w:t>
      </w:r>
      <w:r w:rsidRPr="00323779">
        <w:rPr>
          <w:rFonts w:ascii="Calibri" w:hAnsi="Calibri" w:hint="eastAsia"/>
          <w:rtl/>
        </w:rPr>
        <w:t>שלמות</w:t>
      </w:r>
      <w:r w:rsidRPr="00323779">
        <w:rPr>
          <w:rFonts w:ascii="Calibri" w:hAnsi="Calibri"/>
          <w:rtl/>
        </w:rPr>
        <w:t xml:space="preserve"> </w:t>
      </w:r>
      <w:r w:rsidRPr="00323779">
        <w:rPr>
          <w:rFonts w:ascii="Calibri" w:hAnsi="Calibri" w:hint="eastAsia"/>
          <w:rtl/>
        </w:rPr>
        <w:t>גופו</w:t>
      </w:r>
      <w:r w:rsidRPr="00323779">
        <w:rPr>
          <w:rFonts w:ascii="Calibri" w:hAnsi="Calibri"/>
          <w:rtl/>
        </w:rPr>
        <w:t xml:space="preserve">. </w:t>
      </w:r>
      <w:r w:rsidRPr="00323779">
        <w:rPr>
          <w:rFonts w:ascii="Calibri" w:hAnsi="Calibri" w:hint="eastAsia"/>
          <w:rtl/>
        </w:rPr>
        <w:t>ערך</w:t>
      </w:r>
      <w:r w:rsidRPr="00323779">
        <w:rPr>
          <w:rFonts w:ascii="Calibri" w:hAnsi="Calibri"/>
          <w:rtl/>
        </w:rPr>
        <w:t xml:space="preserve"> </w:t>
      </w:r>
      <w:r w:rsidRPr="00323779">
        <w:rPr>
          <w:rFonts w:ascii="Calibri" w:hAnsi="Calibri" w:hint="eastAsia"/>
          <w:rtl/>
        </w:rPr>
        <w:t>זה</w:t>
      </w:r>
      <w:r w:rsidRPr="00323779">
        <w:rPr>
          <w:rFonts w:ascii="Calibri" w:hAnsi="Calibri"/>
          <w:rtl/>
        </w:rPr>
        <w:t xml:space="preserve"> </w:t>
      </w:r>
      <w:r w:rsidRPr="00323779">
        <w:rPr>
          <w:rFonts w:ascii="Calibri" w:hAnsi="Calibri" w:hint="eastAsia"/>
          <w:rtl/>
        </w:rPr>
        <w:t>הוא</w:t>
      </w:r>
      <w:r w:rsidRPr="00323779">
        <w:rPr>
          <w:rFonts w:ascii="Calibri" w:hAnsi="Calibri"/>
          <w:rtl/>
        </w:rPr>
        <w:t xml:space="preserve"> </w:t>
      </w:r>
      <w:r w:rsidRPr="00323779">
        <w:rPr>
          <w:rFonts w:ascii="Calibri" w:hAnsi="Calibri" w:hint="eastAsia"/>
          <w:rtl/>
        </w:rPr>
        <w:t>מהחשובים</w:t>
      </w:r>
      <w:r w:rsidRPr="00323779">
        <w:rPr>
          <w:rFonts w:ascii="Calibri" w:hAnsi="Calibri"/>
          <w:rtl/>
        </w:rPr>
        <w:t xml:space="preserve"> </w:t>
      </w:r>
      <w:r w:rsidRPr="00323779">
        <w:rPr>
          <w:rFonts w:ascii="Calibri" w:hAnsi="Calibri" w:hint="eastAsia"/>
          <w:rtl/>
        </w:rPr>
        <w:t>במארג</w:t>
      </w:r>
      <w:r w:rsidRPr="00323779">
        <w:rPr>
          <w:rFonts w:ascii="Calibri" w:hAnsi="Calibri"/>
          <w:rtl/>
        </w:rPr>
        <w:t xml:space="preserve"> </w:t>
      </w:r>
      <w:r w:rsidRPr="00323779">
        <w:rPr>
          <w:rFonts w:ascii="Calibri" w:hAnsi="Calibri" w:hint="eastAsia"/>
          <w:rtl/>
        </w:rPr>
        <w:t>הערכים</w:t>
      </w:r>
      <w:r w:rsidRPr="00323779">
        <w:rPr>
          <w:rFonts w:ascii="Calibri" w:hAnsi="Calibri"/>
          <w:rtl/>
        </w:rPr>
        <w:t xml:space="preserve"> </w:t>
      </w:r>
      <w:r w:rsidRPr="00323779">
        <w:rPr>
          <w:rFonts w:ascii="Calibri" w:hAnsi="Calibri" w:hint="eastAsia"/>
          <w:rtl/>
        </w:rPr>
        <w:t>החברתי</w:t>
      </w:r>
      <w:r w:rsidRPr="00323779">
        <w:rPr>
          <w:rFonts w:ascii="Calibri" w:hAnsi="Calibri"/>
          <w:rtl/>
        </w:rPr>
        <w:t>.</w:t>
      </w:r>
    </w:p>
    <w:p w14:paraId="4B880249" w14:textId="77777777" w:rsidR="00D67BBA" w:rsidRPr="001D5F0A" w:rsidRDefault="00D67BBA" w:rsidP="00D67BBA">
      <w:pPr>
        <w:pStyle w:val="ListParagraph"/>
        <w:numPr>
          <w:ilvl w:val="0"/>
          <w:numId w:val="1"/>
        </w:numPr>
        <w:spacing w:line="360" w:lineRule="auto"/>
        <w:jc w:val="both"/>
        <w:rPr>
          <w:sz w:val="12"/>
          <w:szCs w:val="12"/>
        </w:rPr>
      </w:pPr>
      <w:r w:rsidRPr="001D5F0A">
        <w:rPr>
          <w:rFonts w:ascii="Arial" w:hAnsi="Arial"/>
          <w:rtl/>
        </w:rPr>
        <w:t xml:space="preserve">בעת קביעת מתחם העונש ההולם, על בית המשפט להתחשב בנסיבות ביצוע העבירה, בכך </w:t>
      </w:r>
      <w:r w:rsidRPr="001D5F0A">
        <w:rPr>
          <w:rFonts w:ascii="Arial" w:hAnsi="Arial" w:hint="cs"/>
          <w:rtl/>
        </w:rPr>
        <w:t xml:space="preserve">שאין מדובר </w:t>
      </w:r>
      <w:r w:rsidRPr="001D5F0A">
        <w:rPr>
          <w:rFonts w:ascii="Arial" w:hAnsi="Arial"/>
          <w:rtl/>
        </w:rPr>
        <w:t>באירוע</w:t>
      </w:r>
      <w:r w:rsidRPr="001D5F0A">
        <w:rPr>
          <w:rFonts w:ascii="Arial" w:hAnsi="Arial" w:hint="cs"/>
          <w:rtl/>
        </w:rPr>
        <w:t>ים</w:t>
      </w:r>
      <w:r w:rsidRPr="001D5F0A">
        <w:rPr>
          <w:rFonts w:ascii="Arial" w:hAnsi="Arial"/>
          <w:rtl/>
        </w:rPr>
        <w:t xml:space="preserve"> מתוכנ</w:t>
      </w:r>
      <w:r w:rsidRPr="001D5F0A">
        <w:rPr>
          <w:rFonts w:ascii="Arial" w:hAnsi="Arial" w:hint="cs"/>
          <w:rtl/>
        </w:rPr>
        <w:t>נים,</w:t>
      </w:r>
      <w:r w:rsidRPr="001D5F0A">
        <w:rPr>
          <w:rFonts w:ascii="Arial" w:hAnsi="Arial"/>
          <w:rtl/>
        </w:rPr>
        <w:t xml:space="preserve"> אלא באירוע</w:t>
      </w:r>
      <w:r w:rsidRPr="001D5F0A">
        <w:rPr>
          <w:rFonts w:ascii="Arial" w:hAnsi="Arial" w:hint="cs"/>
          <w:rtl/>
        </w:rPr>
        <w:t>ים</w:t>
      </w:r>
      <w:r w:rsidRPr="001D5F0A">
        <w:rPr>
          <w:rFonts w:ascii="Arial" w:hAnsi="Arial"/>
          <w:rtl/>
        </w:rPr>
        <w:t xml:space="preserve"> נקודתי</w:t>
      </w:r>
      <w:r w:rsidRPr="001D5F0A">
        <w:rPr>
          <w:rFonts w:ascii="Arial" w:hAnsi="Arial" w:hint="cs"/>
          <w:rtl/>
        </w:rPr>
        <w:t xml:space="preserve">ים </w:t>
      </w:r>
      <w:r w:rsidRPr="001D5F0A">
        <w:rPr>
          <w:rFonts w:ascii="Arial" w:hAnsi="Arial"/>
          <w:rtl/>
        </w:rPr>
        <w:t>אשר התרחש</w:t>
      </w:r>
      <w:r w:rsidRPr="001D5F0A">
        <w:rPr>
          <w:rFonts w:ascii="Arial" w:hAnsi="Arial" w:hint="cs"/>
          <w:rtl/>
        </w:rPr>
        <w:t>ו</w:t>
      </w:r>
      <w:r w:rsidRPr="001D5F0A">
        <w:rPr>
          <w:rFonts w:ascii="Arial" w:hAnsi="Arial"/>
          <w:rtl/>
        </w:rPr>
        <w:t xml:space="preserve"> בתוך זמן קצ</w:t>
      </w:r>
      <w:r w:rsidRPr="001D5F0A">
        <w:rPr>
          <w:rFonts w:ascii="Arial" w:hAnsi="Arial" w:hint="cs"/>
          <w:rtl/>
        </w:rPr>
        <w:t>ר</w:t>
      </w:r>
      <w:r w:rsidRPr="001D5F0A">
        <w:rPr>
          <w:rFonts w:ascii="Arial" w:hAnsi="Arial"/>
          <w:rtl/>
        </w:rPr>
        <w:t xml:space="preserve">. </w:t>
      </w:r>
      <w:r>
        <w:rPr>
          <w:rFonts w:hint="cs"/>
          <w:rtl/>
        </w:rPr>
        <w:t xml:space="preserve">אשר לנסיבות שהביאו את הנאשם לביצוע העבירה באישום הראשון, הנאשם תקף את המתלוננת בעקבות הגעתה למקום עבודתו במסעדה על רקע פרידתם וכאשר ביקשה ממנו לשבת במקום והוא ביקש ממנה שתעזוב את המקום והיא סירבה לבקשתו. משסירבה, ירק עליה הנאשם ובעט בכיסא שפגע ברגלה. בהמשך, כאשר חזר הנאשם למקום בו ישבה המתלוננת וביקש מהמתלוננת בשנית שתעזוב את המקום, והיא לא מילאה את בקשתו,  הנאשם היכה את המתלוננת באגרופים בפניה ובגופה ושפך עליה את כוס היין. הנאשם היכה את המתלוננת במקום ציבורי והשפילה לעיני כל, אולם </w:t>
      </w:r>
      <w:r w:rsidRPr="00DF2CF6">
        <w:rPr>
          <w:rtl/>
        </w:rPr>
        <w:t>הוא פעל מתוך חוסר אונים כדי לגרום למתלוננת לעזוב את המקום</w:t>
      </w:r>
      <w:r>
        <w:rPr>
          <w:rFonts w:hint="cs"/>
          <w:rtl/>
        </w:rPr>
        <w:t>, כאשר היא הגיע למקום עבודתו וסירבה לעזוב את המקום.</w:t>
      </w:r>
      <w:r>
        <w:rPr>
          <w:rtl/>
        </w:rPr>
        <w:t xml:space="preserve"> </w:t>
      </w:r>
      <w:r w:rsidRPr="00DF2CF6">
        <w:rPr>
          <w:rtl/>
        </w:rPr>
        <w:t>באשר לאישום השני</w:t>
      </w:r>
      <w:r>
        <w:rPr>
          <w:rFonts w:hint="cs"/>
          <w:rtl/>
        </w:rPr>
        <w:t>,</w:t>
      </w:r>
      <w:r w:rsidRPr="00B81F62">
        <w:rPr>
          <w:rFonts w:hint="cs"/>
          <w:rtl/>
        </w:rPr>
        <w:t xml:space="preserve"> הנאשם נגח בפניה של המתלוננת ודם רב ניגר באפ</w:t>
      </w:r>
      <w:r>
        <w:rPr>
          <w:rFonts w:hint="cs"/>
          <w:rtl/>
        </w:rPr>
        <w:t>ה, והכל בעקבות ויכוח שהתנהל בבית הוריו.</w:t>
      </w:r>
    </w:p>
    <w:p w14:paraId="3BCC8CD3" w14:textId="77777777" w:rsidR="00D67BBA" w:rsidRPr="001D5F0A" w:rsidRDefault="00D67BBA" w:rsidP="00D67BBA">
      <w:pPr>
        <w:pStyle w:val="ListParagraph"/>
        <w:spacing w:line="360" w:lineRule="auto"/>
        <w:jc w:val="both"/>
        <w:rPr>
          <w:sz w:val="12"/>
          <w:szCs w:val="12"/>
        </w:rPr>
      </w:pPr>
    </w:p>
    <w:p w14:paraId="3143607B" w14:textId="77777777" w:rsidR="00D67BBA" w:rsidRDefault="00D67BBA" w:rsidP="00D67BBA">
      <w:pPr>
        <w:pStyle w:val="ListParagraph"/>
        <w:numPr>
          <w:ilvl w:val="0"/>
          <w:numId w:val="1"/>
        </w:numPr>
        <w:spacing w:line="360" w:lineRule="auto"/>
        <w:jc w:val="both"/>
        <w:rPr>
          <w:rFonts w:ascii="Arial" w:hAnsi="Arial"/>
          <w:rtl/>
        </w:rPr>
      </w:pPr>
      <w:r w:rsidRPr="00C01285">
        <w:rPr>
          <w:rFonts w:ascii="Arial" w:hAnsi="Arial"/>
          <w:rtl/>
        </w:rPr>
        <w:t>עוד יש להתחשב בכך שמדובר ב</w:t>
      </w:r>
      <w:r>
        <w:rPr>
          <w:rFonts w:ascii="Arial" w:hAnsi="Arial" w:hint="cs"/>
          <w:rtl/>
        </w:rPr>
        <w:t>אישום הראשון ב</w:t>
      </w:r>
      <w:r w:rsidRPr="00C01285">
        <w:rPr>
          <w:rFonts w:ascii="Arial" w:hAnsi="Arial"/>
          <w:rtl/>
        </w:rPr>
        <w:t>עבירה של תקיפה סתם, שכתוצאה ממנה לא נגרם ל</w:t>
      </w:r>
      <w:r>
        <w:rPr>
          <w:rFonts w:ascii="Arial" w:hAnsi="Arial" w:hint="cs"/>
          <w:rtl/>
        </w:rPr>
        <w:t>מתלוננת</w:t>
      </w:r>
      <w:r w:rsidRPr="00C01285">
        <w:rPr>
          <w:rFonts w:ascii="Arial" w:hAnsi="Arial"/>
          <w:rtl/>
        </w:rPr>
        <w:t xml:space="preserve"> נזק פיזי, עבירה שהמחוקק קבע לצידה עונש מקסימלי של עד שנתיים מאסר שהיא במדרג חומרה נמוך של עבירות האלימות.</w:t>
      </w:r>
      <w:r>
        <w:rPr>
          <w:rFonts w:ascii="Arial" w:hAnsi="Arial" w:hint="cs"/>
          <w:rtl/>
        </w:rPr>
        <w:t xml:space="preserve"> ובאישום השני מדובר בעבירה של תקיפה הגורמת חבלה ממשית, בגינה דם רב ניגר מאפה של המתלוננת, אולם היא לא נזקקה לטיפול רפואי ולא נגרמו לה חבלות במדרג חומרה גבוה. המחוקק קבע לצד עבירה זו עונש מקסימלי של עד שלוש שנות מאסר ואף היא עבירה מסוג עוון.</w:t>
      </w:r>
    </w:p>
    <w:p w14:paraId="00D922C2" w14:textId="77777777" w:rsidR="00D67BBA" w:rsidRPr="001D5F0A" w:rsidRDefault="00D67BBA" w:rsidP="00D67BBA">
      <w:pPr>
        <w:spacing w:line="360" w:lineRule="auto"/>
        <w:ind w:left="720"/>
        <w:jc w:val="both"/>
        <w:rPr>
          <w:rFonts w:ascii="Arial" w:hAnsi="Arial"/>
          <w:sz w:val="12"/>
          <w:szCs w:val="12"/>
        </w:rPr>
      </w:pPr>
    </w:p>
    <w:p w14:paraId="25171850" w14:textId="77777777" w:rsidR="00D67BBA" w:rsidRPr="00E77079" w:rsidRDefault="00D67BBA" w:rsidP="00D67BBA">
      <w:pPr>
        <w:pStyle w:val="ListParagraph"/>
        <w:numPr>
          <w:ilvl w:val="0"/>
          <w:numId w:val="1"/>
        </w:numPr>
        <w:spacing w:line="360" w:lineRule="auto"/>
        <w:jc w:val="both"/>
        <w:rPr>
          <w:rFonts w:ascii="Arial" w:hAnsi="Arial"/>
        </w:rPr>
      </w:pPr>
      <w:r w:rsidRPr="00131B3C">
        <w:rPr>
          <w:rtl/>
        </w:rPr>
        <w:t xml:space="preserve">לפיכך אני סבורה כי מידת הפגיעה בערכים המוגנים </w:t>
      </w:r>
      <w:r>
        <w:rPr>
          <w:rFonts w:hint="cs"/>
          <w:rtl/>
        </w:rPr>
        <w:t>אינה</w:t>
      </w:r>
      <w:r w:rsidRPr="00131B3C">
        <w:rPr>
          <w:rtl/>
        </w:rPr>
        <w:t xml:space="preserve"> בעוצמה</w:t>
      </w:r>
      <w:r>
        <w:rPr>
          <w:rFonts w:hint="cs"/>
          <w:rtl/>
        </w:rPr>
        <w:t xml:space="preserve"> גבוה ,</w:t>
      </w:r>
      <w:r w:rsidRPr="00131B3C">
        <w:rPr>
          <w:rtl/>
        </w:rPr>
        <w:t xml:space="preserve"> </w:t>
      </w:r>
      <w:r>
        <w:rPr>
          <w:rFonts w:hint="cs"/>
          <w:rtl/>
        </w:rPr>
        <w:t xml:space="preserve">ועל כן </w:t>
      </w:r>
      <w:r w:rsidRPr="00E77079">
        <w:rPr>
          <w:rFonts w:ascii="Arial" w:hAnsi="Arial"/>
          <w:rtl/>
        </w:rPr>
        <w:t xml:space="preserve">בנסיבות אלה אני סבורה כי מתחם העונש ההולם הוא בין </w:t>
      </w:r>
      <w:r>
        <w:rPr>
          <w:rFonts w:ascii="Arial" w:hAnsi="Arial" w:hint="cs"/>
          <w:rtl/>
        </w:rPr>
        <w:t xml:space="preserve">מספר חודשי  מאסר שיכול שירוצו בעבודות שירות </w:t>
      </w:r>
      <w:r>
        <w:rPr>
          <w:rFonts w:ascii="Arial" w:hAnsi="Arial"/>
          <w:rtl/>
        </w:rPr>
        <w:t>ועד ל</w:t>
      </w:r>
      <w:r>
        <w:rPr>
          <w:rFonts w:ascii="Arial" w:hAnsi="Arial" w:hint="cs"/>
          <w:rtl/>
        </w:rPr>
        <w:t>שנים עשר חודשי</w:t>
      </w:r>
      <w:r w:rsidRPr="00E77079">
        <w:rPr>
          <w:rFonts w:ascii="Arial" w:hAnsi="Arial"/>
          <w:rtl/>
        </w:rPr>
        <w:t xml:space="preserve"> מאסר</w:t>
      </w:r>
      <w:r>
        <w:rPr>
          <w:rFonts w:ascii="Arial" w:hAnsi="Arial" w:hint="cs"/>
          <w:rtl/>
        </w:rPr>
        <w:t xml:space="preserve">. </w:t>
      </w:r>
    </w:p>
    <w:p w14:paraId="020C7282" w14:textId="77777777" w:rsidR="00D67BBA" w:rsidRPr="00E77079" w:rsidRDefault="00D67BBA" w:rsidP="00D67BBA">
      <w:pPr>
        <w:pStyle w:val="ListParagraph"/>
        <w:spacing w:line="360" w:lineRule="auto"/>
        <w:jc w:val="both"/>
      </w:pPr>
    </w:p>
    <w:p w14:paraId="3291A21B" w14:textId="77777777" w:rsidR="00D67BBA" w:rsidRDefault="00D67BBA" w:rsidP="00D67BBA">
      <w:pPr>
        <w:pStyle w:val="ListParagraph"/>
        <w:numPr>
          <w:ilvl w:val="0"/>
          <w:numId w:val="1"/>
        </w:numPr>
        <w:spacing w:line="360" w:lineRule="auto"/>
        <w:jc w:val="both"/>
      </w:pPr>
      <w:r>
        <w:rPr>
          <w:rFonts w:hint="cs"/>
          <w:b/>
          <w:bCs/>
          <w:u w:val="single"/>
          <w:rtl/>
        </w:rPr>
        <w:t xml:space="preserve">מתחם העונש ההולם </w:t>
      </w:r>
      <w:hyperlink r:id="rId35" w:history="1">
        <w:r w:rsidR="00C46442" w:rsidRPr="00C46442">
          <w:rPr>
            <w:b/>
            <w:bCs/>
            <w:color w:val="0000FF"/>
            <w:u w:val="single"/>
            <w:rtl/>
          </w:rPr>
          <w:t>ת.פ 50613-12-12</w:t>
        </w:r>
      </w:hyperlink>
      <w:r>
        <w:rPr>
          <w:rFonts w:hint="cs"/>
          <w:b/>
          <w:bCs/>
          <w:u w:val="single"/>
          <w:rtl/>
        </w:rPr>
        <w:t xml:space="preserve">, </w:t>
      </w:r>
      <w:hyperlink r:id="rId36" w:history="1">
        <w:bookmarkStart w:id="8" w:name="casename_body"/>
        <w:r w:rsidR="00241582" w:rsidRPr="00241582">
          <w:rPr>
            <w:b/>
            <w:bCs/>
            <w:color w:val="0000FF"/>
            <w:u w:val="single"/>
            <w:rtl/>
          </w:rPr>
          <w:t>ת.פ 48300-1012</w:t>
        </w:r>
        <w:r w:rsidR="00241582" w:rsidRPr="00241582">
          <w:rPr>
            <w:b/>
            <w:bCs/>
            <w:color w:val="0000FF"/>
            <w:u w:val="single"/>
            <w:rtl/>
          </w:rPr>
          <w:cr/>
        </w:r>
      </w:hyperlink>
      <w:r>
        <w:rPr>
          <w:rFonts w:hint="cs"/>
          <w:rtl/>
        </w:rPr>
        <w:t>ב</w:t>
      </w:r>
      <w:hyperlink r:id="rId37" w:history="1">
        <w:bookmarkEnd w:id="8"/>
        <w:r w:rsidR="00C46442" w:rsidRPr="00C46442">
          <w:rPr>
            <w:color w:val="0000FF"/>
            <w:u w:val="single"/>
            <w:rtl/>
          </w:rPr>
          <w:t>ע"פ  6747/11</w:t>
        </w:r>
      </w:hyperlink>
      <w:r>
        <w:rPr>
          <w:rFonts w:hint="cs"/>
          <w:rtl/>
        </w:rPr>
        <w:t xml:space="preserve"> מדינת ישראל נ' מערוף אבו רקיק (מיום 3.1.13) חזר בית משפט העליון על החומרה הטמונה בעבירות הקשורות בסמים והנזק הרב אשר הן גורמות לחברה. בית המשפט העליון הפנה לקביעה שנקבעה </w:t>
      </w:r>
      <w:r>
        <w:rPr>
          <w:rFonts w:hint="cs"/>
          <w:b/>
          <w:bCs/>
          <w:rtl/>
        </w:rPr>
        <w:t>ב</w:t>
      </w:r>
      <w:hyperlink r:id="rId38" w:history="1">
        <w:r w:rsidR="00C46442" w:rsidRPr="00C46442">
          <w:rPr>
            <w:b/>
            <w:bCs/>
            <w:color w:val="0000FF"/>
            <w:u w:val="single"/>
            <w:rtl/>
          </w:rPr>
          <w:t>ע"פ 211/09</w:t>
        </w:r>
      </w:hyperlink>
      <w:r>
        <w:rPr>
          <w:rFonts w:hint="cs"/>
          <w:b/>
          <w:bCs/>
          <w:rtl/>
        </w:rPr>
        <w:t xml:space="preserve"> אזולאי נ' מדינת ישראל</w:t>
      </w:r>
      <w:r>
        <w:rPr>
          <w:rFonts w:hint="cs"/>
          <w:rtl/>
        </w:rPr>
        <w:t xml:space="preserve"> ([פורסם בנבו], 22.6.2010):</w:t>
      </w:r>
    </w:p>
    <w:p w14:paraId="1804C2D6" w14:textId="77777777" w:rsidR="00D67BBA" w:rsidRDefault="00D67BBA" w:rsidP="00D67BBA">
      <w:pPr>
        <w:pStyle w:val="Ruller4"/>
        <w:ind w:left="720" w:hanging="153"/>
        <w:rPr>
          <w:rFonts w:cs="David"/>
          <w:sz w:val="12"/>
          <w:szCs w:val="12"/>
          <w:rtl/>
        </w:rPr>
      </w:pPr>
    </w:p>
    <w:p w14:paraId="09B3567D" w14:textId="77777777" w:rsidR="00D67BBA" w:rsidRPr="00AE3318" w:rsidRDefault="00D67BBA" w:rsidP="00D67BBA">
      <w:pPr>
        <w:pStyle w:val="Ruller5"/>
        <w:ind w:left="1417"/>
        <w:rPr>
          <w:rFonts w:cs="David"/>
          <w:b/>
          <w:bCs/>
          <w:sz w:val="24"/>
          <w:szCs w:val="24"/>
        </w:rPr>
      </w:pPr>
      <w:r>
        <w:rPr>
          <w:rFonts w:cs="David" w:hint="cs"/>
          <w:b/>
          <w:bCs/>
          <w:sz w:val="24"/>
          <w:szCs w:val="24"/>
          <w:rtl/>
        </w:rPr>
        <w:t xml:space="preserve">"הענישה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(שם, בפיסקה 10, וראו גם, </w:t>
      </w:r>
      <w:hyperlink r:id="rId39" w:history="1">
        <w:r w:rsidR="00C46442" w:rsidRPr="00C46442">
          <w:rPr>
            <w:rFonts w:cs="David"/>
            <w:b/>
            <w:bCs/>
            <w:color w:val="0000FF"/>
            <w:sz w:val="24"/>
            <w:szCs w:val="24"/>
            <w:u w:val="single"/>
            <w:rtl/>
          </w:rPr>
          <w:t>ע"פ 9482/09</w:t>
        </w:r>
      </w:hyperlink>
      <w:r w:rsidRPr="00AE3318">
        <w:rPr>
          <w:rFonts w:cs="David" w:hint="cs"/>
          <w:b/>
          <w:bCs/>
          <w:sz w:val="24"/>
          <w:szCs w:val="24"/>
          <w:rtl/>
        </w:rPr>
        <w:t xml:space="preserve"> </w:t>
      </w:r>
      <w:r w:rsidRPr="00AE3318">
        <w:rPr>
          <w:rFonts w:ascii="Times New Roman" w:hAnsi="Times New Roman" w:cs="David" w:hint="cs"/>
          <w:b/>
          <w:bCs/>
          <w:spacing w:val="0"/>
          <w:sz w:val="24"/>
          <w:szCs w:val="24"/>
          <w:rtl/>
        </w:rPr>
        <w:t>ביטון נ' מדינת ישראל</w:t>
      </w:r>
      <w:r w:rsidRPr="00AE3318">
        <w:rPr>
          <w:rFonts w:cs="David" w:hint="cs"/>
          <w:b/>
          <w:bCs/>
          <w:sz w:val="24"/>
          <w:szCs w:val="24"/>
          <w:rtl/>
        </w:rPr>
        <w:t xml:space="preserve"> (</w:t>
      </w:r>
      <w:r w:rsidRPr="00AE3318">
        <w:rPr>
          <w:rFonts w:ascii="Times New Roman" w:hAnsi="Times New Roman" w:cs="David" w:hint="cs"/>
          <w:b/>
          <w:bCs/>
          <w:spacing w:val="0"/>
          <w:sz w:val="24"/>
          <w:szCs w:val="24"/>
          <w:rtl/>
        </w:rPr>
        <w:t>[פורסם בנבו]</w:t>
      </w:r>
      <w:r w:rsidRPr="00AE3318">
        <w:rPr>
          <w:rFonts w:cs="David" w:hint="cs"/>
          <w:b/>
          <w:bCs/>
          <w:sz w:val="24"/>
          <w:szCs w:val="24"/>
          <w:rtl/>
        </w:rPr>
        <w:t xml:space="preserve">, 24.7.2011); </w:t>
      </w:r>
      <w:hyperlink r:id="rId40" w:history="1">
        <w:r w:rsidR="00C46442" w:rsidRPr="00C46442">
          <w:rPr>
            <w:rFonts w:cs="David"/>
            <w:b/>
            <w:bCs/>
            <w:color w:val="0000FF"/>
            <w:sz w:val="24"/>
            <w:szCs w:val="24"/>
            <w:u w:val="single"/>
            <w:rtl/>
          </w:rPr>
          <w:t>ע"פ 5765/10</w:t>
        </w:r>
      </w:hyperlink>
      <w:r w:rsidRPr="00AE3318">
        <w:rPr>
          <w:rFonts w:cs="David" w:hint="cs"/>
          <w:b/>
          <w:bCs/>
          <w:sz w:val="24"/>
          <w:szCs w:val="24"/>
          <w:rtl/>
        </w:rPr>
        <w:t xml:space="preserve"> </w:t>
      </w:r>
      <w:r w:rsidRPr="00AE3318">
        <w:rPr>
          <w:rFonts w:ascii="Times New Roman" w:hAnsi="Times New Roman" w:cs="David" w:hint="cs"/>
          <w:b/>
          <w:bCs/>
          <w:spacing w:val="0"/>
          <w:sz w:val="24"/>
          <w:szCs w:val="24"/>
          <w:rtl/>
        </w:rPr>
        <w:t>פלוני נ' מדינת ישראל</w:t>
      </w:r>
      <w:r w:rsidRPr="00AE3318">
        <w:rPr>
          <w:rFonts w:cs="David" w:hint="cs"/>
          <w:b/>
          <w:bCs/>
          <w:sz w:val="24"/>
          <w:szCs w:val="24"/>
          <w:rtl/>
        </w:rPr>
        <w:t xml:space="preserve"> (</w:t>
      </w:r>
      <w:r w:rsidRPr="00AE3318">
        <w:rPr>
          <w:rFonts w:ascii="Times New Roman" w:hAnsi="Times New Roman" w:cs="David" w:hint="cs"/>
          <w:b/>
          <w:bCs/>
          <w:spacing w:val="0"/>
          <w:sz w:val="24"/>
          <w:szCs w:val="24"/>
          <w:rtl/>
        </w:rPr>
        <w:t>[פורסם בנבו]</w:t>
      </w:r>
      <w:r w:rsidRPr="00AE3318">
        <w:rPr>
          <w:rFonts w:cs="David" w:hint="cs"/>
          <w:b/>
          <w:bCs/>
          <w:sz w:val="24"/>
          <w:szCs w:val="24"/>
          <w:rtl/>
        </w:rPr>
        <w:t xml:space="preserve">, 5.6.2011); </w:t>
      </w:r>
      <w:hyperlink r:id="rId41" w:history="1">
        <w:r w:rsidR="00C46442" w:rsidRPr="00C46442">
          <w:rPr>
            <w:rFonts w:cs="David"/>
            <w:b/>
            <w:bCs/>
            <w:color w:val="0000FF"/>
            <w:sz w:val="24"/>
            <w:szCs w:val="24"/>
            <w:u w:val="single"/>
            <w:rtl/>
          </w:rPr>
          <w:t>ע"פ 3570/09</w:t>
        </w:r>
      </w:hyperlink>
      <w:r w:rsidRPr="00AE3318">
        <w:rPr>
          <w:rFonts w:cs="David" w:hint="cs"/>
          <w:b/>
          <w:bCs/>
          <w:sz w:val="24"/>
          <w:szCs w:val="24"/>
          <w:rtl/>
        </w:rPr>
        <w:t xml:space="preserve"> </w:t>
      </w:r>
      <w:r w:rsidRPr="00AE3318">
        <w:rPr>
          <w:rFonts w:ascii="Times New Roman" w:hAnsi="Times New Roman" w:cs="David" w:hint="cs"/>
          <w:b/>
          <w:bCs/>
          <w:spacing w:val="0"/>
          <w:sz w:val="24"/>
          <w:szCs w:val="24"/>
          <w:rtl/>
        </w:rPr>
        <w:t>אבו עמרה נ' מדינת ישראל</w:t>
      </w:r>
      <w:r w:rsidRPr="00AE3318">
        <w:rPr>
          <w:rFonts w:cs="David" w:hint="cs"/>
          <w:b/>
          <w:bCs/>
          <w:sz w:val="24"/>
          <w:szCs w:val="24"/>
          <w:rtl/>
        </w:rPr>
        <w:t xml:space="preserve"> (</w:t>
      </w:r>
      <w:r w:rsidRPr="00AE3318">
        <w:rPr>
          <w:rFonts w:ascii="Times New Roman" w:hAnsi="Times New Roman" w:cs="David" w:hint="cs"/>
          <w:b/>
          <w:bCs/>
          <w:spacing w:val="0"/>
          <w:sz w:val="24"/>
          <w:szCs w:val="24"/>
          <w:rtl/>
        </w:rPr>
        <w:t>[פורסם בנבו]</w:t>
      </w:r>
      <w:r w:rsidRPr="00AE3318">
        <w:rPr>
          <w:rFonts w:cs="David" w:hint="cs"/>
          <w:b/>
          <w:bCs/>
          <w:sz w:val="24"/>
          <w:szCs w:val="24"/>
          <w:rtl/>
        </w:rPr>
        <w:t>, 3.5.2010)).</w:t>
      </w:r>
    </w:p>
    <w:p w14:paraId="4009A0DC" w14:textId="77777777" w:rsidR="00D67BBA" w:rsidRPr="00AE3318" w:rsidRDefault="00D67BBA" w:rsidP="00D67BBA">
      <w:pPr>
        <w:pStyle w:val="ListParagraph"/>
        <w:spacing w:line="360" w:lineRule="auto"/>
        <w:jc w:val="both"/>
        <w:rPr>
          <w:rFonts w:ascii="Arial" w:hAnsi="Arial"/>
          <w:b/>
          <w:bCs/>
          <w:sz w:val="12"/>
          <w:szCs w:val="12"/>
        </w:rPr>
      </w:pPr>
    </w:p>
    <w:p w14:paraId="4C6CF6E5" w14:textId="77777777" w:rsidR="00D67BBA" w:rsidRPr="00AE3318" w:rsidRDefault="00D67BBA" w:rsidP="00D67BBA">
      <w:pPr>
        <w:pStyle w:val="ListParagraph"/>
        <w:numPr>
          <w:ilvl w:val="0"/>
          <w:numId w:val="1"/>
        </w:numPr>
        <w:spacing w:line="360" w:lineRule="auto"/>
        <w:jc w:val="both"/>
        <w:rPr>
          <w:rFonts w:ascii="Arial" w:hAnsi="Arial"/>
        </w:rPr>
      </w:pPr>
      <w:r w:rsidRPr="00AE3318">
        <w:rPr>
          <w:rFonts w:ascii="Arial" w:hAnsi="Arial" w:hint="cs"/>
          <w:rtl/>
        </w:rPr>
        <w:t>עמדת בית המשפט העליון וכן העובדה שהמחוקק קבע לצד עבירת הספקת סמים, עונש מאסר של עד 20 שנה, מלמדים על כך שמדובר בערך חברתי ממעלה ראשונה. במקרה שלפני כתבי האישום הוגשו לבית משפט השלום ולכן העונש הקבוע לצד העבירה הוא עד 7 שנות מאסר, אולם גם כך מדובר במדרג החומרה הגבוה ביותר בבית משפט השלום.</w:t>
      </w:r>
    </w:p>
    <w:p w14:paraId="0B487E9E" w14:textId="77777777" w:rsidR="00D67BBA" w:rsidRPr="00AE3318" w:rsidRDefault="00D67BBA" w:rsidP="00D67BBA">
      <w:pPr>
        <w:pStyle w:val="ListParagraph"/>
        <w:spacing w:line="360" w:lineRule="auto"/>
        <w:jc w:val="both"/>
        <w:rPr>
          <w:rFonts w:ascii="Arial" w:hAnsi="Arial"/>
          <w:sz w:val="12"/>
          <w:szCs w:val="12"/>
        </w:rPr>
      </w:pPr>
    </w:p>
    <w:p w14:paraId="772E3B8D" w14:textId="77777777" w:rsidR="00D67BBA" w:rsidRDefault="00E144DA" w:rsidP="00D67BBA">
      <w:pPr>
        <w:pStyle w:val="ListParagraph"/>
        <w:numPr>
          <w:ilvl w:val="0"/>
          <w:numId w:val="1"/>
        </w:numPr>
        <w:spacing w:line="360" w:lineRule="auto"/>
        <w:jc w:val="both"/>
        <w:rPr>
          <w:rFonts w:ascii="Arial" w:hAnsi="Arial"/>
        </w:rPr>
      </w:pPr>
      <w:hyperlink r:id="rId42" w:history="1">
        <w:r w:rsidRPr="00E144DA">
          <w:rPr>
            <w:rStyle w:val="Hyperlink"/>
            <w:rFonts w:ascii="Arial" w:hAnsi="Arial"/>
            <w:rtl/>
          </w:rPr>
          <w:t>סעיף 40 ג'</w:t>
        </w:r>
      </w:hyperlink>
      <w:r w:rsidR="00D67BBA" w:rsidRPr="00AE3318">
        <w:rPr>
          <w:rFonts w:ascii="Arial" w:hAnsi="Arial"/>
          <w:rtl/>
        </w:rPr>
        <w:t xml:space="preserve"> ל</w:t>
      </w:r>
      <w:hyperlink r:id="rId43" w:history="1">
        <w:r w:rsidR="00C46442" w:rsidRPr="00C46442">
          <w:rPr>
            <w:rFonts w:ascii="Arial" w:hAnsi="Arial"/>
            <w:color w:val="0000FF"/>
            <w:u w:val="single"/>
            <w:rtl/>
          </w:rPr>
          <w:t>חוק העונשין</w:t>
        </w:r>
      </w:hyperlink>
      <w:r w:rsidR="00D67BBA" w:rsidRPr="00AE3318">
        <w:rPr>
          <w:rFonts w:ascii="Arial" w:hAnsi="Arial"/>
          <w:rtl/>
        </w:rPr>
        <w:t xml:space="preserve"> קובע כי בקביעת מתחם העונש ההולם על בית המשפט להתחשב גם בנסיבות הקשורות  בביצוע העבירה ב</w:t>
      </w:r>
      <w:r w:rsidR="00D67BBA" w:rsidRPr="004329F9">
        <w:rPr>
          <w:rFonts w:ascii="Arial" w:hAnsi="Arial"/>
          <w:rtl/>
        </w:rPr>
        <w:t xml:space="preserve">התאם </w:t>
      </w:r>
      <w:hyperlink r:id="rId44" w:history="1">
        <w:r w:rsidRPr="00E144DA">
          <w:rPr>
            <w:rStyle w:val="Hyperlink"/>
            <w:rFonts w:ascii="Arial" w:hAnsi="Arial"/>
            <w:rtl/>
          </w:rPr>
          <w:t>לסעיף 40 ט'</w:t>
        </w:r>
      </w:hyperlink>
      <w:r w:rsidR="00D67BBA" w:rsidRPr="004329F9">
        <w:rPr>
          <w:rFonts w:ascii="Arial" w:hAnsi="Arial"/>
          <w:rtl/>
        </w:rPr>
        <w:t xml:space="preserve"> לחוק העונשין.</w:t>
      </w:r>
    </w:p>
    <w:p w14:paraId="43AF8D5A" w14:textId="77777777" w:rsidR="00D67BBA" w:rsidRPr="00AE3318" w:rsidRDefault="00D67BBA" w:rsidP="00D67BBA">
      <w:pPr>
        <w:pStyle w:val="ListParagraph"/>
        <w:spacing w:line="360" w:lineRule="auto"/>
        <w:jc w:val="both"/>
        <w:rPr>
          <w:rFonts w:ascii="Arial" w:hAnsi="Arial"/>
          <w:sz w:val="12"/>
          <w:szCs w:val="12"/>
          <w:rtl/>
        </w:rPr>
      </w:pPr>
    </w:p>
    <w:p w14:paraId="40CE9CB9" w14:textId="77777777" w:rsidR="00D67BBA" w:rsidRDefault="00D67BBA" w:rsidP="00D67BBA">
      <w:pPr>
        <w:pStyle w:val="ListParagraph"/>
        <w:numPr>
          <w:ilvl w:val="0"/>
          <w:numId w:val="1"/>
        </w:numPr>
        <w:spacing w:line="360" w:lineRule="auto"/>
        <w:jc w:val="both"/>
      </w:pPr>
      <w:r>
        <w:rPr>
          <w:rFonts w:ascii="Arial" w:hAnsi="Arial" w:hint="cs"/>
          <w:rtl/>
        </w:rPr>
        <w:t xml:space="preserve">מנסיבות ביצוע העבירה </w:t>
      </w:r>
      <w:r w:rsidRPr="00C93656">
        <w:rPr>
          <w:rFonts w:ascii="Arial" w:hAnsi="Arial" w:hint="cs"/>
          <w:b/>
          <w:bCs/>
          <w:rtl/>
        </w:rPr>
        <w:t>ב</w:t>
      </w:r>
      <w:hyperlink r:id="rId45" w:history="1">
        <w:r w:rsidR="00C46442" w:rsidRPr="00C46442">
          <w:rPr>
            <w:rFonts w:ascii="Arial" w:hAnsi="Arial"/>
            <w:b/>
            <w:bCs/>
            <w:color w:val="0000FF"/>
            <w:u w:val="single"/>
            <w:rtl/>
          </w:rPr>
          <w:t>ת"פ 50613-12-12</w:t>
        </w:r>
      </w:hyperlink>
      <w:r>
        <w:rPr>
          <w:rFonts w:ascii="Arial" w:hAnsi="Arial" w:hint="cs"/>
          <w:rtl/>
        </w:rPr>
        <w:t xml:space="preserve"> עולה כי </w:t>
      </w:r>
      <w:r>
        <w:rPr>
          <w:rFonts w:hint="cs"/>
          <w:rtl/>
        </w:rPr>
        <w:t xml:space="preserve">מדובר בעבירה של אחזקת סם מסוג חשיש שהוא אינו סם במדרג חומרה גבוה בכמות קטנה של 1.54 גרם אשר כפי שעולה מכתב האישום נועדה לצריכה עצמית ולא לצרכי מסחר, כך שהנאשם לא ביצע את העבירה בתמורה לבצע כסף. עוד עולה כי הנאשם השתמש בסמים מסוג חשיש במהלך השנים האחרונות באופן קבוע. </w:t>
      </w:r>
    </w:p>
    <w:p w14:paraId="515F35AE" w14:textId="77777777" w:rsidR="00D67BBA" w:rsidRPr="00AE3318" w:rsidRDefault="00D67BBA" w:rsidP="00D67BBA">
      <w:pPr>
        <w:pStyle w:val="ListParagraph"/>
        <w:spacing w:line="360" w:lineRule="auto"/>
        <w:jc w:val="both"/>
        <w:rPr>
          <w:sz w:val="12"/>
          <w:szCs w:val="12"/>
        </w:rPr>
      </w:pPr>
    </w:p>
    <w:p w14:paraId="4C9B3132" w14:textId="77777777" w:rsidR="00D67BBA" w:rsidRDefault="00D67BBA" w:rsidP="00D67BBA">
      <w:pPr>
        <w:pStyle w:val="ListParagraph"/>
        <w:numPr>
          <w:ilvl w:val="0"/>
          <w:numId w:val="1"/>
        </w:numPr>
        <w:spacing w:line="360" w:lineRule="auto"/>
        <w:jc w:val="both"/>
      </w:pPr>
      <w:r>
        <w:rPr>
          <w:rFonts w:hint="cs"/>
          <w:rtl/>
        </w:rPr>
        <w:t xml:space="preserve">לאור האמור, אני סבורה שמתחם העונש ההולם הוא בין מאסר על תנאי ועד שלושה חודשי מאסר. </w:t>
      </w:r>
    </w:p>
    <w:p w14:paraId="78BB34F6" w14:textId="77777777" w:rsidR="00D67BBA" w:rsidRPr="00AE3318" w:rsidRDefault="00D67BBA" w:rsidP="00D67BBA">
      <w:pPr>
        <w:pStyle w:val="ListParagraph"/>
        <w:spacing w:line="360" w:lineRule="auto"/>
        <w:jc w:val="both"/>
        <w:rPr>
          <w:sz w:val="12"/>
          <w:szCs w:val="12"/>
        </w:rPr>
      </w:pPr>
    </w:p>
    <w:p w14:paraId="40EBAD7D" w14:textId="77777777" w:rsidR="00D67BBA" w:rsidRPr="00D4108B" w:rsidRDefault="00D67BBA" w:rsidP="00D67BBA">
      <w:pPr>
        <w:pStyle w:val="ListParagraph"/>
        <w:numPr>
          <w:ilvl w:val="0"/>
          <w:numId w:val="1"/>
        </w:numPr>
        <w:spacing w:line="360" w:lineRule="auto"/>
        <w:jc w:val="both"/>
        <w:rPr>
          <w:rFonts w:ascii="Calibri" w:hAnsi="Calibri"/>
          <w:sz w:val="12"/>
          <w:szCs w:val="12"/>
        </w:rPr>
      </w:pPr>
      <w:r>
        <w:rPr>
          <w:rFonts w:ascii="Arial" w:hAnsi="Arial" w:hint="cs"/>
          <w:rtl/>
        </w:rPr>
        <w:t xml:space="preserve">מנסיבות ביצוע העבירה </w:t>
      </w:r>
      <w:r w:rsidRPr="00C93656">
        <w:rPr>
          <w:rFonts w:ascii="Arial" w:hAnsi="Arial" w:hint="cs"/>
          <w:b/>
          <w:bCs/>
          <w:rtl/>
        </w:rPr>
        <w:t>ב</w:t>
      </w:r>
      <w:hyperlink r:id="rId46" w:history="1">
        <w:r w:rsidR="00C46442" w:rsidRPr="00C46442">
          <w:rPr>
            <w:rFonts w:ascii="Arial" w:hAnsi="Arial"/>
            <w:b/>
            <w:bCs/>
            <w:color w:val="0000FF"/>
            <w:u w:val="single"/>
            <w:rtl/>
          </w:rPr>
          <w:t>ת"פ 48300-10-12</w:t>
        </w:r>
      </w:hyperlink>
      <w:r>
        <w:rPr>
          <w:rFonts w:ascii="Arial" w:hAnsi="Arial" w:hint="cs"/>
          <w:rtl/>
        </w:rPr>
        <w:t xml:space="preserve"> עולה כי הנאשם סיפק לאחר סם מסוכן מסוג חשיש, אמנם לא עולה מעובדות כתב האישום כי הנאשם סיפק לו את הסם תמורת סכומי כסף. הנאשם אף החזיק יום למחרת שסיפק את הסמים לאחר, כמות סם נוספת ועל כן נראה כי הסמים היו נגישים לו. </w:t>
      </w:r>
      <w:r w:rsidRPr="00552371">
        <w:rPr>
          <w:rFonts w:ascii="Arial" w:hAnsi="Arial"/>
          <w:rtl/>
        </w:rPr>
        <w:t>לעבירת החזקת הסמים מצטרפת ע</w:t>
      </w:r>
      <w:r>
        <w:rPr>
          <w:rFonts w:ascii="Arial" w:hAnsi="Arial"/>
          <w:rtl/>
        </w:rPr>
        <w:t>בירה נוספת של החזקת כלים אסורים</w:t>
      </w:r>
      <w:r>
        <w:rPr>
          <w:rFonts w:ascii="Arial" w:hAnsi="Arial" w:hint="cs"/>
          <w:rtl/>
        </w:rPr>
        <w:t xml:space="preserve">. </w:t>
      </w:r>
      <w:r>
        <w:rPr>
          <w:rFonts w:hint="cs"/>
          <w:rtl/>
        </w:rPr>
        <w:t xml:space="preserve">יחד עם זאת, </w:t>
      </w:r>
      <w:r w:rsidRPr="005D5B4E">
        <w:rPr>
          <w:rFonts w:ascii="Arial" w:hAnsi="Arial" w:hint="cs"/>
          <w:rtl/>
        </w:rPr>
        <w:t xml:space="preserve">יש להתחשב בסוג הסם (חשיש) אותו סיפק הנאשם לאחר, שאינו נמנה על הסמים המוגדרים כסמים קשים. </w:t>
      </w:r>
      <w:r>
        <w:rPr>
          <w:rFonts w:hint="cs"/>
          <w:rtl/>
        </w:rPr>
        <w:t xml:space="preserve"> כפי שעולה מכתב האישום, כמות הסם שהוחזקה, נועדה לצריכה עצמית ולא לצרכי מסחר</w:t>
      </w:r>
      <w:r w:rsidRPr="009738F8">
        <w:rPr>
          <w:rFonts w:ascii="Arial" w:hAnsi="Arial" w:hint="cs"/>
          <w:rtl/>
        </w:rPr>
        <w:t xml:space="preserve"> </w:t>
      </w:r>
      <w:r w:rsidRPr="005D5B4E">
        <w:rPr>
          <w:rFonts w:ascii="Arial" w:hAnsi="Arial" w:hint="cs"/>
          <w:rtl/>
        </w:rPr>
        <w:t xml:space="preserve">ולא </w:t>
      </w:r>
      <w:r>
        <w:rPr>
          <w:rFonts w:ascii="Arial" w:hAnsi="Arial" w:hint="cs"/>
          <w:rtl/>
        </w:rPr>
        <w:t xml:space="preserve">עולה כי </w:t>
      </w:r>
      <w:r w:rsidRPr="005D5B4E">
        <w:rPr>
          <w:rFonts w:ascii="Arial" w:hAnsi="Arial" w:hint="cs"/>
          <w:rtl/>
        </w:rPr>
        <w:t xml:space="preserve">היה לו מכך רווח כספי. </w:t>
      </w:r>
    </w:p>
    <w:p w14:paraId="2C6B7272" w14:textId="77777777" w:rsidR="00D67BBA" w:rsidRPr="00D4108B" w:rsidRDefault="00D67BBA" w:rsidP="00D67BBA">
      <w:pPr>
        <w:spacing w:line="360" w:lineRule="auto"/>
        <w:jc w:val="both"/>
        <w:rPr>
          <w:rFonts w:ascii="Calibri" w:hAnsi="Calibri"/>
          <w:sz w:val="12"/>
          <w:szCs w:val="12"/>
        </w:rPr>
      </w:pPr>
    </w:p>
    <w:p w14:paraId="311257AE" w14:textId="77777777" w:rsidR="00D67BBA" w:rsidRPr="00D4108B" w:rsidRDefault="00D67BBA" w:rsidP="00D67BBA">
      <w:pPr>
        <w:pStyle w:val="ListParagraph"/>
        <w:numPr>
          <w:ilvl w:val="0"/>
          <w:numId w:val="1"/>
        </w:numPr>
        <w:spacing w:line="360" w:lineRule="auto"/>
        <w:jc w:val="both"/>
        <w:rPr>
          <w:rFonts w:ascii="Calibri" w:hAnsi="Calibri"/>
        </w:rPr>
      </w:pPr>
      <w:r>
        <w:rPr>
          <w:rFonts w:ascii="Arial" w:hAnsi="Arial" w:hint="cs"/>
          <w:rtl/>
        </w:rPr>
        <w:t xml:space="preserve">בהתחשב בכל אלה אני קובעת כי מתחם העונש ההולם נסיבות אלה הוא בין מספר חודשי מאסר אשר יכול שירוצו בעבודות שירות ועד ל- 8  חודשי מאסר. </w:t>
      </w:r>
    </w:p>
    <w:p w14:paraId="27BA8701" w14:textId="77777777" w:rsidR="00D67BBA" w:rsidRDefault="00D67BBA" w:rsidP="00D67BBA">
      <w:pPr>
        <w:spacing w:line="360" w:lineRule="auto"/>
        <w:jc w:val="both"/>
        <w:rPr>
          <w:rFonts w:ascii="Arial" w:hAnsi="Arial"/>
          <w:b/>
          <w:bCs/>
          <w:u w:val="single"/>
          <w:rtl/>
        </w:rPr>
      </w:pPr>
    </w:p>
    <w:p w14:paraId="39D9EE35" w14:textId="77777777" w:rsidR="00D67BBA" w:rsidRPr="009738F8" w:rsidRDefault="00D67BBA" w:rsidP="00D67BBA">
      <w:pPr>
        <w:spacing w:line="360" w:lineRule="auto"/>
        <w:jc w:val="both"/>
        <w:rPr>
          <w:rFonts w:ascii="Arial" w:hAnsi="Arial"/>
          <w:b/>
          <w:bCs/>
          <w:u w:val="single"/>
          <w:rtl/>
        </w:rPr>
      </w:pPr>
    </w:p>
    <w:p w14:paraId="78942D9C" w14:textId="77777777" w:rsidR="00D67BBA" w:rsidRPr="009738F8" w:rsidRDefault="00D67BBA" w:rsidP="00D67BBA">
      <w:pPr>
        <w:spacing w:before="120" w:line="360" w:lineRule="auto"/>
        <w:ind w:firstLine="360"/>
        <w:jc w:val="both"/>
        <w:rPr>
          <w:b/>
          <w:bCs/>
          <w:u w:val="single"/>
        </w:rPr>
      </w:pPr>
      <w:r w:rsidRPr="009738F8">
        <w:rPr>
          <w:b/>
          <w:bCs/>
          <w:u w:val="single"/>
          <w:rtl/>
        </w:rPr>
        <w:t>חריגה ממתחם העונש ההולם</w:t>
      </w:r>
      <w:r w:rsidRPr="009738F8">
        <w:rPr>
          <w:rFonts w:hint="cs"/>
          <w:b/>
          <w:bCs/>
          <w:u w:val="single"/>
          <w:rtl/>
        </w:rPr>
        <w:t xml:space="preserve"> והעונש המתאים</w:t>
      </w:r>
    </w:p>
    <w:p w14:paraId="67A6A903" w14:textId="77777777" w:rsidR="00D67BBA" w:rsidRDefault="00D67BBA" w:rsidP="00D67BBA">
      <w:pPr>
        <w:pStyle w:val="ListParagraph"/>
        <w:numPr>
          <w:ilvl w:val="0"/>
          <w:numId w:val="1"/>
        </w:numPr>
        <w:spacing w:line="360" w:lineRule="auto"/>
        <w:jc w:val="both"/>
        <w:rPr>
          <w:rFonts w:ascii="Arial" w:hAnsi="Arial"/>
        </w:rPr>
      </w:pPr>
      <w:r w:rsidRPr="00FA47FC">
        <w:rPr>
          <w:rFonts w:ascii="Arial" w:hAnsi="Arial"/>
          <w:rtl/>
        </w:rPr>
        <w:t xml:space="preserve">המחוקק קבע </w:t>
      </w:r>
      <w:hyperlink r:id="rId47" w:history="1">
        <w:r w:rsidR="00E144DA" w:rsidRPr="00E144DA">
          <w:rPr>
            <w:rStyle w:val="Hyperlink"/>
            <w:rFonts w:ascii="Arial" w:hAnsi="Arial"/>
            <w:rtl/>
          </w:rPr>
          <w:t>בסעיף 40ד'</w:t>
        </w:r>
      </w:hyperlink>
      <w:r w:rsidRPr="00FA47FC">
        <w:rPr>
          <w:rFonts w:ascii="Arial" w:hAnsi="Arial"/>
          <w:rtl/>
        </w:rPr>
        <w:t xml:space="preserve"> ל</w:t>
      </w:r>
      <w:hyperlink r:id="rId48" w:history="1">
        <w:r w:rsidR="00C46442" w:rsidRPr="00C46442">
          <w:rPr>
            <w:rFonts w:ascii="Arial" w:hAnsi="Arial"/>
            <w:color w:val="0000FF"/>
            <w:u w:val="single"/>
            <w:rtl/>
          </w:rPr>
          <w:t>חוק העונשין</w:t>
        </w:r>
      </w:hyperlink>
      <w:r w:rsidRPr="00FA47FC">
        <w:rPr>
          <w:rFonts w:ascii="Arial" w:hAnsi="Arial"/>
          <w:rtl/>
        </w:rPr>
        <w:t xml:space="preserve"> כי גם במקרה בו מעשה העבירה ומידת אשמו של הנאשם הם בעלי חומרה יתירה, אם הנאשם השתקם, או שיש סיכוי של ממש שישתקם, בנסיבות מיוחדות ויוצאות דופן יכול בית המשפט לקבוע כי העונש שיוטל על הנאשם יחרוג ממתחם העונש ההולם, וזאת מטעמי שיקום. </w:t>
      </w:r>
    </w:p>
    <w:p w14:paraId="7FAED54B" w14:textId="77777777" w:rsidR="00D67BBA" w:rsidRPr="00D93CC1" w:rsidRDefault="00D67BBA" w:rsidP="00D67BBA">
      <w:pPr>
        <w:pStyle w:val="ListParagraph"/>
        <w:spacing w:line="360" w:lineRule="auto"/>
        <w:jc w:val="both"/>
        <w:rPr>
          <w:rFonts w:ascii="Arial" w:hAnsi="Arial"/>
          <w:sz w:val="8"/>
          <w:szCs w:val="8"/>
          <w:rtl/>
        </w:rPr>
      </w:pPr>
    </w:p>
    <w:p w14:paraId="71398C17" w14:textId="77777777" w:rsidR="00D67BBA" w:rsidRPr="00794B67" w:rsidRDefault="00D67BBA" w:rsidP="00D67BBA">
      <w:pPr>
        <w:pStyle w:val="ListParagraph"/>
        <w:numPr>
          <w:ilvl w:val="0"/>
          <w:numId w:val="1"/>
        </w:numPr>
        <w:spacing w:line="360" w:lineRule="auto"/>
        <w:jc w:val="both"/>
        <w:rPr>
          <w:b/>
          <w:bCs/>
          <w:sz w:val="12"/>
          <w:szCs w:val="12"/>
        </w:rPr>
      </w:pPr>
      <w:r w:rsidRPr="00794B67">
        <w:rPr>
          <w:rFonts w:ascii="Arial" w:hAnsi="Arial"/>
          <w:rtl/>
        </w:rPr>
        <w:t>אני סבורה כי הליך השיקום אשר עבר הנאשם במסגרת ההליך שלפניי נכנס בגדר חריג זה</w:t>
      </w:r>
      <w:r w:rsidRPr="00794B67">
        <w:rPr>
          <w:rFonts w:ascii="Arial" w:hAnsi="Arial" w:hint="cs"/>
          <w:rtl/>
        </w:rPr>
        <w:t xml:space="preserve">, </w:t>
      </w:r>
      <w:r>
        <w:rPr>
          <w:rFonts w:hint="cs"/>
          <w:rtl/>
        </w:rPr>
        <w:t xml:space="preserve">וזאת, נוכח הסיכוי הממשי שהנאשם ישתקם, שכן הנאשם עבר שינוי משמעותי בארבע השנים האחרונות, למרות הקשיים הרבים בנקודת המוצא ממנה יצא לדרך, </w:t>
      </w:r>
      <w:r w:rsidRPr="00794B67">
        <w:rPr>
          <w:rFonts w:ascii="Arial" w:hAnsi="Arial"/>
          <w:rtl/>
        </w:rPr>
        <w:t>הנאשם</w:t>
      </w:r>
      <w:r w:rsidRPr="00794B67">
        <w:rPr>
          <w:rFonts w:ascii="Arial" w:hAnsi="Arial" w:hint="cs"/>
          <w:rtl/>
        </w:rPr>
        <w:t xml:space="preserve"> </w:t>
      </w:r>
      <w:r w:rsidRPr="00794B67">
        <w:rPr>
          <w:rFonts w:ascii="Arial" w:hAnsi="Arial"/>
          <w:rtl/>
        </w:rPr>
        <w:t>לא חזר לבצע עבירות נוספות</w:t>
      </w:r>
      <w:r w:rsidRPr="00794B67">
        <w:rPr>
          <w:rFonts w:ascii="Arial" w:hAnsi="Arial" w:hint="cs"/>
          <w:rtl/>
        </w:rPr>
        <w:t xml:space="preserve">. עוד עולה כי בתחילה הנאשם הביע התנגדות להשתתפות בטיפול- הן בתחום הסמים והן בתחום השליטה בכעסים, אולם בסופו של יום הנאשם נמצא נקי מסמים, הצליח להשתלב בעבודה קבועה מזה כשלוש שנים </w:t>
      </w:r>
      <w:r w:rsidRPr="00794B67">
        <w:rPr>
          <w:rFonts w:ascii="Arial" w:hAnsi="Arial"/>
          <w:rtl/>
        </w:rPr>
        <w:t>ו</w:t>
      </w:r>
      <w:r w:rsidRPr="00794B67">
        <w:rPr>
          <w:rFonts w:ascii="Arial" w:hAnsi="Arial" w:hint="cs"/>
          <w:rtl/>
        </w:rPr>
        <w:t>לבסוף גם הביע נכונות להשתלב בקבוצה טיפולית במסגרת שירות המבחן בנושא של מיומנויות תקשורת ויחסים בינאישיים</w:t>
      </w:r>
      <w:r>
        <w:rPr>
          <w:rFonts w:ascii="Arial" w:hAnsi="Arial" w:hint="cs"/>
          <w:rtl/>
        </w:rPr>
        <w:t>.</w:t>
      </w:r>
    </w:p>
    <w:p w14:paraId="47C03349" w14:textId="77777777" w:rsidR="00D67BBA" w:rsidRPr="00D93CC1" w:rsidRDefault="00D67BBA" w:rsidP="00D67BBA">
      <w:pPr>
        <w:spacing w:line="360" w:lineRule="auto"/>
        <w:ind w:left="360"/>
        <w:jc w:val="both"/>
        <w:rPr>
          <w:b/>
          <w:bCs/>
          <w:sz w:val="8"/>
          <w:szCs w:val="8"/>
        </w:rPr>
      </w:pPr>
    </w:p>
    <w:p w14:paraId="337C44C6" w14:textId="77777777" w:rsidR="00D67BBA" w:rsidRDefault="00D67BBA" w:rsidP="00D67BBA">
      <w:pPr>
        <w:pStyle w:val="ListParagraph"/>
        <w:numPr>
          <w:ilvl w:val="0"/>
          <w:numId w:val="1"/>
        </w:numPr>
        <w:spacing w:line="360" w:lineRule="auto"/>
        <w:jc w:val="both"/>
        <w:rPr>
          <w:b/>
          <w:bCs/>
        </w:rPr>
      </w:pPr>
      <w:r>
        <w:rPr>
          <w:rFonts w:hint="cs"/>
          <w:rtl/>
        </w:rPr>
        <w:t xml:space="preserve">מעבר לשינוי אותו עבר הנאשם, עומדות לו נסיבות רבות לקולא ובהם גילו הצעיר, </w:t>
      </w:r>
      <w:r w:rsidRPr="00FA47FC">
        <w:rPr>
          <w:rFonts w:ascii="Arial" w:hAnsi="Arial"/>
          <w:rtl/>
        </w:rPr>
        <w:t xml:space="preserve">נסיבותיו האישיות </w:t>
      </w:r>
      <w:r>
        <w:rPr>
          <w:rFonts w:ascii="Arial" w:hAnsi="Arial" w:hint="cs"/>
          <w:rtl/>
        </w:rPr>
        <w:t xml:space="preserve">הלא פשוטות </w:t>
      </w:r>
      <w:r w:rsidRPr="00FA47FC">
        <w:rPr>
          <w:rFonts w:ascii="Arial" w:hAnsi="Arial"/>
          <w:rtl/>
        </w:rPr>
        <w:t>של הנאשם</w:t>
      </w:r>
      <w:r>
        <w:rPr>
          <w:rFonts w:ascii="Arial" w:hAnsi="Arial" w:hint="cs"/>
          <w:rtl/>
        </w:rPr>
        <w:t xml:space="preserve"> כפי שפורטו בתסקיר שירות המבחן</w:t>
      </w:r>
      <w:r w:rsidRPr="00FA47FC">
        <w:rPr>
          <w:rFonts w:ascii="Arial" w:hAnsi="Arial"/>
          <w:rtl/>
        </w:rPr>
        <w:t xml:space="preserve">, </w:t>
      </w:r>
      <w:r>
        <w:rPr>
          <w:rFonts w:ascii="Arial" w:hAnsi="Arial" w:hint="cs"/>
          <w:rtl/>
        </w:rPr>
        <w:t>אשפוזו בבית חולים איתנים במצב פסיכוטי על רקע שימוש בסמים וטיפול בתרופות עקב כך וכן התרשמות הפסיכיאטרית של הנאשם עמה שוחחה קצינת המבחן כפי שעולה בתסקיר שירות המבחן מיום 1.7.14 כי התנהגותו האלימה של הנאשם במסגרת הקשר הזוגי באה בעקבות גירוי חזק מצידה של המתלוננת, כפי שאף עולה מנסיבות האישום הראשון ב</w:t>
      </w:r>
      <w:hyperlink r:id="rId49" w:history="1">
        <w:r w:rsidR="00C46442" w:rsidRPr="00C46442">
          <w:rPr>
            <w:rFonts w:ascii="Arial" w:hAnsi="Arial"/>
            <w:color w:val="0000FF"/>
            <w:u w:val="single"/>
            <w:rtl/>
          </w:rPr>
          <w:t>ת.פ. 54307-05-15</w:t>
        </w:r>
      </w:hyperlink>
      <w:r>
        <w:rPr>
          <w:rFonts w:ascii="Arial" w:hAnsi="Arial" w:hint="cs"/>
          <w:rtl/>
        </w:rPr>
        <w:t xml:space="preserve">. כן שקלתי את </w:t>
      </w:r>
      <w:r w:rsidRPr="00FA47FC">
        <w:rPr>
          <w:rFonts w:ascii="Arial" w:hAnsi="Arial"/>
          <w:rtl/>
        </w:rPr>
        <w:t xml:space="preserve">העובדה כי </w:t>
      </w:r>
      <w:r>
        <w:rPr>
          <w:rFonts w:ascii="Arial" w:hAnsi="Arial" w:hint="cs"/>
          <w:rtl/>
        </w:rPr>
        <w:t>הנאשם</w:t>
      </w:r>
      <w:r w:rsidRPr="00FA47FC">
        <w:rPr>
          <w:rFonts w:ascii="Arial" w:hAnsi="Arial"/>
          <w:rtl/>
        </w:rPr>
        <w:t xml:space="preserve"> לקח אחריות מלאה למעשיו בבית המשפט</w:t>
      </w:r>
      <w:r>
        <w:rPr>
          <w:rFonts w:ascii="Arial" w:hAnsi="Arial" w:hint="cs"/>
          <w:rtl/>
        </w:rPr>
        <w:t>, הביע חרטתה עליהם</w:t>
      </w:r>
      <w:r w:rsidRPr="00FA47FC">
        <w:rPr>
          <w:rFonts w:ascii="Arial" w:hAnsi="Arial"/>
          <w:rtl/>
        </w:rPr>
        <w:t xml:space="preserve"> וחסך זמן שיפוטי משמעותי</w:t>
      </w:r>
      <w:r w:rsidRPr="00FA47FC">
        <w:rPr>
          <w:rtl/>
        </w:rPr>
        <w:t>.</w:t>
      </w:r>
      <w:r w:rsidRPr="00FA47FC">
        <w:rPr>
          <w:b/>
          <w:bCs/>
        </w:rPr>
        <w:t xml:space="preserve"> </w:t>
      </w:r>
      <w:r>
        <w:rPr>
          <w:rFonts w:ascii="Arial" w:hAnsi="Arial" w:hint="cs"/>
          <w:rtl/>
        </w:rPr>
        <w:t xml:space="preserve"> אומנם לנאשם הרשעה קודמת אחת והוא ביצע את העבירות שעה שמאסר על תנאי תלוי ועומד כנגדו, אך מעיון בגיליון הרשום הפלילי עולה כי הרשעתו הקודמת היא בגין עבירת החזקת סם לצריכה עצמית שבוצעה בשנת 2009 שבגינה נגזר עליו מאסר על תנאי למשך שישה חודשים על החזקת סמים לצריכה עצמית. מכאן שעברו הפלילי של הנאשם הוא ישן ואינו משמעותי ולא נתתי משקל רב לנסיבה זו. </w:t>
      </w:r>
    </w:p>
    <w:p w14:paraId="41671DD2" w14:textId="77777777" w:rsidR="00D67BBA" w:rsidRPr="00D93CC1" w:rsidRDefault="00D67BBA" w:rsidP="00D67BBA">
      <w:pPr>
        <w:pStyle w:val="ListParagraph"/>
        <w:spacing w:line="360" w:lineRule="auto"/>
        <w:jc w:val="both"/>
        <w:rPr>
          <w:b/>
          <w:bCs/>
          <w:sz w:val="8"/>
          <w:szCs w:val="8"/>
        </w:rPr>
      </w:pPr>
    </w:p>
    <w:p w14:paraId="2BEFDC7A" w14:textId="77777777" w:rsidR="00D67BBA" w:rsidRPr="00B753AC" w:rsidRDefault="00D67BBA" w:rsidP="00D67BBA">
      <w:pPr>
        <w:pStyle w:val="ListParagraph"/>
        <w:numPr>
          <w:ilvl w:val="0"/>
          <w:numId w:val="1"/>
        </w:numPr>
        <w:spacing w:line="360" w:lineRule="auto"/>
        <w:jc w:val="both"/>
        <w:rPr>
          <w:b/>
          <w:bCs/>
        </w:rPr>
      </w:pPr>
      <w:r>
        <w:rPr>
          <w:rFonts w:ascii="Arial" w:hAnsi="Arial" w:hint="cs"/>
          <w:rtl/>
        </w:rPr>
        <w:t xml:space="preserve">אשר לשאלת הארכת התנאי, נוכח תקופת התנאי הממושכת שהוטלה על הנאשם בשל עבירת עוון שאינה במדרג חומרה גבוה, היה מקום לשקול את הארכת התנאי רק מטעם זה. לכך מצטרפים חלוף הזמן, השינוי שעבר הנאשם וההמלצה השיקומית של שירות המבחן. </w:t>
      </w:r>
    </w:p>
    <w:p w14:paraId="2BEA1055" w14:textId="77777777" w:rsidR="00D67BBA" w:rsidRPr="00D93CC1" w:rsidRDefault="00D67BBA" w:rsidP="00D67BBA">
      <w:pPr>
        <w:pStyle w:val="ListParagraph"/>
        <w:spacing w:line="360" w:lineRule="auto"/>
        <w:jc w:val="both"/>
        <w:rPr>
          <w:b/>
          <w:bCs/>
          <w:sz w:val="8"/>
          <w:szCs w:val="8"/>
        </w:rPr>
      </w:pPr>
    </w:p>
    <w:p w14:paraId="4D8168D1" w14:textId="77777777" w:rsidR="00D67BBA" w:rsidRDefault="00D67BBA" w:rsidP="00D67BBA">
      <w:pPr>
        <w:pStyle w:val="ListParagraph"/>
        <w:numPr>
          <w:ilvl w:val="0"/>
          <w:numId w:val="1"/>
        </w:numPr>
        <w:spacing w:line="360" w:lineRule="auto"/>
        <w:jc w:val="both"/>
        <w:rPr>
          <w:b/>
          <w:bCs/>
        </w:rPr>
      </w:pPr>
      <w:r>
        <w:rPr>
          <w:rFonts w:ascii="Arial" w:hAnsi="Arial" w:hint="cs"/>
          <w:rtl/>
        </w:rPr>
        <w:t>נוכח תקופת התנאי עומדות לפני בית המשפט שתי אפשרויות. האחת הפעלת המאסר המותנה והטלת עונש שלא יפחת משישה חודשי מאסר אשר ירוצו בעבודות שירות. השניה הארכת התנאי והטלת של"צ בהיקף נרחב.  אני סבורה כי גם אם ירוצה עונש המאסר בעבודות שירות, ניתוקו של הנאשם לתקופה ממושכת מהמסגרת הנורמטיבית אשר בנה סביבו, עלולה לגדוע את השינוי שעבר הנאשם, בוודאי כאשר מדובר באדם עם רגישות מיוחדת אשר אושפז בעבר והשתמש בסמים, ועלול לחזור למעגל זה, ללא היד שתושט לו.</w:t>
      </w:r>
    </w:p>
    <w:p w14:paraId="789EEEE4" w14:textId="77777777" w:rsidR="00D67BBA" w:rsidRPr="00D93CC1" w:rsidRDefault="00D67BBA" w:rsidP="00D67BBA">
      <w:pPr>
        <w:pStyle w:val="ListParagraph"/>
        <w:spacing w:line="360" w:lineRule="auto"/>
        <w:jc w:val="both"/>
        <w:rPr>
          <w:b/>
          <w:bCs/>
          <w:sz w:val="8"/>
          <w:szCs w:val="8"/>
        </w:rPr>
      </w:pPr>
    </w:p>
    <w:p w14:paraId="043FA049" w14:textId="77777777" w:rsidR="00D67BBA" w:rsidRDefault="00D67BBA" w:rsidP="00D67BBA">
      <w:pPr>
        <w:pStyle w:val="ListParagraph"/>
        <w:numPr>
          <w:ilvl w:val="0"/>
          <w:numId w:val="1"/>
        </w:numPr>
        <w:spacing w:line="360" w:lineRule="auto"/>
        <w:jc w:val="both"/>
        <w:rPr>
          <w:sz w:val="12"/>
          <w:szCs w:val="12"/>
        </w:rPr>
      </w:pPr>
      <w:r>
        <w:rPr>
          <w:rFonts w:hint="cs"/>
          <w:rtl/>
        </w:rPr>
        <w:t xml:space="preserve">לפיכך </w:t>
      </w:r>
      <w:r w:rsidRPr="00655790">
        <w:rPr>
          <w:rtl/>
        </w:rPr>
        <w:t xml:space="preserve"> </w:t>
      </w:r>
      <w:r>
        <w:rPr>
          <w:rtl/>
        </w:rPr>
        <w:t xml:space="preserve">החלטתי </w:t>
      </w:r>
      <w:r w:rsidRPr="00655790">
        <w:rPr>
          <w:rtl/>
        </w:rPr>
        <w:t xml:space="preserve"> להיעתר להמלצת שירות המבחן </w:t>
      </w:r>
      <w:r>
        <w:rPr>
          <w:rFonts w:hint="cs"/>
          <w:rtl/>
        </w:rPr>
        <w:t>להאריך את המאסר המותנה ולהטיל על הנאשם עונש של שירות לתועלת הציבור וצו מבחן. יחד עם זאת מצאתי להרחיב את</w:t>
      </w:r>
      <w:r w:rsidRPr="00655790">
        <w:rPr>
          <w:rtl/>
        </w:rPr>
        <w:t xml:space="preserve"> היקף שעות השירות לתועלת הציבור.</w:t>
      </w:r>
      <w:r w:rsidRPr="00655790">
        <w:t xml:space="preserve"> </w:t>
      </w:r>
    </w:p>
    <w:p w14:paraId="17F4C2F3" w14:textId="77777777" w:rsidR="00D67BBA" w:rsidRPr="00D93CC1" w:rsidRDefault="00D67BBA" w:rsidP="00D67BBA">
      <w:pPr>
        <w:pStyle w:val="ListParagraph"/>
        <w:spacing w:line="360" w:lineRule="auto"/>
        <w:jc w:val="both"/>
        <w:rPr>
          <w:sz w:val="8"/>
          <w:szCs w:val="8"/>
        </w:rPr>
      </w:pPr>
    </w:p>
    <w:p w14:paraId="23E7A11F" w14:textId="77777777" w:rsidR="00D67BBA" w:rsidRDefault="00D67BBA" w:rsidP="00D67BBA">
      <w:pPr>
        <w:pStyle w:val="ListParagraph"/>
        <w:numPr>
          <w:ilvl w:val="0"/>
          <w:numId w:val="1"/>
        </w:numPr>
        <w:spacing w:line="360" w:lineRule="auto"/>
        <w:jc w:val="both"/>
      </w:pPr>
      <w:r w:rsidRPr="007510B8">
        <w:rPr>
          <w:rtl/>
        </w:rPr>
        <w:t xml:space="preserve">מטעמים עליהם עמדתי בפיסקה </w:t>
      </w:r>
      <w:r>
        <w:rPr>
          <w:rFonts w:hint="cs"/>
          <w:rtl/>
        </w:rPr>
        <w:t>28</w:t>
      </w:r>
      <w:r w:rsidRPr="007510B8">
        <w:rPr>
          <w:rFonts w:hint="cs"/>
          <w:rtl/>
        </w:rPr>
        <w:t xml:space="preserve"> </w:t>
      </w:r>
      <w:r w:rsidRPr="007510B8">
        <w:rPr>
          <w:rtl/>
        </w:rPr>
        <w:t>לעיל, מצאתי כי יש להטיל על הנאשם עונש כולל בגין מכלול העבירות בהן הורשע בש</w:t>
      </w:r>
      <w:r w:rsidRPr="007510B8">
        <w:rPr>
          <w:rFonts w:hint="cs"/>
          <w:rtl/>
        </w:rPr>
        <w:t>לושת</w:t>
      </w:r>
      <w:r w:rsidRPr="007510B8">
        <w:rPr>
          <w:rtl/>
        </w:rPr>
        <w:t xml:space="preserve"> התיקים. </w:t>
      </w:r>
      <w:r>
        <w:rPr>
          <w:rFonts w:hint="cs"/>
          <w:rtl/>
        </w:rPr>
        <w:t xml:space="preserve">לפיכך </w:t>
      </w:r>
      <w:r w:rsidRPr="00537CE8">
        <w:rPr>
          <w:rtl/>
        </w:rPr>
        <w:t xml:space="preserve">אני </w:t>
      </w:r>
      <w:r>
        <w:rPr>
          <w:rFonts w:hint="cs"/>
          <w:rtl/>
        </w:rPr>
        <w:t>גוזרת על הנאשם את העונשים כדלהלן</w:t>
      </w:r>
      <w:r w:rsidRPr="00537CE8">
        <w:rPr>
          <w:rtl/>
        </w:rPr>
        <w:t xml:space="preserve"> :</w:t>
      </w:r>
    </w:p>
    <w:p w14:paraId="081CE8A0" w14:textId="77777777" w:rsidR="00D67BBA" w:rsidRDefault="00D67BBA" w:rsidP="00D67BBA">
      <w:pPr>
        <w:numPr>
          <w:ilvl w:val="1"/>
          <w:numId w:val="2"/>
        </w:numPr>
        <w:spacing w:line="360" w:lineRule="auto"/>
        <w:contextualSpacing/>
        <w:jc w:val="both"/>
      </w:pPr>
      <w:r>
        <w:rPr>
          <w:rFonts w:hint="cs"/>
          <w:rtl/>
        </w:rPr>
        <w:t>אני מאריכה את המאסר המותנה של שישה חודשים שהוטל ב</w:t>
      </w:r>
      <w:hyperlink r:id="rId50" w:history="1">
        <w:r w:rsidR="00241582" w:rsidRPr="00241582">
          <w:rPr>
            <w:color w:val="0000FF"/>
            <w:u w:val="single"/>
            <w:rtl/>
          </w:rPr>
          <w:t xml:space="preserve">ת.פ. 3248/09 </w:t>
        </w:r>
      </w:hyperlink>
      <w:r>
        <w:rPr>
          <w:rFonts w:hint="cs"/>
          <w:rtl/>
        </w:rPr>
        <w:t xml:space="preserve"> (שלום באר שבע) למשך שנה מהיום.</w:t>
      </w:r>
    </w:p>
    <w:p w14:paraId="5814E4BE" w14:textId="77777777" w:rsidR="00D67BBA" w:rsidRPr="00D93CC1" w:rsidRDefault="00D67BBA" w:rsidP="00D67BBA">
      <w:pPr>
        <w:spacing w:line="360" w:lineRule="auto"/>
        <w:ind w:left="1995"/>
        <w:contextualSpacing/>
        <w:jc w:val="both"/>
        <w:rPr>
          <w:sz w:val="8"/>
          <w:szCs w:val="8"/>
        </w:rPr>
      </w:pPr>
    </w:p>
    <w:p w14:paraId="349823B7" w14:textId="77777777" w:rsidR="00D67BBA" w:rsidRPr="00537CE8" w:rsidRDefault="00D67BBA" w:rsidP="00D67BBA">
      <w:pPr>
        <w:numPr>
          <w:ilvl w:val="1"/>
          <w:numId w:val="2"/>
        </w:numPr>
        <w:spacing w:line="360" w:lineRule="auto"/>
        <w:contextualSpacing/>
        <w:jc w:val="both"/>
      </w:pPr>
      <w:r w:rsidRPr="00537CE8">
        <w:rPr>
          <w:rtl/>
        </w:rPr>
        <w:t xml:space="preserve">400 שעות </w:t>
      </w:r>
      <w:r>
        <w:rPr>
          <w:rFonts w:hint="cs"/>
          <w:rtl/>
        </w:rPr>
        <w:t>שירות לתועלת הציבור</w:t>
      </w:r>
      <w:r w:rsidRPr="00537CE8">
        <w:rPr>
          <w:rtl/>
        </w:rPr>
        <w:t xml:space="preserve"> </w:t>
      </w:r>
      <w:r>
        <w:rPr>
          <w:rFonts w:hint="cs"/>
          <w:rtl/>
        </w:rPr>
        <w:t>במסדרת המנהל הקהילתי יובלים.</w:t>
      </w:r>
    </w:p>
    <w:p w14:paraId="4B9F0363" w14:textId="77777777" w:rsidR="00D67BBA" w:rsidRPr="00537CE8" w:rsidRDefault="00D67BBA" w:rsidP="00D67BBA">
      <w:pPr>
        <w:spacing w:line="360" w:lineRule="auto"/>
        <w:ind w:left="1995" w:right="142"/>
        <w:contextualSpacing/>
        <w:jc w:val="both"/>
        <w:rPr>
          <w:sz w:val="8"/>
          <w:szCs w:val="8"/>
          <w:rtl/>
        </w:rPr>
      </w:pPr>
    </w:p>
    <w:p w14:paraId="2E51D9FD" w14:textId="77777777" w:rsidR="00D67BBA" w:rsidRDefault="00D67BBA" w:rsidP="00D67BBA">
      <w:pPr>
        <w:numPr>
          <w:ilvl w:val="1"/>
          <w:numId w:val="2"/>
        </w:numPr>
        <w:spacing w:line="360" w:lineRule="auto"/>
        <w:ind w:right="142"/>
        <w:contextualSpacing/>
        <w:jc w:val="both"/>
      </w:pPr>
      <w:r w:rsidRPr="00537CE8">
        <w:rPr>
          <w:rtl/>
        </w:rPr>
        <w:t xml:space="preserve">צו מבחן למשך </w:t>
      </w:r>
      <w:r>
        <w:rPr>
          <w:rFonts w:hint="cs"/>
          <w:rtl/>
        </w:rPr>
        <w:t>12</w:t>
      </w:r>
      <w:r w:rsidRPr="00537CE8">
        <w:rPr>
          <w:rtl/>
        </w:rPr>
        <w:t xml:space="preserve"> חודשים מהיום. </w:t>
      </w:r>
    </w:p>
    <w:p w14:paraId="15247D67" w14:textId="77777777" w:rsidR="00D67BBA" w:rsidRPr="00D93CC1" w:rsidRDefault="00D67BBA" w:rsidP="00D67BBA">
      <w:pPr>
        <w:spacing w:line="360" w:lineRule="auto"/>
        <w:ind w:left="1995" w:right="142"/>
        <w:contextualSpacing/>
        <w:jc w:val="both"/>
        <w:rPr>
          <w:sz w:val="8"/>
          <w:szCs w:val="8"/>
        </w:rPr>
      </w:pPr>
    </w:p>
    <w:p w14:paraId="33EB9EA0" w14:textId="77777777" w:rsidR="00D67BBA" w:rsidRDefault="00D67BBA" w:rsidP="00D67BBA">
      <w:pPr>
        <w:numPr>
          <w:ilvl w:val="1"/>
          <w:numId w:val="2"/>
        </w:numPr>
        <w:spacing w:line="360" w:lineRule="auto"/>
        <w:ind w:right="142"/>
        <w:contextualSpacing/>
        <w:jc w:val="both"/>
      </w:pPr>
      <w:r>
        <w:rPr>
          <w:rtl/>
        </w:rPr>
        <w:t xml:space="preserve">הנאשם מוזהר כי אם לא ימלא אחר </w:t>
      </w:r>
      <w:r w:rsidRPr="00537CE8">
        <w:rPr>
          <w:rtl/>
        </w:rPr>
        <w:t>צו</w:t>
      </w:r>
      <w:r>
        <w:rPr>
          <w:rFonts w:hint="cs"/>
          <w:rtl/>
        </w:rPr>
        <w:t xml:space="preserve"> השל"צ או צו המבחן</w:t>
      </w:r>
      <w:r w:rsidRPr="00537CE8">
        <w:rPr>
          <w:rtl/>
        </w:rPr>
        <w:t xml:space="preserve">, ידון עונשו מחדש. </w:t>
      </w:r>
    </w:p>
    <w:p w14:paraId="71314187" w14:textId="77777777" w:rsidR="00D67BBA" w:rsidRPr="00D93CC1" w:rsidRDefault="00D67BBA" w:rsidP="00D67BBA">
      <w:pPr>
        <w:spacing w:line="360" w:lineRule="auto"/>
        <w:ind w:left="1995" w:right="142"/>
        <w:contextualSpacing/>
        <w:jc w:val="both"/>
        <w:rPr>
          <w:sz w:val="8"/>
          <w:szCs w:val="8"/>
        </w:rPr>
      </w:pPr>
    </w:p>
    <w:p w14:paraId="09ABDD58" w14:textId="77777777" w:rsidR="00D67BBA" w:rsidRDefault="00D67BBA" w:rsidP="00D67BBA">
      <w:pPr>
        <w:numPr>
          <w:ilvl w:val="1"/>
          <w:numId w:val="2"/>
        </w:numPr>
        <w:spacing w:line="360" w:lineRule="auto"/>
        <w:ind w:right="142"/>
        <w:contextualSpacing/>
        <w:jc w:val="both"/>
      </w:pPr>
      <w:r>
        <w:rPr>
          <w:rFonts w:hint="cs"/>
          <w:rtl/>
        </w:rPr>
        <w:t>קנס בסך 2,000 ₪ או 20 ימי מאסר תחתיו, הקנס ישולם בעשרה תשלומים שווים ורצופים החל מיום 15.3.16 ובכל 15 לחודש שלאחריו. לא ישולם תשלום במועדו או במלואו, תעמוד יתרת הקנס לפירעון מיידי.</w:t>
      </w:r>
    </w:p>
    <w:p w14:paraId="215731D7" w14:textId="77777777" w:rsidR="00D67BBA" w:rsidRPr="00D93CC1" w:rsidRDefault="00D67BBA" w:rsidP="00D67BBA">
      <w:pPr>
        <w:spacing w:line="360" w:lineRule="auto"/>
        <w:ind w:left="1995" w:right="142"/>
        <w:contextualSpacing/>
        <w:jc w:val="both"/>
        <w:rPr>
          <w:sz w:val="8"/>
          <w:szCs w:val="8"/>
        </w:rPr>
      </w:pPr>
    </w:p>
    <w:p w14:paraId="291FD9C7" w14:textId="77777777" w:rsidR="00D67BBA" w:rsidRDefault="00D67BBA" w:rsidP="00D67BBA">
      <w:pPr>
        <w:numPr>
          <w:ilvl w:val="1"/>
          <w:numId w:val="2"/>
        </w:numPr>
        <w:spacing w:line="360" w:lineRule="auto"/>
        <w:ind w:right="142"/>
        <w:contextualSpacing/>
        <w:jc w:val="both"/>
      </w:pPr>
      <w:r>
        <w:rPr>
          <w:rFonts w:hint="cs"/>
          <w:rtl/>
        </w:rPr>
        <w:t>אני מפעילה את הפסילה המותנת של 5 חודשים שהוטלה על הנאשם ב</w:t>
      </w:r>
      <w:hyperlink r:id="rId51" w:history="1">
        <w:r w:rsidR="00241582" w:rsidRPr="00241582">
          <w:rPr>
            <w:color w:val="0000FF"/>
            <w:u w:val="single"/>
            <w:rtl/>
          </w:rPr>
          <w:t xml:space="preserve">ת.פ. 3248/09 </w:t>
        </w:r>
      </w:hyperlink>
      <w:r>
        <w:rPr>
          <w:rFonts w:hint="cs"/>
          <w:rtl/>
        </w:rPr>
        <w:t xml:space="preserve"> (שלום באר שבע). </w:t>
      </w:r>
    </w:p>
    <w:p w14:paraId="45F26482" w14:textId="77777777" w:rsidR="00D67BBA" w:rsidRPr="00D93CC1" w:rsidRDefault="00D67BBA" w:rsidP="00D67BBA">
      <w:pPr>
        <w:spacing w:line="360" w:lineRule="auto"/>
        <w:ind w:left="1995" w:right="142"/>
        <w:contextualSpacing/>
        <w:jc w:val="both"/>
        <w:rPr>
          <w:sz w:val="8"/>
          <w:szCs w:val="8"/>
        </w:rPr>
      </w:pPr>
    </w:p>
    <w:p w14:paraId="7F06B86C" w14:textId="77777777" w:rsidR="00D67BBA" w:rsidRPr="00D93CC1" w:rsidRDefault="00D67BBA" w:rsidP="00D67BBA">
      <w:pPr>
        <w:numPr>
          <w:ilvl w:val="1"/>
          <w:numId w:val="2"/>
        </w:numPr>
        <w:spacing w:line="360" w:lineRule="auto"/>
        <w:ind w:right="142"/>
        <w:contextualSpacing/>
        <w:jc w:val="both"/>
      </w:pPr>
      <w:r>
        <w:rPr>
          <w:rFonts w:hint="cs"/>
          <w:rtl/>
        </w:rPr>
        <w:t>6 חודשי פסילה, הנאשם לא ירצה עונש זה אלא אם יעבור בתוך שנתיים מהיום על כל עבירת סמים.</w:t>
      </w:r>
    </w:p>
    <w:p w14:paraId="3FDE0856" w14:textId="77777777" w:rsidR="00D67BBA" w:rsidRPr="00C46442" w:rsidRDefault="00C46442" w:rsidP="00D67BBA">
      <w:pPr>
        <w:spacing w:line="360" w:lineRule="auto"/>
        <w:ind w:right="142"/>
        <w:jc w:val="both"/>
        <w:rPr>
          <w:color w:val="FFFFFF"/>
          <w:sz w:val="2"/>
          <w:szCs w:val="2"/>
          <w:rtl/>
        </w:rPr>
      </w:pPr>
      <w:r w:rsidRPr="00C46442">
        <w:rPr>
          <w:color w:val="FFFFFF"/>
          <w:sz w:val="2"/>
          <w:szCs w:val="2"/>
          <w:rtl/>
        </w:rPr>
        <w:t>5129371</w:t>
      </w:r>
    </w:p>
    <w:p w14:paraId="43F2A3E2" w14:textId="77777777" w:rsidR="00D67BBA" w:rsidRPr="00D93CC1" w:rsidRDefault="00C46442" w:rsidP="00D67BBA">
      <w:pPr>
        <w:spacing w:line="360" w:lineRule="auto"/>
        <w:ind w:right="142"/>
        <w:jc w:val="both"/>
        <w:rPr>
          <w:b/>
          <w:bCs/>
        </w:rPr>
      </w:pPr>
      <w:r w:rsidRPr="00C46442">
        <w:rPr>
          <w:b/>
          <w:bCs/>
          <w:color w:val="FFFFFF"/>
          <w:sz w:val="2"/>
          <w:szCs w:val="2"/>
          <w:rtl/>
        </w:rPr>
        <w:t>54678313</w:t>
      </w:r>
      <w:r w:rsidR="00D67BBA" w:rsidRPr="00D93CC1">
        <w:rPr>
          <w:rFonts w:hint="cs"/>
          <w:b/>
          <w:bCs/>
          <w:rtl/>
        </w:rPr>
        <w:t>ניתן צו להשמדת המוצגים.</w:t>
      </w:r>
    </w:p>
    <w:p w14:paraId="4E85EA5F" w14:textId="77777777" w:rsidR="00D67BBA" w:rsidRPr="00D93CC1" w:rsidRDefault="00D67BBA" w:rsidP="00D67BBA">
      <w:pPr>
        <w:spacing w:line="360" w:lineRule="auto"/>
        <w:ind w:right="142"/>
        <w:jc w:val="both"/>
        <w:rPr>
          <w:b/>
          <w:bCs/>
          <w:sz w:val="12"/>
          <w:szCs w:val="12"/>
          <w:rtl/>
        </w:rPr>
      </w:pPr>
      <w:r>
        <w:rPr>
          <w:b/>
          <w:bCs/>
          <w:color w:val="FFFFFF"/>
          <w:sz w:val="2"/>
          <w:szCs w:val="2"/>
          <w:rtl/>
        </w:rPr>
        <w:t>512</w:t>
      </w:r>
    </w:p>
    <w:p w14:paraId="027D0D1E" w14:textId="77777777" w:rsidR="00D67BBA" w:rsidRDefault="00D67BBA" w:rsidP="00D67BBA">
      <w:pPr>
        <w:spacing w:line="360" w:lineRule="auto"/>
        <w:jc w:val="both"/>
        <w:rPr>
          <w:b/>
          <w:bCs/>
          <w:u w:val="single"/>
          <w:rtl/>
        </w:rPr>
      </w:pPr>
      <w:r>
        <w:rPr>
          <w:rFonts w:hint="cs"/>
          <w:b/>
          <w:bCs/>
          <w:color w:val="FFFFFF"/>
          <w:sz w:val="2"/>
          <w:szCs w:val="2"/>
          <w:u w:val="single"/>
          <w:rtl/>
        </w:rPr>
        <w:t>זכות</w:t>
      </w:r>
      <w:r>
        <w:rPr>
          <w:rFonts w:hint="cs"/>
          <w:b/>
          <w:bCs/>
          <w:u w:val="single"/>
          <w:rtl/>
        </w:rPr>
        <w:t>זכו</w:t>
      </w:r>
      <w:r>
        <w:rPr>
          <w:rFonts w:hint="eastAsia"/>
          <w:b/>
          <w:bCs/>
          <w:u w:val="single"/>
          <w:rtl/>
        </w:rPr>
        <w:t>ת</w:t>
      </w:r>
      <w:r>
        <w:rPr>
          <w:rFonts w:hint="cs"/>
          <w:b/>
          <w:bCs/>
          <w:u w:val="single"/>
          <w:rtl/>
        </w:rPr>
        <w:t xml:space="preserve"> </w:t>
      </w:r>
      <w:r w:rsidRPr="00537CE8">
        <w:rPr>
          <w:b/>
          <w:bCs/>
          <w:u w:val="single"/>
          <w:rtl/>
        </w:rPr>
        <w:t>ערעור לבית המשפט המחוזי תוך 45 יום מהיום.</w:t>
      </w:r>
    </w:p>
    <w:p w14:paraId="126CD9C5" w14:textId="77777777" w:rsidR="00D67BBA" w:rsidRDefault="00C46442" w:rsidP="00D67BBA">
      <w:r>
        <w:rPr>
          <w:rFonts w:ascii="Arial" w:hAnsi="Arial"/>
          <w:rtl/>
        </w:rPr>
        <w:t xml:space="preserve">ניתן היום,  ט"ו אדר א' תשע"ו, 24 פברואר 2016, בנוכחות ב"כ הצדדים והנאשם.      </w:t>
      </w:r>
      <w:r w:rsidR="00D67BBA" w:rsidRPr="00537CE8">
        <w:rPr>
          <w:rtl/>
        </w:rPr>
        <w:tab/>
      </w:r>
      <w:r w:rsidR="00D67BBA" w:rsidRPr="00537CE8">
        <w:rPr>
          <w:rtl/>
        </w:rPr>
        <w:tab/>
      </w:r>
      <w:r w:rsidR="00D67BBA" w:rsidRPr="00537CE8">
        <w:rPr>
          <w:rtl/>
        </w:rPr>
        <w:tab/>
      </w:r>
      <w:r w:rsidR="00D67BBA">
        <w:rPr>
          <w:rFonts w:hint="cs"/>
          <w:rtl/>
        </w:rPr>
        <w:t xml:space="preserve">   </w:t>
      </w:r>
      <w:r w:rsidR="00D67BBA">
        <w:rPr>
          <w:rFonts w:hint="cs"/>
          <w:rtl/>
        </w:rPr>
        <w:tab/>
      </w:r>
      <w:r w:rsidR="00D67BBA">
        <w:rPr>
          <w:rFonts w:hint="cs"/>
          <w:rtl/>
        </w:rPr>
        <w:tab/>
      </w:r>
      <w:r w:rsidR="00D67BBA">
        <w:rPr>
          <w:rFonts w:hint="cs"/>
          <w:rtl/>
        </w:rPr>
        <w:tab/>
      </w:r>
      <w:r w:rsidR="00D67BBA">
        <w:rPr>
          <w:rFonts w:hint="cs"/>
          <w:rtl/>
        </w:rPr>
        <w:tab/>
      </w:r>
      <w:r w:rsidR="00D67BBA">
        <w:rPr>
          <w:rFonts w:hint="cs"/>
          <w:rtl/>
        </w:rPr>
        <w:tab/>
      </w:r>
    </w:p>
    <w:p w14:paraId="74EB11F0" w14:textId="77777777" w:rsidR="00D67BBA" w:rsidRDefault="00D67BBA" w:rsidP="00D67BBA">
      <w:pPr>
        <w:rPr>
          <w:rFonts w:ascii="Arial" w:hAnsi="Arial" w:cs="FrankRuehl"/>
          <w:sz w:val="28"/>
          <w:szCs w:val="28"/>
          <w:rtl/>
        </w:rPr>
      </w:pPr>
    </w:p>
    <w:p w14:paraId="791C1DF1" w14:textId="77777777" w:rsidR="00C46442" w:rsidRPr="00C46442" w:rsidRDefault="00C46442" w:rsidP="00C46442">
      <w:pPr>
        <w:keepNext/>
        <w:rPr>
          <w:rFonts w:ascii="David" w:hAnsi="David"/>
          <w:color w:val="000000"/>
          <w:sz w:val="22"/>
          <w:szCs w:val="22"/>
          <w:rtl/>
        </w:rPr>
      </w:pPr>
    </w:p>
    <w:p w14:paraId="46B5AD32" w14:textId="77777777" w:rsidR="00C46442" w:rsidRPr="00C46442" w:rsidRDefault="00C46442" w:rsidP="00C46442">
      <w:pPr>
        <w:keepNext/>
        <w:rPr>
          <w:rFonts w:ascii="David" w:hAnsi="David"/>
          <w:color w:val="000000"/>
          <w:sz w:val="22"/>
          <w:szCs w:val="22"/>
          <w:rtl/>
        </w:rPr>
      </w:pPr>
      <w:r w:rsidRPr="00C46442">
        <w:rPr>
          <w:rFonts w:ascii="David" w:hAnsi="David"/>
          <w:color w:val="000000"/>
          <w:sz w:val="22"/>
          <w:szCs w:val="22"/>
          <w:rtl/>
        </w:rPr>
        <w:t>חנה מרים לומפ 54678313</w:t>
      </w:r>
    </w:p>
    <w:p w14:paraId="42C240BD" w14:textId="77777777" w:rsidR="00C46442" w:rsidRDefault="00C46442" w:rsidP="00C46442">
      <w:r w:rsidRPr="00C46442">
        <w:rPr>
          <w:color w:val="000000"/>
          <w:rtl/>
        </w:rPr>
        <w:t>נוסח מסמך זה כפוף לשינויי ניסוח ועריכה</w:t>
      </w:r>
    </w:p>
    <w:p w14:paraId="313A69E1" w14:textId="77777777" w:rsidR="00C46442" w:rsidRDefault="00C46442" w:rsidP="00C46442">
      <w:pPr>
        <w:rPr>
          <w:rtl/>
        </w:rPr>
      </w:pPr>
    </w:p>
    <w:p w14:paraId="28FCA0B3" w14:textId="77777777" w:rsidR="00C46442" w:rsidRDefault="00C46442" w:rsidP="00C46442">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r w:rsidR="00241582">
        <w:rPr>
          <w:rFonts w:hint="cs"/>
          <w:color w:val="0000FF"/>
          <w:u w:val="single"/>
          <w:rtl/>
        </w:rPr>
        <w:t xml:space="preserve"> </w:t>
      </w:r>
      <w:r w:rsidR="00854E04">
        <w:rPr>
          <w:rFonts w:hint="cs"/>
          <w:color w:val="0000FF"/>
          <w:u w:val="single"/>
          <w:rtl/>
        </w:rPr>
        <w:t xml:space="preserve"> </w:t>
      </w:r>
    </w:p>
    <w:p w14:paraId="7EADC332" w14:textId="77777777" w:rsidR="00B1215F" w:rsidRPr="00C46442" w:rsidRDefault="00B1215F" w:rsidP="00C46442">
      <w:pPr>
        <w:jc w:val="center"/>
        <w:rPr>
          <w:color w:val="0000FF"/>
          <w:u w:val="single"/>
        </w:rPr>
      </w:pPr>
    </w:p>
    <w:sectPr w:rsidR="00B1215F" w:rsidRPr="00C46442" w:rsidSect="00C46442">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EBDA6" w14:textId="77777777" w:rsidR="00D30E28" w:rsidRDefault="00D30E28">
      <w:r>
        <w:separator/>
      </w:r>
    </w:p>
  </w:endnote>
  <w:endnote w:type="continuationSeparator" w:id="0">
    <w:p w14:paraId="44538D13" w14:textId="77777777" w:rsidR="00D30E28" w:rsidRDefault="00D3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83C28" w14:textId="77777777" w:rsidR="00970D0A" w:rsidRDefault="00970D0A" w:rsidP="00C4644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58819A" w14:textId="77777777" w:rsidR="00970D0A" w:rsidRPr="00C46442" w:rsidRDefault="00970D0A" w:rsidP="00C46442">
    <w:pPr>
      <w:pStyle w:val="a4"/>
      <w:pBdr>
        <w:top w:val="single" w:sz="4" w:space="1" w:color="auto"/>
        <w:between w:val="single" w:sz="4" w:space="0" w:color="auto"/>
      </w:pBdr>
      <w:spacing w:after="60"/>
      <w:jc w:val="center"/>
      <w:rPr>
        <w:rFonts w:ascii="FrankRuehl" w:hAnsi="FrankRuehl" w:cs="FrankRuehl"/>
        <w:color w:val="000000"/>
      </w:rPr>
    </w:pPr>
    <w:r w:rsidRPr="00C464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8D133" w14:textId="77777777" w:rsidR="00970D0A" w:rsidRDefault="00970D0A" w:rsidP="00C4644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D7E18">
      <w:rPr>
        <w:rFonts w:ascii="FrankRuehl" w:hAnsi="FrankRuehl" w:cs="FrankRuehl"/>
        <w:noProof/>
        <w:rtl/>
      </w:rPr>
      <w:t>2</w:t>
    </w:r>
    <w:r>
      <w:rPr>
        <w:rFonts w:ascii="FrankRuehl" w:hAnsi="FrankRuehl" w:cs="FrankRuehl"/>
        <w:rtl/>
      </w:rPr>
      <w:fldChar w:fldCharType="end"/>
    </w:r>
  </w:p>
  <w:p w14:paraId="0F4E4B60" w14:textId="77777777" w:rsidR="00970D0A" w:rsidRPr="00C46442" w:rsidRDefault="00970D0A" w:rsidP="00C46442">
    <w:pPr>
      <w:pStyle w:val="a4"/>
      <w:pBdr>
        <w:top w:val="single" w:sz="4" w:space="1" w:color="auto"/>
        <w:between w:val="single" w:sz="4" w:space="0" w:color="auto"/>
      </w:pBdr>
      <w:spacing w:after="60"/>
      <w:jc w:val="center"/>
      <w:rPr>
        <w:rFonts w:ascii="FrankRuehl" w:hAnsi="FrankRuehl" w:cs="FrankRuehl"/>
        <w:color w:val="000000"/>
      </w:rPr>
    </w:pPr>
    <w:r w:rsidRPr="00C46442">
      <w:rPr>
        <w:rFonts w:ascii="FrankRuehl" w:hAnsi="FrankRuehl" w:cs="FrankRuehl"/>
        <w:color w:val="000000"/>
      </w:rPr>
      <w:pict w14:anchorId="4CC6F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B0F15C" w14:textId="77777777" w:rsidR="00D30E28" w:rsidRDefault="00D30E28">
      <w:r>
        <w:separator/>
      </w:r>
    </w:p>
  </w:footnote>
  <w:footnote w:type="continuationSeparator" w:id="0">
    <w:p w14:paraId="6BA2A519" w14:textId="77777777" w:rsidR="00D30E28" w:rsidRDefault="00D30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609C30" w14:textId="77777777" w:rsidR="00970D0A" w:rsidRPr="00C46442" w:rsidRDefault="00970D0A" w:rsidP="00C464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54307-05-12</w:t>
    </w:r>
    <w:r>
      <w:rPr>
        <w:rFonts w:ascii="David" w:hAnsi="David"/>
        <w:color w:val="000000"/>
        <w:sz w:val="22"/>
        <w:szCs w:val="22"/>
        <w:rtl/>
      </w:rPr>
      <w:tab/>
      <w:t xml:space="preserve"> מדינת ישראל נ' אריאל גרינוולד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A7952" w14:textId="77777777" w:rsidR="00970D0A" w:rsidRPr="00C46442" w:rsidRDefault="00970D0A" w:rsidP="00C464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54307-05-12</w:t>
    </w:r>
    <w:r>
      <w:rPr>
        <w:rFonts w:ascii="David" w:hAnsi="David"/>
        <w:color w:val="000000"/>
        <w:sz w:val="22"/>
        <w:szCs w:val="22"/>
        <w:rtl/>
      </w:rPr>
      <w:tab/>
      <w:t xml:space="preserve"> מדינת ישראל נ' אריאל גרינוולד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7B73"/>
    <w:multiLevelType w:val="hybridMultilevel"/>
    <w:tmpl w:val="F8DCB81E"/>
    <w:lvl w:ilvl="0" w:tplc="0409000F">
      <w:start w:val="1"/>
      <w:numFmt w:val="decimal"/>
      <w:lvlText w:val="%1."/>
      <w:lvlJc w:val="left"/>
      <w:pPr>
        <w:ind w:left="720" w:hanging="360"/>
      </w:pPr>
      <w:rPr>
        <w:rFonts w:cs="Times New Roman"/>
      </w:rPr>
    </w:lvl>
    <w:lvl w:ilvl="1" w:tplc="04090013">
      <w:start w:val="1"/>
      <w:numFmt w:val="hebrew1"/>
      <w:lvlText w:val="%2."/>
      <w:lvlJc w:val="center"/>
      <w:pPr>
        <w:ind w:left="1995" w:hanging="915"/>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BFE7723"/>
    <w:multiLevelType w:val="hybridMultilevel"/>
    <w:tmpl w:val="621C3C12"/>
    <w:lvl w:ilvl="0" w:tplc="E684DEB6">
      <w:start w:val="1"/>
      <w:numFmt w:val="decimal"/>
      <w:lvlText w:val="%1."/>
      <w:lvlJc w:val="left"/>
      <w:pPr>
        <w:ind w:left="720" w:hanging="360"/>
      </w:pPr>
      <w:rPr>
        <w:rFonts w:cs="David"/>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0080924">
    <w:abstractNumId w:val="1"/>
  </w:num>
  <w:num w:numId="2" w16cid:durableId="18970083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67BBA"/>
    <w:rsid w:val="00174FB2"/>
    <w:rsid w:val="00205D4B"/>
    <w:rsid w:val="00241582"/>
    <w:rsid w:val="00290989"/>
    <w:rsid w:val="0038698C"/>
    <w:rsid w:val="0040348C"/>
    <w:rsid w:val="00600F1B"/>
    <w:rsid w:val="006D7E18"/>
    <w:rsid w:val="00740633"/>
    <w:rsid w:val="00854E04"/>
    <w:rsid w:val="00970D0A"/>
    <w:rsid w:val="00B1215F"/>
    <w:rsid w:val="00C46442"/>
    <w:rsid w:val="00D24172"/>
    <w:rsid w:val="00D30E28"/>
    <w:rsid w:val="00D67BBA"/>
    <w:rsid w:val="00E144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20C9FB"/>
  <w15:chartTrackingRefBased/>
  <w15:docId w15:val="{90FCC7E1-F5E2-4E97-8D6D-54175EFBB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67BBA"/>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D67BBA"/>
    <w:pPr>
      <w:tabs>
        <w:tab w:val="center" w:pos="4153"/>
        <w:tab w:val="right" w:pos="8306"/>
      </w:tabs>
    </w:pPr>
  </w:style>
  <w:style w:type="paragraph" w:styleId="a4">
    <w:name w:val="footer"/>
    <w:basedOn w:val="a"/>
    <w:rsid w:val="00D67BBA"/>
    <w:pPr>
      <w:tabs>
        <w:tab w:val="center" w:pos="4153"/>
        <w:tab w:val="right" w:pos="8306"/>
      </w:tabs>
    </w:pPr>
  </w:style>
  <w:style w:type="character" w:styleId="a5">
    <w:name w:val="page number"/>
    <w:basedOn w:val="a0"/>
    <w:rsid w:val="00D67BBA"/>
  </w:style>
  <w:style w:type="paragraph" w:customStyle="1" w:styleId="ListParagraph">
    <w:name w:val="List Paragraph"/>
    <w:basedOn w:val="a"/>
    <w:rsid w:val="00D67BBA"/>
    <w:pPr>
      <w:ind w:left="720"/>
      <w:contextualSpacing/>
    </w:pPr>
  </w:style>
  <w:style w:type="character" w:styleId="Hyperlink">
    <w:name w:val="Hyperlink"/>
    <w:rsid w:val="00D67BBA"/>
    <w:rPr>
      <w:color w:val="0000FF"/>
      <w:u w:val="single"/>
    </w:rPr>
  </w:style>
  <w:style w:type="paragraph" w:customStyle="1" w:styleId="Ruller4">
    <w:name w:val="Ruller4"/>
    <w:basedOn w:val="a"/>
    <w:rsid w:val="00D67BBA"/>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D67BBA"/>
    <w:pPr>
      <w:overflowPunct w:val="0"/>
      <w:autoSpaceDE w:val="0"/>
      <w:autoSpaceDN w:val="0"/>
      <w:adjustRightInd w:val="0"/>
      <w:ind w:left="1642" w:right="1282"/>
      <w:jc w:val="both"/>
    </w:pPr>
    <w:rPr>
      <w:rFonts w:ascii="Arial TUR" w:hAnsi="Arial TUR" w:cs="FrankRuehl"/>
      <w:spacing w:val="10"/>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0" TargetMode="External"/><Relationship Id="rId18" Type="http://schemas.openxmlformats.org/officeDocument/2006/relationships/hyperlink" Target="http://www.nevo.co.il/law/70301/379" TargetMode="External"/><Relationship Id="rId26" Type="http://schemas.openxmlformats.org/officeDocument/2006/relationships/hyperlink" Target="http://www.nevo.co.il/case/4126012" TargetMode="External"/><Relationship Id="rId39" Type="http://schemas.openxmlformats.org/officeDocument/2006/relationships/hyperlink" Target="http://www.nevo.co.il/case/5726579" TargetMode="External"/><Relationship Id="rId21" Type="http://schemas.openxmlformats.org/officeDocument/2006/relationships/hyperlink" Target="http://www.nevo.co.il/case/4126012" TargetMode="External"/><Relationship Id="rId34" Type="http://schemas.openxmlformats.org/officeDocument/2006/relationships/hyperlink" Target="http://www.nevo.co.il/law/70301/40b" TargetMode="External"/><Relationship Id="rId42" Type="http://schemas.openxmlformats.org/officeDocument/2006/relationships/hyperlink" Target="http://www.nevo.co.il/law/70301/40c" TargetMode="External"/><Relationship Id="rId47" Type="http://schemas.openxmlformats.org/officeDocument/2006/relationships/hyperlink" Target="http://www.nevo.co.il/law/70301/40d" TargetMode="External"/><Relationship Id="rId50" Type="http://schemas.openxmlformats.org/officeDocument/2006/relationships/hyperlink" Target="http://www.nevo.co.il/case/2452120"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5639765" TargetMode="External"/><Relationship Id="rId37" Type="http://schemas.openxmlformats.org/officeDocument/2006/relationships/hyperlink" Target="http://www.nevo.co.il/case/5585052" TargetMode="External"/><Relationship Id="rId40" Type="http://schemas.openxmlformats.org/officeDocument/2006/relationships/hyperlink" Target="http://www.nevo.co.il/case/6076151" TargetMode="External"/><Relationship Id="rId45" Type="http://schemas.openxmlformats.org/officeDocument/2006/relationships/hyperlink" Target="http://www.nevo.co.il/case/4126012"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380" TargetMode="External"/><Relationship Id="rId4" Type="http://schemas.openxmlformats.org/officeDocument/2006/relationships/webSettings" Target="webSettings.xml"/><Relationship Id="rId9" Type="http://schemas.openxmlformats.org/officeDocument/2006/relationships/hyperlink" Target="http://www.nevo.co.il/law/70301/40c" TargetMode="External"/><Relationship Id="rId14" Type="http://schemas.openxmlformats.org/officeDocument/2006/relationships/hyperlink" Target="http://www.nevo.co.il/law/70301/40jc.b" TargetMode="External"/><Relationship Id="rId22" Type="http://schemas.openxmlformats.org/officeDocument/2006/relationships/hyperlink" Target="http://www.nevo.co.il/case/4006524" TargetMode="External"/><Relationship Id="rId27" Type="http://schemas.openxmlformats.org/officeDocument/2006/relationships/hyperlink" Target="http://www.nevo.co.il/case/4006524" TargetMode="External"/><Relationship Id="rId30" Type="http://schemas.openxmlformats.org/officeDocument/2006/relationships/hyperlink" Target="http://www.nevo.co.il/law/70301/40jc.b" TargetMode="External"/><Relationship Id="rId35" Type="http://schemas.openxmlformats.org/officeDocument/2006/relationships/hyperlink" Target="http://www.nevo.co.il/case/4126012"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footer" Target="footer2.xml"/><Relationship Id="rId8" Type="http://schemas.openxmlformats.org/officeDocument/2006/relationships/hyperlink" Target="http://www.nevo.co.il/law/70301/40b" TargetMode="External"/><Relationship Id="rId51" Type="http://schemas.openxmlformats.org/officeDocument/2006/relationships/hyperlink" Target="http://www.nevo.co.il/case/2452120" TargetMode="External"/><Relationship Id="rId3" Type="http://schemas.openxmlformats.org/officeDocument/2006/relationships/settings" Target="settings.xml"/><Relationship Id="rId12" Type="http://schemas.openxmlformats.org/officeDocument/2006/relationships/hyperlink" Target="http://www.nevo.co.il/law/70301/379" TargetMode="External"/><Relationship Id="rId17" Type="http://schemas.openxmlformats.org/officeDocument/2006/relationships/hyperlink" Target="http://www.nevo.co.il/law/4216/7.c" TargetMode="External"/><Relationship Id="rId25" Type="http://schemas.openxmlformats.org/officeDocument/2006/relationships/hyperlink" Target="http://www.nevo.co.il/law/4216" TargetMode="External"/><Relationship Id="rId33" Type="http://schemas.openxmlformats.org/officeDocument/2006/relationships/hyperlink" Target="http://www.nevo.co.il/case/13093721" TargetMode="External"/><Relationship Id="rId38" Type="http://schemas.openxmlformats.org/officeDocument/2006/relationships/hyperlink" Target="http://www.nevo.co.il/case/5698919" TargetMode="External"/><Relationship Id="rId46" Type="http://schemas.openxmlformats.org/officeDocument/2006/relationships/hyperlink" Target="http://www.nevo.co.il/case/4006524"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5903534"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40jc.b" TargetMode="External"/><Relationship Id="rId36" Type="http://schemas.openxmlformats.org/officeDocument/2006/relationships/hyperlink" Target="http://www.nevo.co.il/case/4006524%20%20%20" TargetMode="External"/><Relationship Id="rId49" Type="http://schemas.openxmlformats.org/officeDocument/2006/relationships/hyperlink" Target="http://www.nevo.co.il/case/20321873" TargetMode="External"/><Relationship Id="rId57" Type="http://schemas.openxmlformats.org/officeDocument/2006/relationships/fontTable" Target="fontTable.xml"/><Relationship Id="rId10" Type="http://schemas.openxmlformats.org/officeDocument/2006/relationships/hyperlink" Target="http://www.nevo.co.il/law/70301/40d"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40i"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3558</Words>
  <Characters>17794</Characters>
  <Application>Microsoft Office Word</Application>
  <DocSecurity>0</DocSecurity>
  <Lines>148</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21310</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3539056</vt:i4>
      </vt:variant>
      <vt:variant>
        <vt:i4>132</vt:i4>
      </vt:variant>
      <vt:variant>
        <vt:i4>0</vt:i4>
      </vt:variant>
      <vt:variant>
        <vt:i4>5</vt:i4>
      </vt:variant>
      <vt:variant>
        <vt:lpwstr>http://www.nevo.co.il/case/2452120</vt:lpwstr>
      </vt:variant>
      <vt:variant>
        <vt:lpwstr/>
      </vt:variant>
      <vt:variant>
        <vt:i4>3539056</vt:i4>
      </vt:variant>
      <vt:variant>
        <vt:i4>129</vt:i4>
      </vt:variant>
      <vt:variant>
        <vt:i4>0</vt:i4>
      </vt:variant>
      <vt:variant>
        <vt:i4>5</vt:i4>
      </vt:variant>
      <vt:variant>
        <vt:lpwstr>http://www.nevo.co.il/case/2452120</vt:lpwstr>
      </vt:variant>
      <vt:variant>
        <vt:lpwstr/>
      </vt:variant>
      <vt:variant>
        <vt:i4>3604606</vt:i4>
      </vt:variant>
      <vt:variant>
        <vt:i4>126</vt:i4>
      </vt:variant>
      <vt:variant>
        <vt:i4>0</vt:i4>
      </vt:variant>
      <vt:variant>
        <vt:i4>5</vt:i4>
      </vt:variant>
      <vt:variant>
        <vt:lpwstr>http://www.nevo.co.il/case/20321873</vt:lpwstr>
      </vt:variant>
      <vt:variant>
        <vt:lpwstr/>
      </vt:variant>
      <vt:variant>
        <vt:i4>7995492</vt:i4>
      </vt:variant>
      <vt:variant>
        <vt:i4>123</vt:i4>
      </vt:variant>
      <vt:variant>
        <vt:i4>0</vt:i4>
      </vt:variant>
      <vt:variant>
        <vt:i4>5</vt:i4>
      </vt:variant>
      <vt:variant>
        <vt:lpwstr>http://www.nevo.co.il/law/70301</vt:lpwstr>
      </vt:variant>
      <vt:variant>
        <vt:lpwstr/>
      </vt:variant>
      <vt:variant>
        <vt:i4>6619233</vt:i4>
      </vt:variant>
      <vt:variant>
        <vt:i4>120</vt:i4>
      </vt:variant>
      <vt:variant>
        <vt:i4>0</vt:i4>
      </vt:variant>
      <vt:variant>
        <vt:i4>5</vt:i4>
      </vt:variant>
      <vt:variant>
        <vt:lpwstr>http://www.nevo.co.il/law/70301/40d</vt:lpwstr>
      </vt:variant>
      <vt:variant>
        <vt:lpwstr/>
      </vt:variant>
      <vt:variant>
        <vt:i4>3473520</vt:i4>
      </vt:variant>
      <vt:variant>
        <vt:i4>117</vt:i4>
      </vt:variant>
      <vt:variant>
        <vt:i4>0</vt:i4>
      </vt:variant>
      <vt:variant>
        <vt:i4>5</vt:i4>
      </vt:variant>
      <vt:variant>
        <vt:lpwstr>http://www.nevo.co.il/case/4006524</vt:lpwstr>
      </vt:variant>
      <vt:variant>
        <vt:lpwstr/>
      </vt:variant>
      <vt:variant>
        <vt:i4>3407986</vt:i4>
      </vt:variant>
      <vt:variant>
        <vt:i4>114</vt:i4>
      </vt:variant>
      <vt:variant>
        <vt:i4>0</vt:i4>
      </vt:variant>
      <vt:variant>
        <vt:i4>5</vt:i4>
      </vt:variant>
      <vt:variant>
        <vt:lpwstr>http://www.nevo.co.il/case/4126012</vt:lpwstr>
      </vt:variant>
      <vt:variant>
        <vt:lpwstr/>
      </vt:variant>
      <vt:variant>
        <vt:i4>6619233</vt:i4>
      </vt:variant>
      <vt:variant>
        <vt:i4>111</vt:i4>
      </vt:variant>
      <vt:variant>
        <vt:i4>0</vt:i4>
      </vt:variant>
      <vt:variant>
        <vt:i4>5</vt:i4>
      </vt:variant>
      <vt:variant>
        <vt:lpwstr>http://www.nevo.co.il/law/70301/40i</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6619233</vt:i4>
      </vt:variant>
      <vt:variant>
        <vt:i4>105</vt:i4>
      </vt:variant>
      <vt:variant>
        <vt:i4>0</vt:i4>
      </vt:variant>
      <vt:variant>
        <vt:i4>5</vt:i4>
      </vt:variant>
      <vt:variant>
        <vt:lpwstr>http://www.nevo.co.il/law/70301/40c</vt:lpwstr>
      </vt:variant>
      <vt:variant>
        <vt:lpwstr/>
      </vt:variant>
      <vt:variant>
        <vt:i4>3407997</vt:i4>
      </vt:variant>
      <vt:variant>
        <vt:i4>102</vt:i4>
      </vt:variant>
      <vt:variant>
        <vt:i4>0</vt:i4>
      </vt:variant>
      <vt:variant>
        <vt:i4>5</vt:i4>
      </vt:variant>
      <vt:variant>
        <vt:lpwstr>http://www.nevo.co.il/case/5903534</vt:lpwstr>
      </vt:variant>
      <vt:variant>
        <vt:lpwstr/>
      </vt:variant>
      <vt:variant>
        <vt:i4>3211383</vt:i4>
      </vt:variant>
      <vt:variant>
        <vt:i4>99</vt:i4>
      </vt:variant>
      <vt:variant>
        <vt:i4>0</vt:i4>
      </vt:variant>
      <vt:variant>
        <vt:i4>5</vt:i4>
      </vt:variant>
      <vt:variant>
        <vt:lpwstr>http://www.nevo.co.il/case/6076151</vt:lpwstr>
      </vt:variant>
      <vt:variant>
        <vt:lpwstr/>
      </vt:variant>
      <vt:variant>
        <vt:i4>3866738</vt:i4>
      </vt:variant>
      <vt:variant>
        <vt:i4>96</vt:i4>
      </vt:variant>
      <vt:variant>
        <vt:i4>0</vt:i4>
      </vt:variant>
      <vt:variant>
        <vt:i4>5</vt:i4>
      </vt:variant>
      <vt:variant>
        <vt:lpwstr>http://www.nevo.co.il/case/5726579</vt:lpwstr>
      </vt:variant>
      <vt:variant>
        <vt:lpwstr/>
      </vt:variant>
      <vt:variant>
        <vt:i4>3932283</vt:i4>
      </vt:variant>
      <vt:variant>
        <vt:i4>93</vt:i4>
      </vt:variant>
      <vt:variant>
        <vt:i4>0</vt:i4>
      </vt:variant>
      <vt:variant>
        <vt:i4>5</vt:i4>
      </vt:variant>
      <vt:variant>
        <vt:lpwstr>http://www.nevo.co.il/case/5698919</vt:lpwstr>
      </vt:variant>
      <vt:variant>
        <vt:lpwstr/>
      </vt:variant>
      <vt:variant>
        <vt:i4>4128881</vt:i4>
      </vt:variant>
      <vt:variant>
        <vt:i4>90</vt:i4>
      </vt:variant>
      <vt:variant>
        <vt:i4>0</vt:i4>
      </vt:variant>
      <vt:variant>
        <vt:i4>5</vt:i4>
      </vt:variant>
      <vt:variant>
        <vt:lpwstr>http://www.nevo.co.il/case/5585052</vt:lpwstr>
      </vt:variant>
      <vt:variant>
        <vt:lpwstr/>
      </vt:variant>
      <vt:variant>
        <vt:i4>3473520</vt:i4>
      </vt:variant>
      <vt:variant>
        <vt:i4>87</vt:i4>
      </vt:variant>
      <vt:variant>
        <vt:i4>0</vt:i4>
      </vt:variant>
      <vt:variant>
        <vt:i4>5</vt:i4>
      </vt:variant>
      <vt:variant>
        <vt:lpwstr>http://www.nevo.co.il/case/4006524</vt:lpwstr>
      </vt:variant>
      <vt:variant>
        <vt:lpwstr/>
      </vt:variant>
      <vt:variant>
        <vt:i4>3407986</vt:i4>
      </vt:variant>
      <vt:variant>
        <vt:i4>84</vt:i4>
      </vt:variant>
      <vt:variant>
        <vt:i4>0</vt:i4>
      </vt:variant>
      <vt:variant>
        <vt:i4>5</vt:i4>
      </vt:variant>
      <vt:variant>
        <vt:lpwstr>http://www.nevo.co.il/case/4126012</vt:lpwstr>
      </vt:variant>
      <vt:variant>
        <vt:lpwstr/>
      </vt:variant>
      <vt:variant>
        <vt:i4>6619233</vt:i4>
      </vt:variant>
      <vt:variant>
        <vt:i4>81</vt:i4>
      </vt:variant>
      <vt:variant>
        <vt:i4>0</vt:i4>
      </vt:variant>
      <vt:variant>
        <vt:i4>5</vt:i4>
      </vt:variant>
      <vt:variant>
        <vt:lpwstr>http://www.nevo.co.il/law/70301/40b</vt:lpwstr>
      </vt:variant>
      <vt:variant>
        <vt:lpwstr/>
      </vt:variant>
      <vt:variant>
        <vt:i4>3145849</vt:i4>
      </vt:variant>
      <vt:variant>
        <vt:i4>78</vt:i4>
      </vt:variant>
      <vt:variant>
        <vt:i4>0</vt:i4>
      </vt:variant>
      <vt:variant>
        <vt:i4>5</vt:i4>
      </vt:variant>
      <vt:variant>
        <vt:lpwstr>http://www.nevo.co.il/case/13093721</vt:lpwstr>
      </vt:variant>
      <vt:variant>
        <vt:lpwstr/>
      </vt:variant>
      <vt:variant>
        <vt:i4>3407997</vt:i4>
      </vt:variant>
      <vt:variant>
        <vt:i4>75</vt:i4>
      </vt:variant>
      <vt:variant>
        <vt:i4>0</vt:i4>
      </vt:variant>
      <vt:variant>
        <vt:i4>5</vt:i4>
      </vt:variant>
      <vt:variant>
        <vt:lpwstr>http://www.nevo.co.il/case/5639765</vt:lpwstr>
      </vt:variant>
      <vt:variant>
        <vt:lpwstr/>
      </vt:variant>
      <vt:variant>
        <vt:i4>7995492</vt:i4>
      </vt:variant>
      <vt:variant>
        <vt:i4>72</vt:i4>
      </vt:variant>
      <vt:variant>
        <vt:i4>0</vt:i4>
      </vt:variant>
      <vt:variant>
        <vt:i4>5</vt:i4>
      </vt:variant>
      <vt:variant>
        <vt:lpwstr>http://www.nevo.co.il/law/70301</vt:lpwstr>
      </vt:variant>
      <vt:variant>
        <vt:lpwstr/>
      </vt:variant>
      <vt:variant>
        <vt:i4>6553637</vt:i4>
      </vt:variant>
      <vt:variant>
        <vt:i4>69</vt:i4>
      </vt:variant>
      <vt:variant>
        <vt:i4>0</vt:i4>
      </vt:variant>
      <vt:variant>
        <vt:i4>5</vt:i4>
      </vt:variant>
      <vt:variant>
        <vt:lpwstr>http://www.nevo.co.il/law/70301/40jc.b</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6553637</vt:i4>
      </vt:variant>
      <vt:variant>
        <vt:i4>63</vt:i4>
      </vt:variant>
      <vt:variant>
        <vt:i4>0</vt:i4>
      </vt:variant>
      <vt:variant>
        <vt:i4>5</vt:i4>
      </vt:variant>
      <vt:variant>
        <vt:lpwstr>http://www.nevo.co.il/law/70301/40jc.b</vt:lpwstr>
      </vt:variant>
      <vt:variant>
        <vt:lpwstr/>
      </vt:variant>
      <vt:variant>
        <vt:i4>3473520</vt:i4>
      </vt:variant>
      <vt:variant>
        <vt:i4>60</vt:i4>
      </vt:variant>
      <vt:variant>
        <vt:i4>0</vt:i4>
      </vt:variant>
      <vt:variant>
        <vt:i4>5</vt:i4>
      </vt:variant>
      <vt:variant>
        <vt:lpwstr>http://www.nevo.co.il/case/4006524</vt:lpwstr>
      </vt:variant>
      <vt:variant>
        <vt:lpwstr/>
      </vt:variant>
      <vt:variant>
        <vt:i4>3407986</vt:i4>
      </vt:variant>
      <vt:variant>
        <vt:i4>57</vt:i4>
      </vt:variant>
      <vt:variant>
        <vt:i4>0</vt:i4>
      </vt:variant>
      <vt:variant>
        <vt:i4>5</vt:i4>
      </vt:variant>
      <vt:variant>
        <vt:lpwstr>http://www.nevo.co.il/case/4126012</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3473520</vt:i4>
      </vt:variant>
      <vt:variant>
        <vt:i4>45</vt:i4>
      </vt:variant>
      <vt:variant>
        <vt:i4>0</vt:i4>
      </vt:variant>
      <vt:variant>
        <vt:i4>5</vt:i4>
      </vt:variant>
      <vt:variant>
        <vt:lpwstr>http://www.nevo.co.il/case/4006524</vt:lpwstr>
      </vt:variant>
      <vt:variant>
        <vt:lpwstr/>
      </vt:variant>
      <vt:variant>
        <vt:i4>3407986</vt:i4>
      </vt:variant>
      <vt:variant>
        <vt:i4>42</vt:i4>
      </vt:variant>
      <vt:variant>
        <vt:i4>0</vt:i4>
      </vt:variant>
      <vt:variant>
        <vt:i4>5</vt:i4>
      </vt:variant>
      <vt:variant>
        <vt:lpwstr>http://www.nevo.co.il/case/4126012</vt:lpwstr>
      </vt:variant>
      <vt:variant>
        <vt:lpwstr/>
      </vt:variant>
      <vt:variant>
        <vt:i4>7995492</vt:i4>
      </vt:variant>
      <vt:variant>
        <vt:i4>39</vt:i4>
      </vt:variant>
      <vt:variant>
        <vt:i4>0</vt:i4>
      </vt:variant>
      <vt:variant>
        <vt:i4>5</vt:i4>
      </vt:variant>
      <vt:variant>
        <vt:lpwstr>http://www.nevo.co.il/law/70301</vt:lpwstr>
      </vt:variant>
      <vt:variant>
        <vt:lpwstr/>
      </vt:variant>
      <vt:variant>
        <vt:i4>7143526</vt:i4>
      </vt:variant>
      <vt:variant>
        <vt:i4>36</vt:i4>
      </vt:variant>
      <vt:variant>
        <vt:i4>0</vt:i4>
      </vt:variant>
      <vt:variant>
        <vt:i4>5</vt:i4>
      </vt:variant>
      <vt:variant>
        <vt:lpwstr>http://www.nevo.co.il/law/70301/380</vt:lpwstr>
      </vt:variant>
      <vt:variant>
        <vt:lpwstr/>
      </vt:variant>
      <vt:variant>
        <vt:i4>6422630</vt:i4>
      </vt:variant>
      <vt:variant>
        <vt:i4>33</vt:i4>
      </vt:variant>
      <vt:variant>
        <vt:i4>0</vt:i4>
      </vt:variant>
      <vt:variant>
        <vt:i4>5</vt:i4>
      </vt:variant>
      <vt:variant>
        <vt:lpwstr>http://www.nevo.co.il/law/70301/379</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6553637</vt:i4>
      </vt:variant>
      <vt:variant>
        <vt:i4>21</vt:i4>
      </vt:variant>
      <vt:variant>
        <vt:i4>0</vt:i4>
      </vt:variant>
      <vt:variant>
        <vt:i4>5</vt:i4>
      </vt:variant>
      <vt:variant>
        <vt:lpwstr>http://www.nevo.co.il/law/70301/40jc.b</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54307;50613;48300</vt:lpwstr>
  </property>
  <property fmtid="{D5CDD505-2E9C-101B-9397-08002B2CF9AE}" pid="6" name="NEWPARTB">
    <vt:lpwstr>05;12;10</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אריאל גרינוולד</vt:lpwstr>
  </property>
  <property fmtid="{D5CDD505-2E9C-101B-9397-08002B2CF9AE}" pid="10" name="LAWYER">
    <vt:lpwstr>דינה דוד;מיכאל עירוני</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20160224</vt:lpwstr>
  </property>
  <property fmtid="{D5CDD505-2E9C-101B-9397-08002B2CF9AE}" pid="14" name="TYPE_N_DATE">
    <vt:lpwstr>38020160224</vt:lpwstr>
  </property>
  <property fmtid="{D5CDD505-2E9C-101B-9397-08002B2CF9AE}" pid="15" name="WORDNUMPAGES">
    <vt:lpwstr>10</vt:lpwstr>
  </property>
  <property fmtid="{D5CDD505-2E9C-101B-9397-08002B2CF9AE}" pid="16" name="TYPE_ABS_DATE">
    <vt:lpwstr>380020160224</vt:lpwstr>
  </property>
  <property fmtid="{D5CDD505-2E9C-101B-9397-08002B2CF9AE}" pid="17" name="ISABSTRACT">
    <vt:lpwstr>Y</vt:lpwstr>
  </property>
  <property fmtid="{D5CDD505-2E9C-101B-9397-08002B2CF9AE}" pid="18" name="CASESLISTTMP1">
    <vt:lpwstr>4126012:4;5639765;13093721;4006524:2;5585052;5698919;5726579;6076151;5903534;20321873;2452120:2</vt:lpwstr>
  </property>
  <property fmtid="{D5CDD505-2E9C-101B-9397-08002B2CF9AE}" pid="19" name="LAWLISTTMP1">
    <vt:lpwstr>70301/379;380;40jc.b:2;040b;040c;040i;040d</vt:lpwstr>
  </property>
  <property fmtid="{D5CDD505-2E9C-101B-9397-08002B2CF9AE}" pid="20" name="LAWLISTTMP2">
    <vt:lpwstr>4216/007.a;007.c</vt:lpwstr>
  </property>
</Properties>
</file>