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D290C" w:rsidRPr="00726166" w14:paraId="4C5C1BBA" w14:textId="77777777">
        <w:trPr>
          <w:trHeight w:hRule="exact" w:val="418"/>
          <w:jc w:val="center"/>
        </w:trPr>
        <w:tc>
          <w:tcPr>
            <w:tcW w:w="8720" w:type="dxa"/>
            <w:gridSpan w:val="3"/>
          </w:tcPr>
          <w:p w14:paraId="741E602A" w14:textId="77777777" w:rsidR="00FD290C" w:rsidRPr="00726166" w:rsidRDefault="00726166">
            <w:pPr>
              <w:pStyle w:val="a3"/>
              <w:tabs>
                <w:tab w:val="clear" w:pos="8306"/>
              </w:tabs>
              <w:jc w:val="center"/>
              <w:rPr>
                <w:rFonts w:ascii="Tahoma" w:hAnsi="Tahoma" w:cs="Tahoma"/>
                <w:b/>
                <w:bCs/>
                <w:color w:val="000080"/>
                <w:sz w:val="20"/>
                <w:szCs w:val="20"/>
                <w:rtl/>
              </w:rPr>
            </w:pPr>
            <w:bookmarkStart w:id="0" w:name="LastJudge"/>
            <w:r w:rsidRPr="00726166">
              <w:rPr>
                <w:rFonts w:ascii="Tahoma" w:hAnsi="Tahoma" w:cs="Tahoma"/>
                <w:b/>
                <w:bCs/>
                <w:color w:val="000080"/>
                <w:sz w:val="20"/>
                <w:szCs w:val="20"/>
                <w:rtl/>
              </w:rPr>
              <w:t>בית משפט השלום בפתח תקווה</w:t>
            </w:r>
          </w:p>
        </w:tc>
      </w:tr>
      <w:tr w:rsidR="00FD290C" w:rsidRPr="00726166" w14:paraId="618CCE43" w14:textId="77777777">
        <w:trPr>
          <w:trHeight w:val="337"/>
          <w:jc w:val="center"/>
        </w:trPr>
        <w:tc>
          <w:tcPr>
            <w:tcW w:w="6396" w:type="dxa"/>
          </w:tcPr>
          <w:p w14:paraId="04A07AC7" w14:textId="77777777" w:rsidR="00FD290C" w:rsidRPr="00726166" w:rsidRDefault="00726166">
            <w:pPr>
              <w:rPr>
                <w:b/>
                <w:bCs/>
                <w:sz w:val="26"/>
                <w:szCs w:val="26"/>
                <w:rtl/>
              </w:rPr>
            </w:pPr>
            <w:r w:rsidRPr="00726166">
              <w:rPr>
                <w:b/>
                <w:bCs/>
                <w:sz w:val="26"/>
                <w:szCs w:val="26"/>
                <w:rtl/>
              </w:rPr>
              <w:t>ת"פ</w:t>
            </w:r>
            <w:r w:rsidRPr="00726166">
              <w:rPr>
                <w:rFonts w:hint="cs"/>
                <w:b/>
                <w:bCs/>
                <w:sz w:val="26"/>
                <w:szCs w:val="26"/>
                <w:rtl/>
              </w:rPr>
              <w:t xml:space="preserve"> </w:t>
            </w:r>
            <w:r w:rsidRPr="00726166">
              <w:rPr>
                <w:b/>
                <w:bCs/>
                <w:sz w:val="26"/>
                <w:szCs w:val="26"/>
                <w:rtl/>
              </w:rPr>
              <w:t>11069-06-12</w:t>
            </w:r>
            <w:r w:rsidRPr="00726166">
              <w:rPr>
                <w:rFonts w:hint="cs"/>
                <w:b/>
                <w:bCs/>
                <w:sz w:val="26"/>
                <w:szCs w:val="26"/>
                <w:rtl/>
              </w:rPr>
              <w:t xml:space="preserve"> </w:t>
            </w:r>
            <w:r w:rsidRPr="00726166">
              <w:rPr>
                <w:b/>
                <w:bCs/>
                <w:sz w:val="26"/>
                <w:szCs w:val="26"/>
                <w:rtl/>
              </w:rPr>
              <w:t>מדינת ישראל נ' הררי</w:t>
            </w:r>
          </w:p>
          <w:p w14:paraId="1B92CD5B" w14:textId="77777777" w:rsidR="00FD290C" w:rsidRPr="00726166" w:rsidRDefault="00FD290C">
            <w:pPr>
              <w:rPr>
                <w:b/>
                <w:bCs/>
                <w:sz w:val="26"/>
                <w:szCs w:val="26"/>
                <w:rtl/>
              </w:rPr>
            </w:pPr>
          </w:p>
        </w:tc>
        <w:tc>
          <w:tcPr>
            <w:tcW w:w="236" w:type="dxa"/>
          </w:tcPr>
          <w:p w14:paraId="69DCE436" w14:textId="77777777" w:rsidR="00FD290C" w:rsidRPr="00726166" w:rsidRDefault="00FD290C">
            <w:pPr>
              <w:pStyle w:val="a3"/>
              <w:jc w:val="right"/>
              <w:rPr>
                <w:b/>
                <w:bCs/>
                <w:sz w:val="26"/>
                <w:szCs w:val="26"/>
                <w:rtl/>
              </w:rPr>
            </w:pPr>
          </w:p>
        </w:tc>
        <w:tc>
          <w:tcPr>
            <w:tcW w:w="2088" w:type="dxa"/>
          </w:tcPr>
          <w:p w14:paraId="5A2BE8BF" w14:textId="77777777" w:rsidR="00FD290C" w:rsidRPr="00726166" w:rsidRDefault="00726166">
            <w:pPr>
              <w:pStyle w:val="a3"/>
              <w:tabs>
                <w:tab w:val="clear" w:pos="4153"/>
              </w:tabs>
              <w:jc w:val="right"/>
              <w:rPr>
                <w:b/>
                <w:bCs/>
                <w:sz w:val="26"/>
                <w:szCs w:val="26"/>
                <w:rtl/>
              </w:rPr>
            </w:pPr>
            <w:r w:rsidRPr="00726166">
              <w:rPr>
                <w:b/>
                <w:bCs/>
                <w:sz w:val="26"/>
                <w:szCs w:val="26"/>
                <w:rtl/>
              </w:rPr>
              <w:t>12 מאי 2013</w:t>
            </w:r>
          </w:p>
        </w:tc>
      </w:tr>
    </w:tbl>
    <w:p w14:paraId="71D1C93D" w14:textId="77777777" w:rsidR="00FD290C" w:rsidRPr="00726166" w:rsidRDefault="00FD290C">
      <w:pPr>
        <w:pStyle w:val="a3"/>
        <w:jc w:val="center"/>
        <w:rPr>
          <w:rFonts w:ascii="Tahoma" w:hAnsi="Tahoma" w:cs="Tahoma"/>
          <w:b/>
          <w:bCs/>
          <w:color w:val="000080"/>
          <w:sz w:val="20"/>
          <w:szCs w:val="20"/>
          <w:rtl/>
        </w:rPr>
      </w:pPr>
    </w:p>
    <w:p w14:paraId="18220E64" w14:textId="77777777" w:rsidR="00FD290C" w:rsidRPr="00726166" w:rsidRDefault="00FD290C">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FD290C" w:rsidRPr="00726166" w14:paraId="1B91A721" w14:textId="77777777">
        <w:trPr>
          <w:gridAfter w:val="1"/>
          <w:wAfter w:w="83" w:type="dxa"/>
        </w:trPr>
        <w:tc>
          <w:tcPr>
            <w:tcW w:w="8719" w:type="dxa"/>
            <w:gridSpan w:val="2"/>
          </w:tcPr>
          <w:p w14:paraId="6D8ED516" w14:textId="77777777" w:rsidR="00FD290C" w:rsidRPr="00726166" w:rsidRDefault="00726166">
            <w:pPr>
              <w:spacing w:line="360" w:lineRule="auto"/>
              <w:rPr>
                <w:rFonts w:ascii="Times New Roman" w:eastAsia="Times New Roman" w:hAnsi="Times New Roman"/>
                <w:b/>
                <w:bCs/>
                <w:sz w:val="26"/>
                <w:szCs w:val="26"/>
                <w:rtl/>
              </w:rPr>
            </w:pPr>
            <w:r w:rsidRPr="00726166">
              <w:rPr>
                <w:rFonts w:ascii="Times New Roman" w:eastAsia="Times New Roman" w:hAnsi="Times New Roman" w:hint="cs"/>
                <w:b/>
                <w:bCs/>
                <w:sz w:val="26"/>
                <w:szCs w:val="26"/>
                <w:rtl/>
              </w:rPr>
              <w:t>בפני כב' ה</w:t>
            </w:r>
            <w:r w:rsidRPr="00726166">
              <w:rPr>
                <w:rFonts w:ascii="Times New Roman" w:eastAsia="Times New Roman" w:hAnsi="Times New Roman" w:hint="cs"/>
                <w:rtl/>
              </w:rPr>
              <w:t>שופט ד"ר עמי קובו</w:t>
            </w:r>
            <w:r w:rsidRPr="00726166">
              <w:rPr>
                <w:rStyle w:val="TimesNewRomanTimesNewRoman"/>
                <w:rFonts w:eastAsia="Times New Roman"/>
                <w:rtl/>
              </w:rPr>
              <w:t xml:space="preserve"> </w:t>
            </w:r>
          </w:p>
        </w:tc>
      </w:tr>
      <w:tr w:rsidR="00FD290C" w:rsidRPr="00726166" w14:paraId="1BE64E0A" w14:textId="77777777">
        <w:tc>
          <w:tcPr>
            <w:tcW w:w="2880" w:type="dxa"/>
          </w:tcPr>
          <w:p w14:paraId="3DC55376" w14:textId="77777777" w:rsidR="00FD290C" w:rsidRPr="00726166" w:rsidRDefault="00726166">
            <w:pPr>
              <w:ind w:left="26"/>
              <w:rPr>
                <w:rFonts w:ascii="Times New Roman" w:eastAsia="Times New Roman" w:hAnsi="Times New Roman"/>
                <w:b/>
                <w:bCs/>
                <w:sz w:val="26"/>
                <w:szCs w:val="26"/>
                <w:rtl/>
              </w:rPr>
            </w:pPr>
            <w:bookmarkStart w:id="1" w:name="FirstAppellant"/>
            <w:r w:rsidRPr="00726166">
              <w:rPr>
                <w:rFonts w:ascii="Times New Roman" w:eastAsia="Times New Roman" w:hAnsi="Times New Roman" w:hint="cs"/>
                <w:b/>
                <w:bCs/>
                <w:sz w:val="26"/>
                <w:szCs w:val="26"/>
                <w:rtl/>
              </w:rPr>
              <w:t>ה</w:t>
            </w:r>
            <w:r w:rsidRPr="00726166">
              <w:rPr>
                <w:rFonts w:ascii="Times New Roman" w:eastAsia="Times New Roman" w:hAnsi="Times New Roman" w:hint="cs"/>
                <w:rtl/>
              </w:rPr>
              <w:t>מאשימה</w:t>
            </w:r>
          </w:p>
        </w:tc>
        <w:tc>
          <w:tcPr>
            <w:tcW w:w="5922" w:type="dxa"/>
            <w:gridSpan w:val="2"/>
          </w:tcPr>
          <w:p w14:paraId="561FB1BA" w14:textId="77777777" w:rsidR="00FD290C" w:rsidRPr="00726166" w:rsidRDefault="00726166">
            <w:pPr>
              <w:rPr>
                <w:rFonts w:ascii="Times New Roman" w:eastAsia="Times New Roman" w:hAnsi="Times New Roman"/>
                <w:b/>
                <w:bCs/>
                <w:sz w:val="26"/>
                <w:szCs w:val="26"/>
                <w:rtl/>
              </w:rPr>
            </w:pPr>
            <w:r w:rsidRPr="00726166">
              <w:rPr>
                <w:rFonts w:ascii="Times New Roman" w:eastAsia="Times New Roman" w:hAnsi="Times New Roman" w:hint="cs"/>
                <w:rtl/>
              </w:rPr>
              <w:t>מדינת ישראל</w:t>
            </w:r>
          </w:p>
          <w:p w14:paraId="18F220F0" w14:textId="77777777" w:rsidR="00FD290C" w:rsidRPr="00726166" w:rsidRDefault="00FD290C">
            <w:pPr>
              <w:rPr>
                <w:rFonts w:ascii="Times New Roman" w:eastAsia="Times New Roman" w:hAnsi="Times New Roman"/>
                <w:b/>
                <w:bCs/>
                <w:sz w:val="26"/>
                <w:szCs w:val="26"/>
                <w:rtl/>
              </w:rPr>
            </w:pPr>
          </w:p>
        </w:tc>
      </w:tr>
      <w:bookmarkEnd w:id="1"/>
      <w:tr w:rsidR="00FD290C" w:rsidRPr="00726166" w14:paraId="53ED44D5" w14:textId="77777777">
        <w:tc>
          <w:tcPr>
            <w:tcW w:w="8802" w:type="dxa"/>
            <w:gridSpan w:val="3"/>
          </w:tcPr>
          <w:p w14:paraId="6D4C879C" w14:textId="77777777" w:rsidR="00FD290C" w:rsidRPr="00726166" w:rsidRDefault="00FD290C">
            <w:pPr>
              <w:jc w:val="both"/>
              <w:rPr>
                <w:rFonts w:ascii="Arial" w:eastAsia="Times New Roman" w:hAnsi="Arial"/>
                <w:b/>
                <w:bCs/>
                <w:sz w:val="26"/>
                <w:szCs w:val="26"/>
                <w:rtl/>
              </w:rPr>
            </w:pPr>
          </w:p>
          <w:p w14:paraId="2BFB4B6F" w14:textId="77777777" w:rsidR="00FD290C" w:rsidRPr="00726166" w:rsidRDefault="00726166">
            <w:pPr>
              <w:jc w:val="center"/>
              <w:rPr>
                <w:rFonts w:ascii="Arial" w:eastAsia="Times New Roman" w:hAnsi="Arial"/>
                <w:b/>
                <w:bCs/>
                <w:sz w:val="26"/>
                <w:szCs w:val="26"/>
                <w:rtl/>
              </w:rPr>
            </w:pPr>
            <w:r w:rsidRPr="00726166">
              <w:rPr>
                <w:rFonts w:ascii="Arial" w:eastAsia="Times New Roman" w:hAnsi="Arial"/>
                <w:b/>
                <w:bCs/>
                <w:sz w:val="26"/>
                <w:szCs w:val="26"/>
                <w:rtl/>
              </w:rPr>
              <w:t>נגד</w:t>
            </w:r>
          </w:p>
          <w:p w14:paraId="62899A31" w14:textId="77777777" w:rsidR="00FD290C" w:rsidRPr="00726166" w:rsidRDefault="00FD290C">
            <w:pPr>
              <w:jc w:val="center"/>
              <w:rPr>
                <w:rFonts w:ascii="Arial" w:eastAsia="Times New Roman" w:hAnsi="Arial"/>
                <w:b/>
                <w:bCs/>
                <w:sz w:val="26"/>
                <w:szCs w:val="26"/>
              </w:rPr>
            </w:pPr>
          </w:p>
        </w:tc>
      </w:tr>
      <w:tr w:rsidR="00FD290C" w:rsidRPr="00726166" w14:paraId="2D1A1421" w14:textId="77777777">
        <w:tc>
          <w:tcPr>
            <w:tcW w:w="2880" w:type="dxa"/>
          </w:tcPr>
          <w:p w14:paraId="507682F5" w14:textId="77777777" w:rsidR="00FD290C" w:rsidRPr="00726166" w:rsidRDefault="00726166">
            <w:pPr>
              <w:ind w:left="26"/>
              <w:rPr>
                <w:rFonts w:ascii="Times New Roman" w:eastAsia="Times New Roman" w:hAnsi="Times New Roman"/>
                <w:b/>
                <w:bCs/>
                <w:sz w:val="26"/>
                <w:szCs w:val="26"/>
                <w:rtl/>
              </w:rPr>
            </w:pPr>
            <w:r w:rsidRPr="00726166">
              <w:rPr>
                <w:rFonts w:ascii="Times New Roman" w:eastAsia="Times New Roman" w:hAnsi="Times New Roman" w:hint="cs"/>
                <w:b/>
                <w:bCs/>
                <w:sz w:val="26"/>
                <w:szCs w:val="26"/>
                <w:rtl/>
              </w:rPr>
              <w:t>ה</w:t>
            </w:r>
            <w:r w:rsidRPr="00726166">
              <w:rPr>
                <w:rFonts w:ascii="Times New Roman" w:eastAsia="Times New Roman" w:hAnsi="Times New Roman" w:hint="cs"/>
                <w:rtl/>
              </w:rPr>
              <w:t>נאשמים</w:t>
            </w:r>
          </w:p>
        </w:tc>
        <w:tc>
          <w:tcPr>
            <w:tcW w:w="5922" w:type="dxa"/>
            <w:gridSpan w:val="2"/>
          </w:tcPr>
          <w:p w14:paraId="6D8ADA33" w14:textId="77777777" w:rsidR="00FD290C" w:rsidRPr="00726166" w:rsidRDefault="00726166">
            <w:pPr>
              <w:rPr>
                <w:rFonts w:ascii="Times New Roman" w:eastAsia="Times New Roman" w:hAnsi="Times New Roman"/>
                <w:b/>
                <w:bCs/>
                <w:sz w:val="26"/>
                <w:szCs w:val="26"/>
                <w:rtl/>
              </w:rPr>
            </w:pPr>
            <w:r w:rsidRPr="00726166">
              <w:rPr>
                <w:rFonts w:ascii="Times New Roman" w:eastAsia="Times New Roman" w:hAnsi="Times New Roman" w:hint="cs"/>
                <w:rtl/>
              </w:rPr>
              <w:t>רן הררי</w:t>
            </w:r>
          </w:p>
          <w:p w14:paraId="02E1D7A2" w14:textId="77777777" w:rsidR="00FD290C" w:rsidRPr="00726166" w:rsidRDefault="00FD290C">
            <w:pPr>
              <w:rPr>
                <w:rFonts w:ascii="Times New Roman" w:eastAsia="Times New Roman" w:hAnsi="Times New Roman"/>
                <w:b/>
                <w:bCs/>
                <w:sz w:val="26"/>
                <w:szCs w:val="26"/>
                <w:rtl/>
              </w:rPr>
            </w:pPr>
          </w:p>
        </w:tc>
      </w:tr>
    </w:tbl>
    <w:p w14:paraId="5C830B42" w14:textId="77777777" w:rsidR="00FD290C" w:rsidRPr="00726166" w:rsidRDefault="00726166">
      <w:pPr>
        <w:pStyle w:val="12"/>
        <w:rPr>
          <w:b w:val="0"/>
          <w:bCs w:val="0"/>
          <w:u w:val="none"/>
          <w:rtl/>
        </w:rPr>
      </w:pPr>
      <w:r w:rsidRPr="00726166">
        <w:rPr>
          <w:rFonts w:hint="cs"/>
          <w:b w:val="0"/>
          <w:bCs w:val="0"/>
          <w:u w:val="none"/>
          <w:rtl/>
        </w:rPr>
        <w:t>נוכחים:</w:t>
      </w:r>
    </w:p>
    <w:p w14:paraId="2A53C895" w14:textId="77777777" w:rsidR="00FD290C" w:rsidRPr="00726166" w:rsidRDefault="00726166">
      <w:pPr>
        <w:pStyle w:val="12"/>
        <w:rPr>
          <w:b w:val="0"/>
          <w:bCs w:val="0"/>
          <w:u w:val="none"/>
          <w:rtl/>
        </w:rPr>
      </w:pPr>
      <w:bookmarkStart w:id="2" w:name="FirstLawyer"/>
      <w:r w:rsidRPr="00726166">
        <w:rPr>
          <w:rFonts w:hint="cs"/>
          <w:b w:val="0"/>
          <w:bCs w:val="0"/>
          <w:u w:val="none"/>
          <w:rtl/>
        </w:rPr>
        <w:t>ב"כ</w:t>
      </w:r>
      <w:bookmarkEnd w:id="2"/>
      <w:r w:rsidRPr="00726166">
        <w:rPr>
          <w:rFonts w:hint="cs"/>
          <w:b w:val="0"/>
          <w:bCs w:val="0"/>
          <w:u w:val="none"/>
          <w:rtl/>
        </w:rPr>
        <w:t xml:space="preserve"> המאשימה: עו"ד נדב רייכמן</w:t>
      </w:r>
    </w:p>
    <w:p w14:paraId="6B42BB4B" w14:textId="77777777" w:rsidR="00FD290C" w:rsidRPr="00726166" w:rsidRDefault="00726166">
      <w:pPr>
        <w:pStyle w:val="12"/>
        <w:rPr>
          <w:b w:val="0"/>
          <w:bCs w:val="0"/>
          <w:u w:val="none"/>
          <w:rtl/>
        </w:rPr>
      </w:pPr>
      <w:r w:rsidRPr="00726166">
        <w:rPr>
          <w:rFonts w:hint="cs"/>
          <w:b w:val="0"/>
          <w:bCs w:val="0"/>
          <w:u w:val="none"/>
          <w:rtl/>
        </w:rPr>
        <w:t>ב"כ הנאשם: עו"ד זאב אלוני</w:t>
      </w:r>
    </w:p>
    <w:p w14:paraId="7A180ACD" w14:textId="77777777" w:rsidR="00FD290C" w:rsidRPr="00726166" w:rsidRDefault="00726166">
      <w:pPr>
        <w:pStyle w:val="12"/>
        <w:rPr>
          <w:b w:val="0"/>
          <w:bCs w:val="0"/>
          <w:u w:val="none"/>
          <w:rtl/>
        </w:rPr>
      </w:pPr>
      <w:r w:rsidRPr="00726166">
        <w:rPr>
          <w:rFonts w:hint="cs"/>
          <w:b w:val="0"/>
          <w:bCs w:val="0"/>
          <w:u w:val="none"/>
          <w:rtl/>
        </w:rPr>
        <w:t>הנאשם: התייצב</w:t>
      </w:r>
    </w:p>
    <w:p w14:paraId="076363AC" w14:textId="77777777" w:rsidR="00FD290C" w:rsidRPr="00726166" w:rsidRDefault="00FD290C">
      <w:pPr>
        <w:pStyle w:val="12"/>
        <w:rPr>
          <w:b w:val="0"/>
          <w:bCs w:val="0"/>
          <w:u w:val="none"/>
          <w:rtl/>
        </w:rPr>
      </w:pPr>
    </w:p>
    <w:p w14:paraId="0AF36114" w14:textId="77777777" w:rsidR="00FD290C" w:rsidRPr="00726166" w:rsidRDefault="00FD290C">
      <w:pPr>
        <w:pStyle w:val="12"/>
        <w:rPr>
          <w:b w:val="0"/>
          <w:bCs w:val="0"/>
          <w:u w:val="none"/>
          <w:rtl/>
        </w:rPr>
      </w:pPr>
    </w:p>
    <w:p w14:paraId="35DFFA75" w14:textId="77777777" w:rsidR="00FD290C" w:rsidRPr="00726166" w:rsidRDefault="00726166">
      <w:pPr>
        <w:spacing w:line="360" w:lineRule="auto"/>
        <w:jc w:val="center"/>
        <w:rPr>
          <w:rFonts w:ascii="Arial" w:hAnsi="Arial"/>
          <w:b/>
          <w:bCs/>
          <w:sz w:val="28"/>
          <w:szCs w:val="28"/>
          <w:rtl/>
        </w:rPr>
      </w:pPr>
      <w:r w:rsidRPr="00726166">
        <w:rPr>
          <w:rFonts w:ascii="Arial" w:hAnsi="Arial"/>
          <w:b/>
          <w:color w:val="FF0000"/>
          <w:sz w:val="28"/>
          <w:rtl/>
        </w:rPr>
        <w:t>במסמך זה הושמטו פרוטוקולים</w:t>
      </w:r>
    </w:p>
    <w:p w14:paraId="6C982B33" w14:textId="77777777" w:rsidR="00726166" w:rsidRPr="00726166" w:rsidRDefault="00726166">
      <w:pPr>
        <w:spacing w:line="360" w:lineRule="auto"/>
        <w:jc w:val="center"/>
        <w:rPr>
          <w:rFonts w:ascii="Arial" w:hAnsi="Arial"/>
          <w:b/>
          <w:bCs/>
          <w:sz w:val="28"/>
          <w:szCs w:val="28"/>
          <w:rtl/>
        </w:rPr>
      </w:pPr>
    </w:p>
    <w:p w14:paraId="24BE356C" w14:textId="77777777" w:rsidR="00726166" w:rsidRPr="00726166" w:rsidRDefault="00726166" w:rsidP="00726166">
      <w:pPr>
        <w:spacing w:line="360" w:lineRule="auto"/>
        <w:jc w:val="center"/>
        <w:rPr>
          <w:rFonts w:ascii="Arial" w:hAnsi="Arial"/>
          <w:b/>
          <w:bCs/>
          <w:sz w:val="28"/>
          <w:szCs w:val="28"/>
          <w:u w:val="single"/>
          <w:rtl/>
        </w:rPr>
      </w:pPr>
      <w:bookmarkStart w:id="3" w:name="PsakDin"/>
      <w:bookmarkEnd w:id="0"/>
      <w:r w:rsidRPr="00726166">
        <w:rPr>
          <w:rFonts w:ascii="Arial" w:hAnsi="Arial"/>
          <w:b/>
          <w:bCs/>
          <w:sz w:val="28"/>
          <w:szCs w:val="28"/>
          <w:u w:val="single"/>
          <w:rtl/>
        </w:rPr>
        <w:t>גזר דין</w:t>
      </w:r>
    </w:p>
    <w:p w14:paraId="3014274F" w14:textId="77777777" w:rsidR="00FD290C" w:rsidRDefault="00726166">
      <w:pPr>
        <w:spacing w:line="360" w:lineRule="auto"/>
        <w:jc w:val="both"/>
        <w:rPr>
          <w:rFonts w:ascii="Arial" w:hAnsi="Arial"/>
          <w:rtl/>
        </w:rPr>
      </w:pPr>
      <w:bookmarkStart w:id="4" w:name="ABSTRACT_START"/>
      <w:bookmarkEnd w:id="3"/>
      <w:bookmarkEnd w:id="4"/>
      <w:r>
        <w:rPr>
          <w:rFonts w:ascii="Arial" w:hAnsi="Arial" w:hint="cs"/>
          <w:rtl/>
        </w:rPr>
        <w:t>הנאשם הורשע בהתאם להודאתו בעובדות כתב האישום בעבירות הבאות:</w:t>
      </w:r>
    </w:p>
    <w:p w14:paraId="1034C896" w14:textId="77777777" w:rsidR="00FD290C" w:rsidRDefault="00726166">
      <w:pPr>
        <w:spacing w:line="360" w:lineRule="auto"/>
        <w:jc w:val="both"/>
        <w:rPr>
          <w:rFonts w:ascii="Arial" w:hAnsi="Arial"/>
          <w:rtl/>
        </w:rPr>
      </w:pPr>
      <w:r>
        <w:rPr>
          <w:rFonts w:ascii="Arial" w:hAnsi="Arial" w:hint="cs"/>
          <w:rtl/>
        </w:rPr>
        <w:t>1.</w:t>
      </w:r>
      <w:r>
        <w:rPr>
          <w:rFonts w:ascii="Arial" w:hAnsi="Arial" w:hint="cs"/>
          <w:rtl/>
        </w:rPr>
        <w:tab/>
        <w:t>גידול סם מסוכן, עבירה לפי סעיף 6 רישא ו-19 א' ל</w:t>
      </w:r>
      <w:hyperlink r:id="rId6" w:history="1">
        <w:r w:rsidRPr="00726166">
          <w:rPr>
            <w:rFonts w:ascii="Arial" w:hAnsi="Arial"/>
            <w:color w:val="0000FF"/>
            <w:u w:val="single"/>
            <w:rtl/>
          </w:rPr>
          <w:t>פקודת הסמים המסוכנים</w:t>
        </w:r>
      </w:hyperlink>
      <w:r>
        <w:rPr>
          <w:rFonts w:ascii="Arial" w:hAnsi="Arial" w:hint="cs"/>
          <w:rtl/>
        </w:rPr>
        <w:t xml:space="preserve"> [נוסח חדש] תשל"ג-1973 (להלן: "הפקודה"). </w:t>
      </w:r>
    </w:p>
    <w:p w14:paraId="53FFCF86" w14:textId="77777777" w:rsidR="00FD290C" w:rsidRDefault="00726166">
      <w:pPr>
        <w:spacing w:line="360" w:lineRule="auto"/>
        <w:jc w:val="both"/>
        <w:rPr>
          <w:rFonts w:ascii="Arial" w:hAnsi="Arial"/>
          <w:rtl/>
        </w:rPr>
      </w:pPr>
      <w:r>
        <w:rPr>
          <w:rFonts w:ascii="Arial" w:hAnsi="Arial" w:hint="cs"/>
          <w:rtl/>
        </w:rPr>
        <w:t>2.</w:t>
      </w:r>
      <w:r>
        <w:rPr>
          <w:rFonts w:ascii="Arial" w:hAnsi="Arial" w:hint="cs"/>
          <w:rtl/>
        </w:rPr>
        <w:tab/>
        <w:t xml:space="preserve">החזקת סם שלא לצריכה עצמית לפי סעיף 7(א) ו-(ג) רישא לפקודה. </w:t>
      </w:r>
    </w:p>
    <w:p w14:paraId="17C927E4" w14:textId="77777777" w:rsidR="00FD290C" w:rsidRDefault="00726166">
      <w:pPr>
        <w:spacing w:line="360" w:lineRule="auto"/>
        <w:jc w:val="both"/>
        <w:rPr>
          <w:rFonts w:ascii="Arial" w:hAnsi="Arial"/>
          <w:rtl/>
        </w:rPr>
      </w:pPr>
      <w:r>
        <w:rPr>
          <w:rFonts w:ascii="Arial" w:hAnsi="Arial" w:hint="cs"/>
          <w:rtl/>
        </w:rPr>
        <w:t>3.</w:t>
      </w:r>
      <w:r>
        <w:rPr>
          <w:rFonts w:ascii="Arial" w:hAnsi="Arial" w:hint="cs"/>
          <w:rtl/>
        </w:rPr>
        <w:tab/>
        <w:t xml:space="preserve">החזקת כלים המשמים להכנת סם עבירה לפי סעיף 10 לפקודה. </w:t>
      </w:r>
    </w:p>
    <w:p w14:paraId="1B0C1200" w14:textId="77777777" w:rsidR="00FD290C" w:rsidRDefault="00726166">
      <w:pPr>
        <w:spacing w:line="360" w:lineRule="auto"/>
        <w:jc w:val="both"/>
        <w:rPr>
          <w:rFonts w:ascii="Arial" w:hAnsi="Arial"/>
          <w:rtl/>
        </w:rPr>
      </w:pPr>
      <w:bookmarkStart w:id="5" w:name="ABSTRACT_END"/>
      <w:bookmarkEnd w:id="5"/>
      <w:r>
        <w:rPr>
          <w:rFonts w:ascii="Arial" w:hAnsi="Arial" w:hint="cs"/>
          <w:rtl/>
        </w:rPr>
        <w:t xml:space="preserve">על פי המתואר בעובדות כתב האישום ביום 18.12.11 רכש הנאשם מכולה בשווי של כ-57,000 ₪ ובהמשך לכך ביום 31.5.12 גידל הנאשם בתוך המכולה 278 שתילים של סם מסוג קנבוס במשקל כולל של 850 גרם נטו. </w:t>
      </w:r>
    </w:p>
    <w:p w14:paraId="391B3802" w14:textId="77777777" w:rsidR="00FD290C" w:rsidRDefault="00726166">
      <w:pPr>
        <w:spacing w:line="360" w:lineRule="auto"/>
        <w:jc w:val="both"/>
        <w:rPr>
          <w:rFonts w:ascii="Arial" w:hAnsi="Arial"/>
          <w:rtl/>
        </w:rPr>
      </w:pPr>
      <w:r>
        <w:rPr>
          <w:rFonts w:ascii="Arial" w:hAnsi="Arial" w:hint="cs"/>
          <w:rtl/>
        </w:rPr>
        <w:t xml:space="preserve">הצדדים הגיעו להסדר טיעון אשר במסגרתו עתרה המאשימה בכפוף לתסקיר חיובי ל-6 חודשי עבודות שירות, מאסר על תנאי קנס משמעותי פסילה בפועל ופסילה על תנאי, וכן חילוט מכולה ששייך לנאשם ואופנוע. </w:t>
      </w:r>
    </w:p>
    <w:p w14:paraId="64406C6E" w14:textId="77777777" w:rsidR="00FD290C" w:rsidRDefault="00726166">
      <w:pPr>
        <w:spacing w:line="360" w:lineRule="auto"/>
        <w:jc w:val="both"/>
        <w:rPr>
          <w:rFonts w:ascii="Arial" w:hAnsi="Arial"/>
          <w:rtl/>
        </w:rPr>
      </w:pPr>
      <w:r>
        <w:rPr>
          <w:rFonts w:ascii="Arial" w:hAnsi="Arial" w:hint="cs"/>
          <w:rtl/>
        </w:rPr>
        <w:t xml:space="preserve">ההגנה עתרה ל-3 חודשי עבודות שירות ולהימנע מחילוט האופנוע ולהימנע מפסילה בפועל. </w:t>
      </w:r>
    </w:p>
    <w:p w14:paraId="168CB1A6" w14:textId="77777777" w:rsidR="00FD290C" w:rsidRDefault="00726166">
      <w:pPr>
        <w:spacing w:line="360" w:lineRule="auto"/>
        <w:jc w:val="both"/>
        <w:rPr>
          <w:rFonts w:ascii="Arial" w:hAnsi="Arial"/>
          <w:rtl/>
        </w:rPr>
      </w:pPr>
      <w:r>
        <w:rPr>
          <w:rFonts w:ascii="Arial" w:hAnsi="Arial" w:hint="cs"/>
          <w:rtl/>
        </w:rPr>
        <w:t>בעניינו של הנאשם התקבל תסקיר שירות המבחן שהינו חיובי .</w:t>
      </w:r>
    </w:p>
    <w:p w14:paraId="2E87E02F" w14:textId="77777777" w:rsidR="00FD290C" w:rsidRDefault="00726166">
      <w:pPr>
        <w:spacing w:line="360" w:lineRule="auto"/>
        <w:jc w:val="both"/>
        <w:rPr>
          <w:rFonts w:ascii="Arial" w:hAnsi="Arial"/>
          <w:rtl/>
        </w:rPr>
      </w:pPr>
      <w:r>
        <w:rPr>
          <w:rFonts w:ascii="Arial" w:hAnsi="Arial" w:hint="cs"/>
          <w:rtl/>
        </w:rPr>
        <w:t xml:space="preserve">יש לתת את הדעת לחומרת מעשיו של הנאשם כאשר עבירת הגידול מציבה את הנאשם בתחילת שרשרת הסם. </w:t>
      </w:r>
    </w:p>
    <w:p w14:paraId="2DB02B5D" w14:textId="77777777" w:rsidR="00FD290C" w:rsidRDefault="00726166">
      <w:pPr>
        <w:spacing w:line="360" w:lineRule="auto"/>
        <w:jc w:val="both"/>
        <w:rPr>
          <w:rFonts w:ascii="Arial" w:hAnsi="Arial"/>
          <w:rtl/>
        </w:rPr>
      </w:pPr>
      <w:r>
        <w:rPr>
          <w:rFonts w:ascii="Arial" w:hAnsi="Arial" w:hint="cs"/>
          <w:rtl/>
        </w:rPr>
        <w:t xml:space="preserve">מנגד יש ליתן את הדעת לכך שהנאשם הודה באשמה, נטל אחריות מלאה למעשיו וכי אין  לחובתו הרשעות קודמות, וכי מדור בנאם בעל רקע נורמטיבי, אשר עובד לפרנסתו. </w:t>
      </w:r>
    </w:p>
    <w:p w14:paraId="5A7C62C7" w14:textId="77777777" w:rsidR="00FD290C" w:rsidRDefault="00726166">
      <w:pPr>
        <w:spacing w:line="360" w:lineRule="auto"/>
        <w:jc w:val="both"/>
        <w:rPr>
          <w:rFonts w:ascii="Arial" w:hAnsi="Arial"/>
          <w:rtl/>
        </w:rPr>
      </w:pPr>
      <w:r>
        <w:rPr>
          <w:rFonts w:ascii="Arial" w:hAnsi="Arial" w:hint="cs"/>
          <w:rtl/>
        </w:rPr>
        <w:t xml:space="preserve">באיזון בין השיקולים השונים סבורני כי מן הראוי לכבד את הסדר הטיעון ולהטיל על הנאשם עבודות שירות במסגרת הטווח שהציגו הצדדים, לצד מאסר על תנאי, קנס כספי משמעותי. </w:t>
      </w:r>
    </w:p>
    <w:p w14:paraId="70E65DE2" w14:textId="77777777" w:rsidR="00FD290C" w:rsidRDefault="00726166">
      <w:pPr>
        <w:spacing w:line="360" w:lineRule="auto"/>
        <w:jc w:val="both"/>
        <w:rPr>
          <w:rFonts w:ascii="Arial" w:hAnsi="Arial"/>
          <w:rtl/>
        </w:rPr>
      </w:pPr>
      <w:r>
        <w:rPr>
          <w:rFonts w:ascii="Arial" w:hAnsi="Arial" w:hint="cs"/>
          <w:rtl/>
        </w:rPr>
        <w:lastRenderedPageBreak/>
        <w:t>בכל הנוגע לעונש הפסילה בפועל, סבורני כי ניתן להימנע מכך בשים לב לכך שלא קיימת אינדיקציה לשימוש בסמים מצד הנאשם, כאשר ההגנה הציגה מסמך אודות ניקיון מסמים.</w:t>
      </w:r>
    </w:p>
    <w:p w14:paraId="50AC8F07" w14:textId="77777777" w:rsidR="00FD290C" w:rsidRDefault="00726166">
      <w:pPr>
        <w:spacing w:line="360" w:lineRule="auto"/>
        <w:jc w:val="both"/>
        <w:rPr>
          <w:rFonts w:ascii="Arial" w:hAnsi="Arial"/>
          <w:rtl/>
        </w:rPr>
      </w:pPr>
      <w:r>
        <w:rPr>
          <w:rFonts w:ascii="Arial" w:hAnsi="Arial" w:hint="cs"/>
          <w:rtl/>
        </w:rPr>
        <w:t xml:space="preserve">בכל הנוגע לחילוט האופנוע סבורני כי אין מקום לחלט את האופנוע, וזאת בשים לב לכך שהשימוש שעשה בו הנאשם היה רק בעקיפין לביצוע העבירה. כאשר הנאשם הגיע באמצעות האופנוע למקום שבו הייתה המכולה, אך לא קיימת אינדיקציה לכך שהנאשם עשה באופנוע שימוש, לצורך העברת הסמים. </w:t>
      </w:r>
    </w:p>
    <w:p w14:paraId="06F7D6FD" w14:textId="77777777" w:rsidR="00FD290C" w:rsidRDefault="00726166">
      <w:pPr>
        <w:spacing w:line="360" w:lineRule="auto"/>
        <w:jc w:val="both"/>
        <w:rPr>
          <w:rFonts w:ascii="Arial" w:hAnsi="Arial"/>
          <w:rtl/>
        </w:rPr>
      </w:pPr>
      <w:r>
        <w:rPr>
          <w:rFonts w:ascii="Arial" w:hAnsi="Arial" w:hint="cs"/>
          <w:rtl/>
        </w:rPr>
        <w:t>אשר על כן אני גוזר על הנאשם את העונשים הבאים:</w:t>
      </w:r>
    </w:p>
    <w:p w14:paraId="6CFF5A69" w14:textId="77777777" w:rsidR="00FD290C" w:rsidRDefault="00726166">
      <w:pPr>
        <w:spacing w:line="360" w:lineRule="auto"/>
        <w:ind w:left="720" w:hanging="720"/>
        <w:jc w:val="both"/>
        <w:rPr>
          <w:rFonts w:ascii="Arial" w:hAnsi="Arial"/>
          <w:rtl/>
        </w:rPr>
      </w:pPr>
      <w:r>
        <w:rPr>
          <w:rFonts w:ascii="Arial" w:hAnsi="Arial" w:hint="cs"/>
          <w:rtl/>
        </w:rPr>
        <w:t>1.</w:t>
      </w:r>
      <w:r>
        <w:rPr>
          <w:rFonts w:ascii="Arial" w:hAnsi="Arial" w:hint="cs"/>
          <w:rtl/>
        </w:rPr>
        <w:tab/>
        <w:t xml:space="preserve">מאסר בפועל של 5 חודשים אשר ירוצה בעבודות שירות, בניכוי ימי מעצרו מיום 31.5.12 עד ליום 26.6.12. </w:t>
      </w:r>
    </w:p>
    <w:p w14:paraId="1B3C5852" w14:textId="77777777" w:rsidR="00FD290C" w:rsidRDefault="00726166">
      <w:pPr>
        <w:spacing w:line="360" w:lineRule="auto"/>
        <w:ind w:left="720" w:hanging="720"/>
        <w:jc w:val="both"/>
        <w:rPr>
          <w:rFonts w:ascii="Arial" w:hAnsi="Arial"/>
          <w:rtl/>
        </w:rPr>
      </w:pPr>
      <w:r>
        <w:rPr>
          <w:rFonts w:ascii="Arial" w:hAnsi="Arial" w:hint="cs"/>
          <w:rtl/>
        </w:rPr>
        <w:t>2.</w:t>
      </w:r>
      <w:r>
        <w:rPr>
          <w:rFonts w:ascii="Arial" w:hAnsi="Arial" w:hint="cs"/>
          <w:rtl/>
        </w:rPr>
        <w:tab/>
        <w:t>שבעה חודשי מאסר על תנאי לבל יעבור הנאשם במשך 3 שנים מהיום כל עבירה מסוג פשע לפי פקודת הסמים.</w:t>
      </w:r>
    </w:p>
    <w:p w14:paraId="75150419" w14:textId="77777777" w:rsidR="00FD290C" w:rsidRDefault="00726166">
      <w:pPr>
        <w:spacing w:line="360" w:lineRule="auto"/>
        <w:ind w:left="720" w:hanging="720"/>
        <w:jc w:val="both"/>
        <w:rPr>
          <w:rFonts w:ascii="Arial" w:hAnsi="Arial"/>
          <w:rtl/>
        </w:rPr>
      </w:pPr>
      <w:r>
        <w:rPr>
          <w:rFonts w:ascii="Arial" w:hAnsi="Arial" w:hint="cs"/>
          <w:rtl/>
        </w:rPr>
        <w:t>3.</w:t>
      </w:r>
      <w:r>
        <w:rPr>
          <w:rFonts w:ascii="Arial" w:hAnsi="Arial" w:hint="cs"/>
          <w:rtl/>
        </w:rPr>
        <w:tab/>
        <w:t xml:space="preserve">שלושה חודשי מאסר על תנאי לבל יעבור הנאשם במשך 3 שנים מהיום כל עבירה מסוג עוון לפי פקודת הסמים. </w:t>
      </w:r>
    </w:p>
    <w:p w14:paraId="424B29C5" w14:textId="77777777" w:rsidR="00FD290C" w:rsidRDefault="00726166">
      <w:pPr>
        <w:spacing w:line="360" w:lineRule="auto"/>
        <w:ind w:left="720" w:hanging="720"/>
        <w:jc w:val="both"/>
        <w:rPr>
          <w:rFonts w:ascii="Arial" w:hAnsi="Arial"/>
          <w:rtl/>
        </w:rPr>
      </w:pPr>
      <w:r>
        <w:rPr>
          <w:rFonts w:ascii="Arial" w:hAnsi="Arial" w:hint="cs"/>
          <w:rtl/>
        </w:rPr>
        <w:t xml:space="preserve">4. </w:t>
      </w:r>
      <w:r>
        <w:rPr>
          <w:rFonts w:ascii="Arial" w:hAnsi="Arial" w:hint="cs"/>
          <w:rtl/>
        </w:rPr>
        <w:tab/>
        <w:t xml:space="preserve">קנס בסך 10,000 ₪ או 100 ימי מאסר תמורתו. הקנס ישולם ב-10 תשלומים חודשיים שווים ורצופים שהראשון שבהם ביום 1.7.13. לא ישולם תשלום כלשהו במועד זה, תעמוד היתרה לפירעון מיידי. הפיקדון בהליך המ"ת יושב לנאשם. </w:t>
      </w:r>
    </w:p>
    <w:p w14:paraId="588E399D" w14:textId="77777777" w:rsidR="00FD290C" w:rsidRDefault="00726166">
      <w:pPr>
        <w:spacing w:line="360" w:lineRule="auto"/>
        <w:ind w:left="720" w:hanging="720"/>
        <w:jc w:val="both"/>
        <w:rPr>
          <w:rFonts w:ascii="Arial" w:hAnsi="Arial"/>
          <w:rtl/>
        </w:rPr>
      </w:pPr>
      <w:r>
        <w:rPr>
          <w:rFonts w:ascii="Arial" w:hAnsi="Arial" w:hint="cs"/>
          <w:rtl/>
        </w:rPr>
        <w:t>5.</w:t>
      </w:r>
      <w:r>
        <w:rPr>
          <w:rFonts w:ascii="Arial" w:hAnsi="Arial" w:hint="cs"/>
          <w:rtl/>
        </w:rPr>
        <w:tab/>
        <w:t>שישה חודשי פסילה על תנאי מלקבל או מלהחזיק ברישיון נהיגה לבל יעבור הנאשם בשמך שנתיים מהיום כל עבירה לפי פקודת הסמים.</w:t>
      </w:r>
    </w:p>
    <w:p w14:paraId="63452E13" w14:textId="77777777" w:rsidR="00FD290C" w:rsidRDefault="00726166">
      <w:pPr>
        <w:spacing w:line="360" w:lineRule="auto"/>
        <w:ind w:left="720" w:hanging="720"/>
        <w:jc w:val="both"/>
        <w:rPr>
          <w:rFonts w:ascii="Arial" w:hAnsi="Arial"/>
          <w:rtl/>
        </w:rPr>
      </w:pPr>
      <w:r>
        <w:rPr>
          <w:rFonts w:ascii="Arial" w:hAnsi="Arial" w:hint="cs"/>
          <w:rtl/>
        </w:rPr>
        <w:t>6.</w:t>
      </w:r>
      <w:r>
        <w:rPr>
          <w:rFonts w:ascii="Arial" w:hAnsi="Arial" w:hint="cs"/>
          <w:rtl/>
        </w:rPr>
        <w:tab/>
        <w:t xml:space="preserve">חילוט מכולה אשר נתפסה ברשות הנאשם לרבות כל תכולת המכולה. </w:t>
      </w:r>
    </w:p>
    <w:p w14:paraId="70057A46" w14:textId="77777777" w:rsidR="00FD290C" w:rsidRDefault="00726166">
      <w:pPr>
        <w:spacing w:line="360" w:lineRule="auto"/>
        <w:ind w:left="720" w:hanging="720"/>
        <w:jc w:val="both"/>
        <w:rPr>
          <w:rFonts w:ascii="Arial" w:hAnsi="Arial"/>
          <w:rtl/>
        </w:rPr>
      </w:pPr>
      <w:r>
        <w:rPr>
          <w:rFonts w:ascii="Arial" w:hAnsi="Arial" w:hint="cs"/>
          <w:rtl/>
        </w:rPr>
        <w:t>7.</w:t>
      </w:r>
      <w:r>
        <w:rPr>
          <w:rFonts w:ascii="Arial" w:hAnsi="Arial" w:hint="cs"/>
          <w:rtl/>
        </w:rPr>
        <w:tab/>
        <w:t xml:space="preserve">הסמים יושמדו. </w:t>
      </w:r>
    </w:p>
    <w:p w14:paraId="1D30B46F" w14:textId="77777777" w:rsidR="00FD290C" w:rsidRDefault="00726166">
      <w:pPr>
        <w:spacing w:line="360" w:lineRule="auto"/>
        <w:ind w:left="720" w:hanging="720"/>
        <w:jc w:val="both"/>
        <w:rPr>
          <w:rFonts w:ascii="Arial" w:hAnsi="Arial"/>
          <w:rtl/>
        </w:rPr>
      </w:pPr>
      <w:r>
        <w:rPr>
          <w:rFonts w:ascii="Arial" w:hAnsi="Arial" w:hint="cs"/>
          <w:rtl/>
        </w:rPr>
        <w:t>8.</w:t>
      </w:r>
      <w:r>
        <w:rPr>
          <w:rFonts w:ascii="Arial" w:hAnsi="Arial" w:hint="cs"/>
          <w:rtl/>
        </w:rPr>
        <w:tab/>
        <w:t xml:space="preserve">ז'קט שנתפס ברשות הנאשם יוחזר לו. </w:t>
      </w:r>
    </w:p>
    <w:p w14:paraId="7086DA77" w14:textId="77777777" w:rsidR="00FD290C" w:rsidRDefault="00726166">
      <w:pPr>
        <w:spacing w:line="360" w:lineRule="auto"/>
        <w:ind w:left="720" w:hanging="720"/>
        <w:jc w:val="both"/>
        <w:rPr>
          <w:rFonts w:ascii="Arial" w:hAnsi="Arial"/>
          <w:rtl/>
        </w:rPr>
      </w:pPr>
      <w:r>
        <w:rPr>
          <w:rFonts w:ascii="Arial" w:hAnsi="Arial" w:hint="cs"/>
          <w:rtl/>
        </w:rPr>
        <w:t>9.</w:t>
      </w:r>
      <w:r>
        <w:rPr>
          <w:rFonts w:ascii="Arial" w:hAnsi="Arial" w:hint="cs"/>
          <w:rtl/>
        </w:rPr>
        <w:tab/>
        <w:t>אני מכריז על הנאשם כסוחר סמים.</w:t>
      </w:r>
    </w:p>
    <w:p w14:paraId="007806C3" w14:textId="77777777" w:rsidR="00FD290C" w:rsidRDefault="00726166">
      <w:pPr>
        <w:spacing w:line="360" w:lineRule="auto"/>
        <w:ind w:left="720" w:hanging="720"/>
        <w:jc w:val="both"/>
        <w:rPr>
          <w:rFonts w:ascii="Arial" w:hAnsi="Arial"/>
          <w:rtl/>
        </w:rPr>
      </w:pPr>
      <w:r>
        <w:rPr>
          <w:rFonts w:ascii="Arial" w:hAnsi="Arial" w:hint="cs"/>
          <w:rtl/>
        </w:rPr>
        <w:t xml:space="preserve">רכוש נוסף שנתפס בידי הנאשם שלא בתוך המכולה, יהיה בהתאם להחלטת קצין משטרה. </w:t>
      </w:r>
    </w:p>
    <w:p w14:paraId="17A82050" w14:textId="77777777" w:rsidR="00FD290C" w:rsidRDefault="00726166">
      <w:pPr>
        <w:spacing w:line="360" w:lineRule="auto"/>
        <w:ind w:left="720" w:hanging="720"/>
        <w:jc w:val="both"/>
        <w:rPr>
          <w:rFonts w:ascii="Arial" w:hAnsi="Arial"/>
          <w:rtl/>
        </w:rPr>
      </w:pPr>
      <w:r>
        <w:rPr>
          <w:rFonts w:ascii="Arial" w:hAnsi="Arial" w:hint="cs"/>
          <w:rtl/>
        </w:rPr>
        <w:t xml:space="preserve">זכות ערעור לבית המשפט המחוזי בתוך 45 יום מהיום. </w:t>
      </w:r>
    </w:p>
    <w:p w14:paraId="27EC5CC1" w14:textId="77777777" w:rsidR="00FD290C" w:rsidRDefault="00FD290C">
      <w:pPr>
        <w:spacing w:line="360" w:lineRule="auto"/>
        <w:ind w:left="720" w:hanging="720"/>
        <w:jc w:val="both"/>
        <w:rPr>
          <w:rFonts w:ascii="Arial" w:hAnsi="Arial"/>
          <w:rtl/>
        </w:rPr>
      </w:pPr>
    </w:p>
    <w:p w14:paraId="31AF263A" w14:textId="77777777" w:rsidR="00FD290C" w:rsidRDefault="00726166">
      <w:pPr>
        <w:spacing w:line="360" w:lineRule="auto"/>
        <w:ind w:left="720" w:hanging="720"/>
        <w:jc w:val="both"/>
        <w:rPr>
          <w:rFonts w:ascii="Arial" w:hAnsi="Arial"/>
          <w:sz w:val="6"/>
          <w:szCs w:val="6"/>
          <w:rtl/>
        </w:rPr>
      </w:pPr>
      <w:r>
        <w:rPr>
          <w:rFonts w:ascii="Arial" w:hAnsi="Arial"/>
          <w:sz w:val="6"/>
          <w:szCs w:val="6"/>
          <w:rtl/>
        </w:rPr>
        <w:t>&lt;#3#&gt;</w:t>
      </w:r>
    </w:p>
    <w:p w14:paraId="275A538E" w14:textId="77777777" w:rsidR="00FD290C" w:rsidRDefault="00FD290C">
      <w:pPr>
        <w:jc w:val="right"/>
        <w:rPr>
          <w:rtl/>
        </w:rPr>
      </w:pPr>
    </w:p>
    <w:p w14:paraId="4F442D90" w14:textId="77777777" w:rsidR="00FD290C" w:rsidRDefault="00726166">
      <w:pPr>
        <w:jc w:val="right"/>
        <w:rPr>
          <w:rtl/>
        </w:rPr>
      </w:pPr>
      <w:r>
        <w:rPr>
          <w:b/>
          <w:bCs/>
          <w:rtl/>
        </w:rPr>
        <w:t xml:space="preserve">ניתנה והודעה היום ג' סיון תשע"ג, 12/05/2013 במעמד הנוכחים. </w:t>
      </w:r>
    </w:p>
    <w:p w14:paraId="0594CDA3" w14:textId="77777777" w:rsidR="00726166" w:rsidRPr="00726166" w:rsidRDefault="00726166" w:rsidP="00726166">
      <w:pPr>
        <w:keepNext/>
        <w:rPr>
          <w:color w:val="000000"/>
          <w:sz w:val="22"/>
          <w:szCs w:val="22"/>
          <w:rtl/>
        </w:rPr>
      </w:pPr>
    </w:p>
    <w:p w14:paraId="38A1999E" w14:textId="77777777" w:rsidR="00726166" w:rsidRPr="00726166" w:rsidRDefault="00726166" w:rsidP="00726166">
      <w:pPr>
        <w:keepNext/>
        <w:rPr>
          <w:color w:val="000000"/>
          <w:sz w:val="22"/>
          <w:szCs w:val="22"/>
          <w:rtl/>
        </w:rPr>
      </w:pPr>
      <w:r w:rsidRPr="00726166">
        <w:rPr>
          <w:color w:val="000000"/>
          <w:sz w:val="22"/>
          <w:szCs w:val="22"/>
          <w:rtl/>
        </w:rPr>
        <w:t>ד"ר עמי קובו 54678313</w:t>
      </w:r>
    </w:p>
    <w:p w14:paraId="2A8F0D1B" w14:textId="77777777" w:rsidR="00FD290C" w:rsidRPr="00726166" w:rsidRDefault="00726166">
      <w:pPr>
        <w:jc w:val="center"/>
        <w:rPr>
          <w:color w:val="FFFFFF"/>
          <w:sz w:val="2"/>
          <w:szCs w:val="2"/>
          <w:rtl/>
        </w:rPr>
      </w:pPr>
      <w:r w:rsidRPr="00726166">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D290C" w14:paraId="011827D6" w14:textId="77777777">
        <w:trPr>
          <w:trHeight w:val="364"/>
          <w:jc w:val="right"/>
        </w:trPr>
        <w:tc>
          <w:tcPr>
            <w:tcW w:w="3708" w:type="dxa"/>
          </w:tcPr>
          <w:p w14:paraId="4CF67BF5" w14:textId="77777777" w:rsidR="00FD290C" w:rsidRPr="00726166" w:rsidRDefault="00726166">
            <w:pPr>
              <w:jc w:val="center"/>
              <w:rPr>
                <w:rFonts w:ascii="Times New Roman" w:eastAsia="Times New Roman" w:hAnsi="Times New Roman" w:cs="Times New Roman"/>
                <w:color w:val="FFFFFF"/>
                <w:sz w:val="2"/>
                <w:szCs w:val="2"/>
              </w:rPr>
            </w:pPr>
            <w:r w:rsidRPr="00726166">
              <w:rPr>
                <w:rFonts w:ascii="Times New Roman" w:eastAsia="Times New Roman" w:hAnsi="Times New Roman" w:cs="Times New Roman"/>
                <w:color w:val="FFFFFF"/>
                <w:sz w:val="2"/>
                <w:szCs w:val="2"/>
                <w:rtl/>
              </w:rPr>
              <w:t>54678313</w:t>
            </w:r>
          </w:p>
          <w:p w14:paraId="26FE33DB" w14:textId="77777777" w:rsidR="00FD290C" w:rsidRDefault="00FD290C">
            <w:pPr>
              <w:jc w:val="center"/>
              <w:rPr>
                <w:rFonts w:ascii="Times New Roman" w:eastAsia="Times New Roman" w:hAnsi="Times New Roman" w:cs="Times New Roman"/>
                <w:rtl/>
              </w:rPr>
            </w:pPr>
          </w:p>
        </w:tc>
      </w:tr>
      <w:tr w:rsidR="00FD290C" w14:paraId="6A5B1A60" w14:textId="77777777">
        <w:trPr>
          <w:trHeight w:val="415"/>
          <w:jc w:val="right"/>
        </w:trPr>
        <w:tc>
          <w:tcPr>
            <w:tcW w:w="3708" w:type="dxa"/>
          </w:tcPr>
          <w:p w14:paraId="16BCF6F7" w14:textId="77777777" w:rsidR="00FD290C" w:rsidRDefault="00726166">
            <w:pPr>
              <w:jc w:val="center"/>
              <w:rPr>
                <w:rFonts w:ascii="Times New Roman" w:eastAsia="Times New Roman" w:hAnsi="Times New Roman"/>
                <w:b/>
                <w:bCs/>
                <w:rtl/>
              </w:rPr>
            </w:pPr>
            <w:r>
              <w:rPr>
                <w:rFonts w:ascii="Times New Roman" w:eastAsia="Times New Roman" w:hAnsi="Times New Roman" w:hint="cs"/>
                <w:rtl/>
              </w:rPr>
              <w:t>עמי</w:t>
            </w:r>
            <w:r>
              <w:rPr>
                <w:rFonts w:ascii="Times New Roman" w:eastAsia="Times New Roman" w:hAnsi="Times New Roman" w:hint="cs"/>
                <w:b/>
                <w:bCs/>
                <w:rtl/>
              </w:rPr>
              <w:t xml:space="preserve"> </w:t>
            </w:r>
            <w:r>
              <w:rPr>
                <w:rFonts w:ascii="Times New Roman" w:eastAsia="Times New Roman" w:hAnsi="Times New Roman" w:hint="cs"/>
                <w:rtl/>
              </w:rPr>
              <w:t>קובו</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440FC681" w14:textId="77777777" w:rsidR="00FD290C" w:rsidRDefault="00FD290C">
      <w:pPr>
        <w:jc w:val="right"/>
        <w:rPr>
          <w:rtl/>
        </w:rPr>
      </w:pPr>
    </w:p>
    <w:p w14:paraId="2C3F1B21" w14:textId="77777777" w:rsidR="00FD290C" w:rsidRDefault="00FD290C">
      <w:pPr>
        <w:jc w:val="center"/>
        <w:rPr>
          <w:rtl/>
        </w:rPr>
      </w:pPr>
    </w:p>
    <w:p w14:paraId="0C0099C8" w14:textId="77777777" w:rsidR="00FD290C" w:rsidRDefault="00FD290C">
      <w:pPr>
        <w:spacing w:line="360" w:lineRule="auto"/>
        <w:ind w:left="720" w:hanging="720"/>
        <w:jc w:val="center"/>
        <w:rPr>
          <w:rtl/>
        </w:rPr>
      </w:pPr>
    </w:p>
    <w:p w14:paraId="0E184A80" w14:textId="77777777" w:rsidR="00FD290C" w:rsidRDefault="00726166">
      <w:pPr>
        <w:spacing w:line="360" w:lineRule="auto"/>
        <w:ind w:left="720" w:hanging="720"/>
        <w:jc w:val="both"/>
        <w:rPr>
          <w:rtl/>
        </w:rPr>
      </w:pPr>
      <w:r>
        <w:rPr>
          <w:rtl/>
        </w:rPr>
        <w:t xml:space="preserve"> </w:t>
      </w:r>
      <w:bookmarkStart w:id="6" w:name="_GoBack"/>
      <w:bookmarkEnd w:id="6"/>
      <w:r>
        <w:rPr>
          <w:rtl/>
        </w:rPr>
        <w:t xml:space="preserve"> </w:t>
      </w:r>
    </w:p>
    <w:p w14:paraId="54EED6DB" w14:textId="77777777" w:rsidR="00FD290C" w:rsidRDefault="00726166">
      <w:r>
        <w:rPr>
          <w:rtl/>
        </w:rPr>
        <w:t>הוקלד</w:t>
      </w:r>
      <w:r>
        <w:t xml:space="preserve"> </w:t>
      </w:r>
      <w:r>
        <w:rPr>
          <w:rtl/>
        </w:rPr>
        <w:t>על</w:t>
      </w:r>
      <w:r>
        <w:t xml:space="preserve"> </w:t>
      </w:r>
      <w:r>
        <w:rPr>
          <w:rtl/>
        </w:rPr>
        <w:t>ידי</w:t>
      </w:r>
      <w:r>
        <w:t xml:space="preserve"> </w:t>
      </w:r>
      <w:r>
        <w:rPr>
          <w:rtl/>
        </w:rPr>
        <w:t>נועה</w:t>
      </w:r>
      <w:r>
        <w:t xml:space="preserve"> </w:t>
      </w:r>
      <w:r>
        <w:rPr>
          <w:rtl/>
        </w:rPr>
        <w:t>לוי</w:t>
      </w:r>
    </w:p>
    <w:p w14:paraId="69B57EE6" w14:textId="77777777" w:rsidR="00726166" w:rsidRDefault="00726166" w:rsidP="00726166">
      <w:r w:rsidRPr="00726166">
        <w:rPr>
          <w:color w:val="000000"/>
          <w:rtl/>
        </w:rPr>
        <w:t>נוסח מסמך זה כפוף לשינויי ניסוח ועריכה</w:t>
      </w:r>
    </w:p>
    <w:p w14:paraId="72D23A9B" w14:textId="77777777" w:rsidR="00726166" w:rsidRDefault="00726166" w:rsidP="00726166">
      <w:pPr>
        <w:rPr>
          <w:rtl/>
        </w:rPr>
      </w:pPr>
    </w:p>
    <w:p w14:paraId="061F5295" w14:textId="77777777" w:rsidR="00726166" w:rsidRDefault="00726166" w:rsidP="00726166">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p w14:paraId="7AAFE4C8" w14:textId="77777777" w:rsidR="00FD290C" w:rsidRPr="00726166" w:rsidRDefault="00FD290C" w:rsidP="00726166">
      <w:pPr>
        <w:jc w:val="center"/>
        <w:rPr>
          <w:color w:val="0000FF"/>
          <w:u w:val="single"/>
        </w:rPr>
      </w:pPr>
    </w:p>
    <w:sectPr w:rsidR="00FD290C" w:rsidRPr="00726166" w:rsidSect="00726166">
      <w:headerReference w:type="even" r:id="rId8"/>
      <w:headerReference w:type="default" r:id="rId9"/>
      <w:footerReference w:type="even" r:id="rId10"/>
      <w:footerReference w:type="default" r:id="rId1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546AA" w14:textId="77777777" w:rsidR="00EB3A40" w:rsidRPr="00165D6E" w:rsidRDefault="00EB3A40">
      <w:pPr>
        <w:rPr>
          <w:rFonts w:cs="Arial"/>
          <w:szCs w:val="20"/>
        </w:rPr>
      </w:pPr>
      <w:r>
        <w:separator/>
      </w:r>
    </w:p>
  </w:endnote>
  <w:endnote w:type="continuationSeparator" w:id="0">
    <w:p w14:paraId="666AAB75" w14:textId="77777777" w:rsidR="00EB3A40" w:rsidRPr="00165D6E" w:rsidRDefault="00EB3A4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EFBEE" w14:textId="77777777" w:rsidR="00726166" w:rsidRDefault="00726166" w:rsidP="0072616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1533C510" w14:textId="77777777" w:rsidR="00FD290C" w:rsidRPr="00726166" w:rsidRDefault="00726166" w:rsidP="00726166">
    <w:pPr>
      <w:pStyle w:val="a4"/>
      <w:pBdr>
        <w:top w:val="single" w:sz="4" w:space="1" w:color="auto"/>
        <w:between w:val="single" w:sz="4" w:space="0" w:color="auto"/>
      </w:pBdr>
      <w:spacing w:after="60"/>
      <w:jc w:val="center"/>
      <w:rPr>
        <w:rFonts w:ascii="FrankRuehl" w:hAnsi="FrankRuehl" w:cs="FrankRuehl"/>
        <w:color w:val="000000"/>
      </w:rPr>
    </w:pPr>
    <w:r w:rsidRPr="0072616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F356C" w14:textId="77777777" w:rsidR="00726166" w:rsidRDefault="00726166" w:rsidP="0072616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75C92">
      <w:rPr>
        <w:rFonts w:ascii="FrankRuehl" w:hAnsi="FrankRuehl" w:cs="FrankRuehl"/>
        <w:noProof/>
        <w:rtl/>
      </w:rPr>
      <w:t>1</w:t>
    </w:r>
    <w:r>
      <w:rPr>
        <w:rFonts w:ascii="FrankRuehl" w:hAnsi="FrankRuehl" w:cs="FrankRuehl"/>
        <w:rtl/>
      </w:rPr>
      <w:fldChar w:fldCharType="end"/>
    </w:r>
  </w:p>
  <w:p w14:paraId="16612450" w14:textId="77777777" w:rsidR="00FD290C" w:rsidRPr="00726166" w:rsidRDefault="00726166" w:rsidP="00726166">
    <w:pPr>
      <w:pStyle w:val="a4"/>
      <w:pBdr>
        <w:top w:val="single" w:sz="4" w:space="1" w:color="auto"/>
        <w:between w:val="single" w:sz="4" w:space="0" w:color="auto"/>
      </w:pBdr>
      <w:spacing w:after="60"/>
      <w:jc w:val="center"/>
      <w:rPr>
        <w:rFonts w:ascii="FrankRuehl" w:hAnsi="FrankRuehl" w:cs="FrankRuehl"/>
        <w:color w:val="000000"/>
      </w:rPr>
    </w:pPr>
    <w:r w:rsidRPr="00726166">
      <w:rPr>
        <w:rFonts w:ascii="FrankRuehl" w:hAnsi="FrankRuehl" w:cs="FrankRuehl"/>
        <w:color w:val="000000"/>
      </w:rPr>
      <w:pict w14:anchorId="3B5D9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E72BC" w14:textId="77777777" w:rsidR="00EB3A40" w:rsidRPr="00165D6E" w:rsidRDefault="00EB3A40">
      <w:pPr>
        <w:rPr>
          <w:rFonts w:cs="Arial"/>
          <w:szCs w:val="20"/>
        </w:rPr>
      </w:pPr>
      <w:r>
        <w:separator/>
      </w:r>
    </w:p>
  </w:footnote>
  <w:footnote w:type="continuationSeparator" w:id="0">
    <w:p w14:paraId="0D77FD7D" w14:textId="77777777" w:rsidR="00EB3A40" w:rsidRPr="00165D6E" w:rsidRDefault="00EB3A4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41173" w14:textId="77777777" w:rsidR="00726166" w:rsidRPr="00726166" w:rsidRDefault="00726166" w:rsidP="0072616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11069-06-12</w:t>
    </w:r>
    <w:r>
      <w:rPr>
        <w:color w:val="000000"/>
        <w:sz w:val="22"/>
        <w:szCs w:val="22"/>
        <w:rtl/>
      </w:rPr>
      <w:tab/>
      <w:t xml:space="preserve"> מדינת ישראל נ' רן הררי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C7701" w14:textId="77777777" w:rsidR="00726166" w:rsidRPr="00726166" w:rsidRDefault="00726166" w:rsidP="0072616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11069-06-12</w:t>
    </w:r>
    <w:r>
      <w:rPr>
        <w:color w:val="000000"/>
        <w:sz w:val="22"/>
        <w:szCs w:val="22"/>
        <w:rtl/>
      </w:rPr>
      <w:tab/>
      <w:t xml:space="preserve"> מדינת ישראל נ' רן הררי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D290C"/>
    <w:rsid w:val="00275C92"/>
    <w:rsid w:val="004A06ED"/>
    <w:rsid w:val="00726166"/>
    <w:rsid w:val="007364E7"/>
    <w:rsid w:val="00D94811"/>
    <w:rsid w:val="00EB3A40"/>
    <w:rsid w:val="00FD29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69C3C0"/>
  <w15:chartTrackingRefBased/>
  <w15:docId w15:val="{9565E398-EE48-4067-80D1-B7428748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D290C"/>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D290C"/>
    <w:pPr>
      <w:tabs>
        <w:tab w:val="center" w:pos="4153"/>
        <w:tab w:val="right" w:pos="8306"/>
      </w:tabs>
    </w:pPr>
  </w:style>
  <w:style w:type="paragraph" w:styleId="a4">
    <w:name w:val="footer"/>
    <w:basedOn w:val="a"/>
    <w:rsid w:val="00FD290C"/>
    <w:pPr>
      <w:tabs>
        <w:tab w:val="center" w:pos="4153"/>
        <w:tab w:val="right" w:pos="8306"/>
      </w:tabs>
    </w:pPr>
  </w:style>
  <w:style w:type="character" w:styleId="a5">
    <w:name w:val="page number"/>
    <w:basedOn w:val="a0"/>
    <w:rsid w:val="00FD290C"/>
  </w:style>
  <w:style w:type="character" w:customStyle="1" w:styleId="TimesNewRomanTimesNewRoman">
    <w:name w:val="סגנון (לטיני) Times New Roman (עברית ושפות אחרות) Times New Roman..."/>
    <w:basedOn w:val="a0"/>
    <w:rsid w:val="00FD290C"/>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FD290C"/>
    <w:rPr>
      <w:rFonts w:ascii="Times New Roman" w:eastAsia="Times New Roman" w:hAnsi="Times New Roman"/>
      <w:b/>
      <w:bCs/>
      <w:u w:val="single"/>
    </w:rPr>
  </w:style>
  <w:style w:type="character" w:styleId="a6">
    <w:name w:val="line number"/>
    <w:basedOn w:val="a0"/>
    <w:rsid w:val="00FD290C"/>
  </w:style>
  <w:style w:type="character" w:styleId="Hyperlink">
    <w:name w:val="Hyperlink"/>
    <w:basedOn w:val="a0"/>
    <w:rsid w:val="007261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3207</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2025-04-22T21:45:00Z</dcterms:created>
  <dcterms:modified xsi:type="dcterms:W3CDTF">2025-04-22T21:45:00Z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11069</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רן הררי</vt:lpwstr>
  </property>
  <property fmtid="{D5CDD505-2E9C-101B-9397-08002B2CF9AE}" pid="10" name="LAWYER">
    <vt:lpwstr>נדב רייכמן;זאב אלוני</vt:lpwstr>
  </property>
  <property fmtid="{D5CDD505-2E9C-101B-9397-08002B2CF9AE}" pid="11" name="JUDGE">
    <vt:lpwstr>ד"ר עמי קובו</vt:lpwstr>
  </property>
  <property fmtid="{D5CDD505-2E9C-101B-9397-08002B2CF9AE}" pid="12" name="CITY">
    <vt:lpwstr>פ"ת</vt:lpwstr>
  </property>
  <property fmtid="{D5CDD505-2E9C-101B-9397-08002B2CF9AE}" pid="13" name="DATE">
    <vt:lpwstr>20130512</vt:lpwstr>
  </property>
  <property fmtid="{D5CDD505-2E9C-101B-9397-08002B2CF9AE}" pid="14" name="TYPE_N_DATE">
    <vt:lpwstr>38020130512</vt:lpwstr>
  </property>
  <property fmtid="{D5CDD505-2E9C-101B-9397-08002B2CF9AE}" pid="15" name="WORDNUMPAGES">
    <vt:lpwstr>2</vt:lpwstr>
  </property>
  <property fmtid="{D5CDD505-2E9C-101B-9397-08002B2CF9AE}" pid="16" name="TYPE_ABS_DATE">
    <vt:lpwstr>380020130512</vt:lpwstr>
  </property>
  <property fmtid="{D5CDD505-2E9C-101B-9397-08002B2CF9AE}" pid="17" name="ISABSTRACT">
    <vt:lpwstr>Y</vt:lpwstr>
  </property>
</Properties>
</file>