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1078ED" w:rsidRPr="00CD21C7" w14:paraId="623EB8C4" w14:textId="77777777">
        <w:trPr>
          <w:trHeight w:hRule="exact" w:val="418"/>
          <w:jc w:val="center"/>
        </w:trPr>
        <w:tc>
          <w:tcPr>
            <w:tcW w:w="8720" w:type="dxa"/>
            <w:gridSpan w:val="3"/>
          </w:tcPr>
          <w:p w14:paraId="003A93A4" w14:textId="77777777" w:rsidR="001078ED" w:rsidRPr="00CD21C7" w:rsidRDefault="00CD21C7">
            <w:pPr>
              <w:pStyle w:val="a3"/>
              <w:tabs>
                <w:tab w:val="clear" w:pos="8306"/>
              </w:tabs>
              <w:jc w:val="center"/>
              <w:rPr>
                <w:rFonts w:ascii="Tahoma" w:hAnsi="Tahoma" w:cs="Tahoma"/>
                <w:b/>
                <w:bCs/>
                <w:color w:val="000080"/>
                <w:sz w:val="20"/>
                <w:szCs w:val="20"/>
                <w:rtl/>
              </w:rPr>
            </w:pPr>
            <w:r w:rsidRPr="00CD21C7">
              <w:rPr>
                <w:rFonts w:ascii="Tahoma" w:hAnsi="Tahoma" w:cs="Tahoma"/>
                <w:b/>
                <w:bCs/>
                <w:color w:val="000080"/>
                <w:sz w:val="20"/>
                <w:szCs w:val="20"/>
                <w:rtl/>
              </w:rPr>
              <w:t>בית משפט השלום בעכו</w:t>
            </w:r>
          </w:p>
        </w:tc>
      </w:tr>
      <w:tr w:rsidR="001078ED" w:rsidRPr="00CD21C7" w14:paraId="1F17C664" w14:textId="77777777">
        <w:trPr>
          <w:trHeight w:val="337"/>
          <w:jc w:val="center"/>
        </w:trPr>
        <w:tc>
          <w:tcPr>
            <w:tcW w:w="3973" w:type="dxa"/>
          </w:tcPr>
          <w:p w14:paraId="1B432E45" w14:textId="77777777" w:rsidR="001078ED" w:rsidRPr="00CD21C7" w:rsidRDefault="00CD21C7">
            <w:pPr>
              <w:rPr>
                <w:b/>
                <w:bCs/>
                <w:sz w:val="26"/>
                <w:szCs w:val="26"/>
                <w:rtl/>
              </w:rPr>
            </w:pPr>
            <w:r w:rsidRPr="00CD21C7">
              <w:rPr>
                <w:b/>
                <w:bCs/>
                <w:sz w:val="26"/>
                <w:szCs w:val="26"/>
                <w:rtl/>
              </w:rPr>
              <w:t>ת"פ</w:t>
            </w:r>
            <w:r w:rsidRPr="00CD21C7">
              <w:rPr>
                <w:rFonts w:hint="cs"/>
                <w:b/>
                <w:bCs/>
                <w:sz w:val="26"/>
                <w:szCs w:val="26"/>
                <w:rtl/>
              </w:rPr>
              <w:t xml:space="preserve"> </w:t>
            </w:r>
            <w:r w:rsidRPr="00CD21C7">
              <w:rPr>
                <w:b/>
                <w:bCs/>
                <w:sz w:val="26"/>
                <w:szCs w:val="26"/>
                <w:rtl/>
              </w:rPr>
              <w:t>11168-06-12</w:t>
            </w:r>
            <w:r w:rsidRPr="00CD21C7">
              <w:rPr>
                <w:rFonts w:hint="cs"/>
                <w:b/>
                <w:bCs/>
                <w:sz w:val="26"/>
                <w:szCs w:val="26"/>
                <w:rtl/>
              </w:rPr>
              <w:t xml:space="preserve"> </w:t>
            </w:r>
            <w:r w:rsidRPr="00CD21C7">
              <w:rPr>
                <w:b/>
                <w:bCs/>
                <w:sz w:val="26"/>
                <w:szCs w:val="26"/>
                <w:rtl/>
              </w:rPr>
              <w:t>מדינת ישראל נ' חליל</w:t>
            </w:r>
          </w:p>
          <w:p w14:paraId="7B52C09D" w14:textId="77777777" w:rsidR="001078ED" w:rsidRPr="00CD21C7" w:rsidRDefault="001078ED">
            <w:pPr>
              <w:rPr>
                <w:b/>
                <w:bCs/>
                <w:sz w:val="26"/>
                <w:szCs w:val="26"/>
                <w:rtl/>
              </w:rPr>
            </w:pPr>
          </w:p>
        </w:tc>
        <w:tc>
          <w:tcPr>
            <w:tcW w:w="1068" w:type="dxa"/>
          </w:tcPr>
          <w:p w14:paraId="30B4460A" w14:textId="77777777" w:rsidR="001078ED" w:rsidRPr="00CD21C7" w:rsidRDefault="001078ED">
            <w:pPr>
              <w:pStyle w:val="a3"/>
              <w:jc w:val="right"/>
              <w:rPr>
                <w:b/>
                <w:bCs/>
                <w:sz w:val="26"/>
                <w:szCs w:val="26"/>
                <w:rtl/>
              </w:rPr>
            </w:pPr>
          </w:p>
        </w:tc>
        <w:tc>
          <w:tcPr>
            <w:tcW w:w="3679" w:type="dxa"/>
          </w:tcPr>
          <w:p w14:paraId="0EEFC2FB" w14:textId="77777777" w:rsidR="001078ED" w:rsidRPr="00CD21C7" w:rsidRDefault="00CD21C7">
            <w:pPr>
              <w:pStyle w:val="a3"/>
              <w:tabs>
                <w:tab w:val="clear" w:pos="4153"/>
              </w:tabs>
              <w:jc w:val="right"/>
              <w:rPr>
                <w:b/>
                <w:bCs/>
                <w:sz w:val="26"/>
                <w:szCs w:val="26"/>
                <w:rtl/>
              </w:rPr>
            </w:pPr>
            <w:r w:rsidRPr="00CD21C7">
              <w:rPr>
                <w:b/>
                <w:bCs/>
                <w:sz w:val="26"/>
                <w:szCs w:val="26"/>
                <w:rtl/>
              </w:rPr>
              <w:t>09 אפריל 2013</w:t>
            </w:r>
          </w:p>
        </w:tc>
      </w:tr>
    </w:tbl>
    <w:p w14:paraId="6E22AE6F" w14:textId="77777777" w:rsidR="001078ED" w:rsidRPr="00CD21C7" w:rsidRDefault="001078ED">
      <w:pPr>
        <w:pStyle w:val="a3"/>
        <w:jc w:val="center"/>
        <w:rPr>
          <w:rFonts w:ascii="Tahoma" w:hAnsi="Tahoma" w:cs="Tahoma"/>
          <w:b/>
          <w:bCs/>
          <w:color w:val="000080"/>
          <w:sz w:val="20"/>
          <w:szCs w:val="20"/>
          <w:rtl/>
        </w:rPr>
      </w:pPr>
    </w:p>
    <w:p w14:paraId="438ADCCC" w14:textId="77777777" w:rsidR="001078ED" w:rsidRPr="00CD21C7" w:rsidRDefault="001078ED">
      <w:pPr>
        <w:spacing w:line="360" w:lineRule="auto"/>
        <w:jc w:val="both"/>
        <w:rPr>
          <w:sz w:val="6"/>
          <w:szCs w:val="6"/>
          <w:rtl/>
        </w:rPr>
      </w:pPr>
    </w:p>
    <w:tbl>
      <w:tblPr>
        <w:bidiVisual/>
        <w:tblW w:w="0" w:type="auto"/>
        <w:jc w:val="center"/>
        <w:tblLook w:val="0000" w:firstRow="0" w:lastRow="0" w:firstColumn="0" w:lastColumn="0" w:noHBand="0" w:noVBand="0"/>
      </w:tblPr>
      <w:tblGrid>
        <w:gridCol w:w="3215"/>
        <w:gridCol w:w="2587"/>
        <w:gridCol w:w="236"/>
        <w:gridCol w:w="2601"/>
        <w:gridCol w:w="81"/>
      </w:tblGrid>
      <w:tr w:rsidR="001078ED" w:rsidRPr="00CD21C7" w14:paraId="17FD59F3" w14:textId="77777777">
        <w:trPr>
          <w:gridAfter w:val="1"/>
          <w:wAfter w:w="54" w:type="dxa"/>
          <w:trHeight w:val="337"/>
          <w:jc w:val="center"/>
        </w:trPr>
        <w:tc>
          <w:tcPr>
            <w:tcW w:w="5856" w:type="dxa"/>
            <w:gridSpan w:val="2"/>
          </w:tcPr>
          <w:p w14:paraId="41455D58" w14:textId="77777777" w:rsidR="001078ED" w:rsidRPr="00CD21C7" w:rsidRDefault="00CD21C7">
            <w:pPr>
              <w:spacing w:line="360" w:lineRule="auto"/>
              <w:jc w:val="both"/>
              <w:rPr>
                <w:b/>
                <w:bCs/>
                <w:sz w:val="26"/>
                <w:szCs w:val="26"/>
                <w:rtl/>
              </w:rPr>
            </w:pPr>
            <w:r w:rsidRPr="00CD21C7">
              <w:rPr>
                <w:rFonts w:hint="cs"/>
                <w:b/>
                <w:bCs/>
                <w:sz w:val="26"/>
                <w:szCs w:val="26"/>
                <w:rtl/>
              </w:rPr>
              <w:t>בפני כב' השופט משה אלטר, סגן נשיא (בדימוס)</w:t>
            </w:r>
          </w:p>
        </w:tc>
        <w:tc>
          <w:tcPr>
            <w:tcW w:w="236" w:type="dxa"/>
          </w:tcPr>
          <w:p w14:paraId="1D1ACDA4" w14:textId="77777777" w:rsidR="001078ED" w:rsidRPr="00CD21C7" w:rsidRDefault="001078ED">
            <w:pPr>
              <w:pStyle w:val="a3"/>
              <w:jc w:val="both"/>
              <w:rPr>
                <w:b/>
                <w:bCs/>
                <w:sz w:val="26"/>
                <w:szCs w:val="26"/>
                <w:rtl/>
              </w:rPr>
            </w:pPr>
          </w:p>
        </w:tc>
        <w:tc>
          <w:tcPr>
            <w:tcW w:w="2628" w:type="dxa"/>
          </w:tcPr>
          <w:p w14:paraId="284FC9CC" w14:textId="77777777" w:rsidR="001078ED" w:rsidRPr="00CD21C7" w:rsidRDefault="001078ED">
            <w:pPr>
              <w:pStyle w:val="a3"/>
              <w:jc w:val="both"/>
              <w:rPr>
                <w:b/>
                <w:bCs/>
                <w:sz w:val="26"/>
                <w:szCs w:val="26"/>
                <w:rtl/>
              </w:rPr>
            </w:pPr>
          </w:p>
        </w:tc>
      </w:tr>
      <w:tr w:rsidR="001078ED" w:rsidRPr="00CD21C7" w14:paraId="56231A3F" w14:textId="77777777">
        <w:tblPrEx>
          <w:jc w:val="left"/>
          <w:tblLook w:val="01E0" w:firstRow="1" w:lastRow="1" w:firstColumn="1" w:lastColumn="1" w:noHBand="0" w:noVBand="0"/>
        </w:tblPrEx>
        <w:tc>
          <w:tcPr>
            <w:tcW w:w="3240" w:type="dxa"/>
          </w:tcPr>
          <w:p w14:paraId="6D7073A6" w14:textId="77777777" w:rsidR="001078ED" w:rsidRPr="00CD21C7" w:rsidRDefault="00CD21C7">
            <w:pPr>
              <w:ind w:left="26"/>
              <w:rPr>
                <w:rFonts w:ascii="Times New Roman" w:eastAsia="Times New Roman" w:hAnsi="Times New Roman"/>
                <w:b/>
                <w:bCs/>
                <w:sz w:val="26"/>
                <w:szCs w:val="26"/>
                <w:rtl/>
              </w:rPr>
            </w:pPr>
            <w:bookmarkStart w:id="0" w:name="FirstAppellant"/>
            <w:bookmarkStart w:id="1" w:name="LastJudge"/>
            <w:bookmarkEnd w:id="1"/>
            <w:r w:rsidRPr="00CD21C7">
              <w:rPr>
                <w:rFonts w:ascii="Times New Roman" w:eastAsia="Times New Roman" w:hAnsi="Times New Roman" w:hint="cs"/>
                <w:b/>
                <w:bCs/>
                <w:sz w:val="26"/>
                <w:szCs w:val="26"/>
                <w:rtl/>
              </w:rPr>
              <w:t>ה</w:t>
            </w:r>
            <w:r w:rsidRPr="00CD21C7">
              <w:rPr>
                <w:rFonts w:ascii="Times New Roman" w:eastAsia="Times New Roman" w:hAnsi="Times New Roman" w:hint="cs"/>
                <w:rtl/>
              </w:rPr>
              <w:t xml:space="preserve">מאשימה  </w:t>
            </w:r>
          </w:p>
        </w:tc>
        <w:tc>
          <w:tcPr>
            <w:tcW w:w="5562" w:type="dxa"/>
            <w:gridSpan w:val="4"/>
          </w:tcPr>
          <w:p w14:paraId="0E11A63D" w14:textId="77777777" w:rsidR="001078ED" w:rsidRPr="00CD21C7" w:rsidRDefault="00CD21C7">
            <w:pPr>
              <w:rPr>
                <w:rFonts w:ascii="Times New Roman" w:eastAsia="Times New Roman" w:hAnsi="Times New Roman"/>
                <w:b/>
                <w:bCs/>
                <w:sz w:val="26"/>
                <w:szCs w:val="26"/>
                <w:rtl/>
              </w:rPr>
            </w:pPr>
            <w:r w:rsidRPr="00CD21C7">
              <w:rPr>
                <w:rFonts w:ascii="Times New Roman" w:eastAsia="Times New Roman" w:hAnsi="Times New Roman" w:hint="cs"/>
                <w:b/>
                <w:bCs/>
                <w:sz w:val="26"/>
                <w:szCs w:val="26"/>
                <w:rtl/>
              </w:rPr>
              <w:t xml:space="preserve"> </w:t>
            </w:r>
            <w:r w:rsidRPr="00CD21C7">
              <w:rPr>
                <w:rFonts w:ascii="Times New Roman" w:eastAsia="Times New Roman" w:hAnsi="Times New Roman" w:hint="cs"/>
                <w:rtl/>
              </w:rPr>
              <w:t>מדינת ישראל</w:t>
            </w:r>
          </w:p>
        </w:tc>
      </w:tr>
      <w:bookmarkEnd w:id="0"/>
      <w:tr w:rsidR="001078ED" w:rsidRPr="00CD21C7" w14:paraId="34049179" w14:textId="77777777">
        <w:tblPrEx>
          <w:jc w:val="left"/>
          <w:tblLook w:val="01E0" w:firstRow="1" w:lastRow="1" w:firstColumn="1" w:lastColumn="1" w:noHBand="0" w:noVBand="0"/>
        </w:tblPrEx>
        <w:tc>
          <w:tcPr>
            <w:tcW w:w="8802" w:type="dxa"/>
            <w:gridSpan w:val="5"/>
          </w:tcPr>
          <w:p w14:paraId="1BB2C38C" w14:textId="77777777" w:rsidR="001078ED" w:rsidRPr="00CD21C7" w:rsidRDefault="00CD21C7">
            <w:pPr>
              <w:jc w:val="center"/>
              <w:rPr>
                <w:rFonts w:ascii="Arial" w:eastAsia="Times New Roman" w:hAnsi="Arial"/>
                <w:b/>
                <w:bCs/>
                <w:sz w:val="26"/>
                <w:szCs w:val="26"/>
              </w:rPr>
            </w:pPr>
            <w:r w:rsidRPr="00CD21C7">
              <w:rPr>
                <w:rFonts w:ascii="Arial" w:eastAsia="Times New Roman" w:hAnsi="Arial"/>
                <w:b/>
                <w:bCs/>
                <w:sz w:val="26"/>
                <w:szCs w:val="26"/>
                <w:rtl/>
              </w:rPr>
              <w:t>נגד</w:t>
            </w:r>
          </w:p>
        </w:tc>
      </w:tr>
      <w:tr w:rsidR="001078ED" w:rsidRPr="00CD21C7" w14:paraId="669BC720" w14:textId="77777777">
        <w:tblPrEx>
          <w:jc w:val="left"/>
          <w:tblLook w:val="01E0" w:firstRow="1" w:lastRow="1" w:firstColumn="1" w:lastColumn="1" w:noHBand="0" w:noVBand="0"/>
        </w:tblPrEx>
        <w:tc>
          <w:tcPr>
            <w:tcW w:w="3240" w:type="dxa"/>
          </w:tcPr>
          <w:p w14:paraId="2E4DB0F7" w14:textId="77777777" w:rsidR="001078ED" w:rsidRPr="00CD21C7" w:rsidRDefault="00CD21C7">
            <w:pPr>
              <w:ind w:left="26"/>
              <w:rPr>
                <w:rFonts w:ascii="Times New Roman" w:eastAsia="Times New Roman" w:hAnsi="Times New Roman"/>
                <w:b/>
                <w:bCs/>
                <w:sz w:val="26"/>
                <w:szCs w:val="26"/>
                <w:rtl/>
              </w:rPr>
            </w:pPr>
            <w:r w:rsidRPr="00CD21C7">
              <w:rPr>
                <w:rFonts w:ascii="Times New Roman" w:eastAsia="Times New Roman" w:hAnsi="Times New Roman" w:hint="cs"/>
                <w:b/>
                <w:bCs/>
                <w:sz w:val="26"/>
                <w:szCs w:val="26"/>
                <w:rtl/>
              </w:rPr>
              <w:t>ה</w:t>
            </w:r>
            <w:r w:rsidRPr="00CD21C7">
              <w:rPr>
                <w:rFonts w:ascii="Times New Roman" w:eastAsia="Times New Roman" w:hAnsi="Times New Roman" w:hint="cs"/>
                <w:rtl/>
              </w:rPr>
              <w:t xml:space="preserve">נאשם </w:t>
            </w:r>
          </w:p>
        </w:tc>
        <w:tc>
          <w:tcPr>
            <w:tcW w:w="5562" w:type="dxa"/>
            <w:gridSpan w:val="4"/>
          </w:tcPr>
          <w:p w14:paraId="758ABDAF" w14:textId="77777777" w:rsidR="001078ED" w:rsidRPr="00CD21C7" w:rsidRDefault="00CD21C7">
            <w:pPr>
              <w:rPr>
                <w:rFonts w:ascii="Times New Roman" w:eastAsia="Times New Roman" w:hAnsi="Times New Roman"/>
                <w:b/>
                <w:bCs/>
                <w:sz w:val="26"/>
                <w:szCs w:val="26"/>
                <w:rtl/>
              </w:rPr>
            </w:pPr>
            <w:r w:rsidRPr="00CD21C7">
              <w:rPr>
                <w:rFonts w:ascii="Times New Roman" w:eastAsia="Times New Roman" w:hAnsi="Times New Roman" w:hint="cs"/>
                <w:b/>
                <w:bCs/>
                <w:sz w:val="26"/>
                <w:szCs w:val="26"/>
                <w:rtl/>
              </w:rPr>
              <w:t xml:space="preserve"> </w:t>
            </w:r>
            <w:r w:rsidRPr="00CD21C7">
              <w:rPr>
                <w:rFonts w:ascii="Times New Roman" w:eastAsia="Times New Roman" w:hAnsi="Times New Roman" w:hint="cs"/>
                <w:rtl/>
              </w:rPr>
              <w:t>סאלח חליל</w:t>
            </w:r>
          </w:p>
        </w:tc>
      </w:tr>
    </w:tbl>
    <w:p w14:paraId="01330DD7" w14:textId="77777777" w:rsidR="001078ED" w:rsidRPr="00CD21C7" w:rsidRDefault="00CD21C7">
      <w:pPr>
        <w:spacing w:line="360" w:lineRule="auto"/>
        <w:jc w:val="both"/>
        <w:rPr>
          <w:sz w:val="6"/>
          <w:szCs w:val="6"/>
          <w:rtl/>
        </w:rPr>
      </w:pPr>
      <w:r w:rsidRPr="00CD21C7">
        <w:rPr>
          <w:sz w:val="6"/>
          <w:szCs w:val="6"/>
          <w:rtl/>
        </w:rPr>
        <w:t>&lt;#2#&gt;</w:t>
      </w:r>
    </w:p>
    <w:p w14:paraId="1EA6A435" w14:textId="77777777" w:rsidR="001078ED" w:rsidRPr="00CD21C7" w:rsidRDefault="00CD21C7">
      <w:pPr>
        <w:pStyle w:val="12"/>
        <w:rPr>
          <w:u w:val="none"/>
          <w:rtl/>
        </w:rPr>
      </w:pPr>
      <w:r w:rsidRPr="00CD21C7">
        <w:rPr>
          <w:rFonts w:hint="cs"/>
          <w:u w:val="none"/>
          <w:rtl/>
        </w:rPr>
        <w:t>נוכחים:</w:t>
      </w:r>
    </w:p>
    <w:p w14:paraId="79F65A72" w14:textId="77777777" w:rsidR="001078ED" w:rsidRPr="00CD21C7" w:rsidRDefault="00CD21C7">
      <w:pPr>
        <w:pStyle w:val="12"/>
        <w:rPr>
          <w:b w:val="0"/>
          <w:bCs w:val="0"/>
          <w:u w:val="none"/>
          <w:rtl/>
        </w:rPr>
      </w:pPr>
      <w:bookmarkStart w:id="2" w:name="FirstLawyer"/>
      <w:r w:rsidRPr="00CD21C7">
        <w:rPr>
          <w:rFonts w:hint="cs"/>
          <w:b w:val="0"/>
          <w:bCs w:val="0"/>
          <w:u w:val="none"/>
          <w:rtl/>
        </w:rPr>
        <w:t>ב"כ</w:t>
      </w:r>
      <w:bookmarkEnd w:id="2"/>
      <w:r w:rsidRPr="00CD21C7">
        <w:rPr>
          <w:rFonts w:hint="cs"/>
          <w:b w:val="0"/>
          <w:bCs w:val="0"/>
          <w:u w:val="none"/>
          <w:rtl/>
        </w:rPr>
        <w:t xml:space="preserve"> המאשימה: עו"ד רון קופר</w:t>
      </w:r>
    </w:p>
    <w:p w14:paraId="7AF8C0E8" w14:textId="77777777" w:rsidR="001078ED" w:rsidRPr="00CD21C7" w:rsidRDefault="00CD21C7">
      <w:pPr>
        <w:pStyle w:val="12"/>
        <w:rPr>
          <w:b w:val="0"/>
          <w:bCs w:val="0"/>
          <w:u w:val="none"/>
          <w:rtl/>
        </w:rPr>
      </w:pPr>
      <w:r w:rsidRPr="00CD21C7">
        <w:rPr>
          <w:rFonts w:hint="cs"/>
          <w:b w:val="0"/>
          <w:bCs w:val="0"/>
          <w:u w:val="none"/>
          <w:rtl/>
        </w:rPr>
        <w:t>הנאשם: נוכח</w:t>
      </w:r>
    </w:p>
    <w:p w14:paraId="340D85AF" w14:textId="77777777" w:rsidR="001078ED" w:rsidRPr="00CD21C7" w:rsidRDefault="00CD21C7">
      <w:pPr>
        <w:pStyle w:val="12"/>
        <w:rPr>
          <w:b w:val="0"/>
          <w:bCs w:val="0"/>
          <w:u w:val="none"/>
          <w:rtl/>
        </w:rPr>
      </w:pPr>
      <w:r w:rsidRPr="00CD21C7">
        <w:rPr>
          <w:rFonts w:hint="cs"/>
          <w:b w:val="0"/>
          <w:bCs w:val="0"/>
          <w:u w:val="none"/>
          <w:rtl/>
        </w:rPr>
        <w:t>הסניגור: עו"ד פאדי שירקאוי</w:t>
      </w:r>
    </w:p>
    <w:p w14:paraId="05CE58BA" w14:textId="77777777" w:rsidR="001078ED" w:rsidRPr="00CD21C7" w:rsidRDefault="00CD21C7">
      <w:pPr>
        <w:overflowPunct w:val="0"/>
        <w:autoSpaceDE w:val="0"/>
        <w:autoSpaceDN w:val="0"/>
        <w:adjustRightInd w:val="0"/>
        <w:jc w:val="center"/>
        <w:rPr>
          <w:rFonts w:ascii="Arial" w:hAnsi="Arial"/>
          <w:b/>
          <w:bCs/>
          <w:sz w:val="28"/>
          <w:szCs w:val="28"/>
          <w:rtl/>
        </w:rPr>
      </w:pPr>
      <w:r w:rsidRPr="00CD21C7">
        <w:rPr>
          <w:rFonts w:ascii="Arial" w:hAnsi="Arial"/>
          <w:b/>
          <w:color w:val="FF0000"/>
          <w:sz w:val="28"/>
          <w:rtl/>
        </w:rPr>
        <w:t>במסמך זה הושמטו פרוטוקולים</w:t>
      </w:r>
    </w:p>
    <w:p w14:paraId="582E9C5A" w14:textId="77777777" w:rsidR="00CD21C7" w:rsidRPr="00CD21C7" w:rsidRDefault="00CD21C7">
      <w:pPr>
        <w:overflowPunct w:val="0"/>
        <w:autoSpaceDE w:val="0"/>
        <w:autoSpaceDN w:val="0"/>
        <w:adjustRightInd w:val="0"/>
        <w:jc w:val="center"/>
        <w:rPr>
          <w:rFonts w:ascii="Arial" w:hAnsi="Arial"/>
          <w:b/>
          <w:bCs/>
          <w:sz w:val="28"/>
          <w:szCs w:val="28"/>
          <w:rtl/>
        </w:rPr>
      </w:pPr>
    </w:p>
    <w:p w14:paraId="0F311F29" w14:textId="77777777" w:rsidR="00CD21C7" w:rsidRPr="00CD21C7" w:rsidRDefault="00CD21C7" w:rsidP="00CD21C7">
      <w:pPr>
        <w:overflowPunct w:val="0"/>
        <w:autoSpaceDE w:val="0"/>
        <w:autoSpaceDN w:val="0"/>
        <w:adjustRightInd w:val="0"/>
        <w:jc w:val="center"/>
        <w:rPr>
          <w:rFonts w:ascii="Arial" w:hAnsi="Arial"/>
          <w:b/>
          <w:bCs/>
          <w:sz w:val="28"/>
          <w:szCs w:val="28"/>
          <w:u w:val="single"/>
          <w:rtl/>
        </w:rPr>
      </w:pPr>
      <w:bookmarkStart w:id="3" w:name="PsakDin"/>
      <w:r w:rsidRPr="00CD21C7">
        <w:rPr>
          <w:rFonts w:ascii="Arial" w:hAnsi="Arial"/>
          <w:b/>
          <w:bCs/>
          <w:sz w:val="28"/>
          <w:szCs w:val="28"/>
          <w:u w:val="single"/>
          <w:rtl/>
        </w:rPr>
        <w:t>גזר דין</w:t>
      </w:r>
    </w:p>
    <w:bookmarkEnd w:id="3"/>
    <w:p w14:paraId="6A852209" w14:textId="77777777" w:rsidR="001078ED" w:rsidRDefault="001078ED">
      <w:pPr>
        <w:overflowPunct w:val="0"/>
        <w:autoSpaceDE w:val="0"/>
        <w:autoSpaceDN w:val="0"/>
        <w:adjustRightInd w:val="0"/>
        <w:jc w:val="both"/>
        <w:rPr>
          <w:rtl/>
        </w:rPr>
      </w:pPr>
    </w:p>
    <w:p w14:paraId="1077B1AD" w14:textId="77777777" w:rsidR="001078ED" w:rsidRDefault="00CD21C7">
      <w:pPr>
        <w:overflowPunct w:val="0"/>
        <w:autoSpaceDE w:val="0"/>
        <w:autoSpaceDN w:val="0"/>
        <w:adjustRightInd w:val="0"/>
        <w:spacing w:line="360" w:lineRule="auto"/>
        <w:jc w:val="both"/>
        <w:rPr>
          <w:rtl/>
        </w:rPr>
      </w:pPr>
      <w:r>
        <w:rPr>
          <w:rFonts w:hint="eastAsia"/>
          <w:rtl/>
        </w:rPr>
        <w:t>לאחר</w:t>
      </w:r>
      <w:r>
        <w:rPr>
          <w:rtl/>
        </w:rPr>
        <w:t xml:space="preserve"> שמיעת </w:t>
      </w:r>
      <w:r>
        <w:rPr>
          <w:rFonts w:hint="eastAsia"/>
          <w:rtl/>
        </w:rPr>
        <w:t>ב</w:t>
      </w:r>
      <w:r>
        <w:rPr>
          <w:rtl/>
        </w:rPr>
        <w:t>"</w:t>
      </w:r>
      <w:r>
        <w:rPr>
          <w:rFonts w:hint="eastAsia"/>
          <w:rtl/>
        </w:rPr>
        <w:t>כ</w:t>
      </w:r>
      <w:r>
        <w:rPr>
          <w:rtl/>
        </w:rPr>
        <w:t xml:space="preserve"> המאשימה וה</w:t>
      </w:r>
      <w:r>
        <w:rPr>
          <w:rFonts w:hint="cs"/>
          <w:rtl/>
        </w:rPr>
        <w:t>סניגור</w:t>
      </w:r>
      <w:r>
        <w:rPr>
          <w:rtl/>
        </w:rPr>
        <w:t>, ובהתחשב בהודאת</w:t>
      </w:r>
      <w:r>
        <w:rPr>
          <w:rFonts w:hint="cs"/>
          <w:rtl/>
        </w:rPr>
        <w:t xml:space="preserve"> הנאשם</w:t>
      </w:r>
      <w:r>
        <w:rPr>
          <w:rtl/>
        </w:rPr>
        <w:t xml:space="preserve"> , עברו</w:t>
      </w:r>
      <w:r>
        <w:rPr>
          <w:rFonts w:hint="cs"/>
          <w:rtl/>
        </w:rPr>
        <w:t xml:space="preserve"> הנקי</w:t>
      </w:r>
      <w:r>
        <w:rPr>
          <w:rtl/>
        </w:rPr>
        <w:t xml:space="preserve">, </w:t>
      </w:r>
      <w:r>
        <w:rPr>
          <w:rFonts w:hint="eastAsia"/>
          <w:rtl/>
        </w:rPr>
        <w:t>מהות</w:t>
      </w:r>
      <w:r>
        <w:rPr>
          <w:rtl/>
        </w:rPr>
        <w:t xml:space="preserve"> העבירה ונסיבות ביצועה,</w:t>
      </w:r>
      <w:r>
        <w:rPr>
          <w:rFonts w:hint="cs"/>
          <w:rtl/>
        </w:rPr>
        <w:t xml:space="preserve"> האמור בתסקיר של שירות המבחן, הסדר הטיעון אותו אני מאשר</w:t>
      </w:r>
      <w:r>
        <w:rPr>
          <w:rtl/>
        </w:rPr>
        <w:t xml:space="preserve"> </w:t>
      </w:r>
      <w:r>
        <w:rPr>
          <w:rFonts w:hint="eastAsia"/>
          <w:rtl/>
        </w:rPr>
        <w:t>ובכל</w:t>
      </w:r>
      <w:r>
        <w:rPr>
          <w:rtl/>
        </w:rPr>
        <w:t xml:space="preserve"> שאר הנסיבות מוטל על הנאשם עונש כדלקמן:-</w:t>
      </w:r>
    </w:p>
    <w:p w14:paraId="5AE7FDBB" w14:textId="77777777" w:rsidR="001078ED" w:rsidRDefault="001078ED">
      <w:pPr>
        <w:overflowPunct w:val="0"/>
        <w:autoSpaceDE w:val="0"/>
        <w:autoSpaceDN w:val="0"/>
        <w:adjustRightInd w:val="0"/>
        <w:spacing w:line="360" w:lineRule="auto"/>
        <w:ind w:left="720" w:hanging="720"/>
        <w:rPr>
          <w:rtl/>
        </w:rPr>
      </w:pPr>
    </w:p>
    <w:p w14:paraId="10FDDE81" w14:textId="77777777" w:rsidR="001078ED" w:rsidRDefault="00CD21C7">
      <w:pPr>
        <w:pStyle w:val="ListParagraph"/>
        <w:numPr>
          <w:ilvl w:val="0"/>
          <w:numId w:val="3"/>
        </w:numPr>
        <w:overflowPunct w:val="0"/>
        <w:autoSpaceDE w:val="0"/>
        <w:autoSpaceDN w:val="0"/>
        <w:adjustRightInd w:val="0"/>
        <w:spacing w:line="360" w:lineRule="auto"/>
        <w:rPr>
          <w:rtl/>
        </w:rPr>
      </w:pPr>
      <w:r>
        <w:rPr>
          <w:rFonts w:hint="eastAsia"/>
          <w:rtl/>
        </w:rPr>
        <w:t>מאסר</w:t>
      </w:r>
      <w:r>
        <w:rPr>
          <w:rtl/>
        </w:rPr>
        <w:t xml:space="preserve"> </w:t>
      </w:r>
      <w:r>
        <w:rPr>
          <w:rFonts w:hint="eastAsia"/>
          <w:rtl/>
        </w:rPr>
        <w:t>על</w:t>
      </w:r>
      <w:r>
        <w:rPr>
          <w:rtl/>
        </w:rPr>
        <w:t xml:space="preserve"> תנאי לתקופה של  </w:t>
      </w:r>
      <w:r>
        <w:rPr>
          <w:rFonts w:hint="cs"/>
          <w:rtl/>
        </w:rPr>
        <w:t>7</w:t>
      </w:r>
      <w:r>
        <w:rPr>
          <w:rtl/>
        </w:rPr>
        <w:t xml:space="preserve"> </w:t>
      </w:r>
      <w:r>
        <w:rPr>
          <w:rFonts w:hint="eastAsia"/>
          <w:rtl/>
        </w:rPr>
        <w:t>חודשים</w:t>
      </w:r>
      <w:r>
        <w:rPr>
          <w:rtl/>
        </w:rPr>
        <w:t xml:space="preserve"> למשך 3 שנים </w:t>
      </w:r>
      <w:r>
        <w:rPr>
          <w:rFonts w:hint="eastAsia"/>
          <w:rtl/>
        </w:rPr>
        <w:t>מהיום</w:t>
      </w:r>
      <w:r>
        <w:rPr>
          <w:rtl/>
        </w:rPr>
        <w:t>, והתנאי הוא כי הנאשם לא יעבור בתקופה זו</w:t>
      </w:r>
      <w:r>
        <w:rPr>
          <w:rFonts w:hint="cs"/>
          <w:rtl/>
        </w:rPr>
        <w:t xml:space="preserve"> כל</w:t>
      </w:r>
      <w:r>
        <w:rPr>
          <w:rtl/>
        </w:rPr>
        <w:t xml:space="preserve"> עבירה</w:t>
      </w:r>
      <w:r>
        <w:rPr>
          <w:rFonts w:hint="cs"/>
          <w:rtl/>
        </w:rPr>
        <w:t xml:space="preserve"> מסוג פשע לפי </w:t>
      </w:r>
      <w:hyperlink r:id="rId7" w:history="1">
        <w:r w:rsidRPr="00CD21C7">
          <w:rPr>
            <w:color w:val="0000FF"/>
            <w:u w:val="single"/>
            <w:rtl/>
          </w:rPr>
          <w:t>פקודת הסמים המסוכנים</w:t>
        </w:r>
      </w:hyperlink>
      <w:r>
        <w:rPr>
          <w:rFonts w:hint="cs"/>
          <w:rtl/>
        </w:rPr>
        <w:t xml:space="preserve"> </w:t>
      </w:r>
      <w:r>
        <w:rPr>
          <w:rtl/>
        </w:rPr>
        <w:t xml:space="preserve"> ויורשע עליה. </w:t>
      </w:r>
    </w:p>
    <w:p w14:paraId="764DC018" w14:textId="77777777" w:rsidR="001078ED" w:rsidRDefault="001078ED">
      <w:pPr>
        <w:overflowPunct w:val="0"/>
        <w:autoSpaceDE w:val="0"/>
        <w:autoSpaceDN w:val="0"/>
        <w:adjustRightInd w:val="0"/>
        <w:spacing w:line="360" w:lineRule="auto"/>
        <w:rPr>
          <w:rtl/>
        </w:rPr>
      </w:pPr>
    </w:p>
    <w:p w14:paraId="1FCF52A1" w14:textId="77777777" w:rsidR="001078ED" w:rsidRDefault="00CD21C7">
      <w:pPr>
        <w:pStyle w:val="ListParagraph"/>
        <w:numPr>
          <w:ilvl w:val="0"/>
          <w:numId w:val="2"/>
        </w:numPr>
        <w:overflowPunct w:val="0"/>
        <w:autoSpaceDE w:val="0"/>
        <w:autoSpaceDN w:val="0"/>
        <w:adjustRightInd w:val="0"/>
        <w:spacing w:line="360" w:lineRule="auto"/>
        <w:jc w:val="both"/>
        <w:rPr>
          <w:rtl/>
        </w:rPr>
      </w:pPr>
      <w:r>
        <w:rPr>
          <w:rtl/>
        </w:rPr>
        <w:t xml:space="preserve">אני מטיל בזה על הנאשם צו שירות כמשמעותו </w:t>
      </w:r>
      <w:r>
        <w:rPr>
          <w:rFonts w:hint="eastAsia"/>
          <w:rtl/>
        </w:rPr>
        <w:t>בסעיף</w:t>
      </w:r>
      <w:r>
        <w:rPr>
          <w:rtl/>
        </w:rPr>
        <w:t xml:space="preserve"> 71 א. ל</w:t>
      </w:r>
      <w:hyperlink r:id="rId8" w:history="1">
        <w:r w:rsidRPr="00CD21C7">
          <w:rPr>
            <w:color w:val="0000FF"/>
            <w:u w:val="single"/>
            <w:rtl/>
          </w:rPr>
          <w:t>חוק העונשין</w:t>
        </w:r>
      </w:hyperlink>
      <w:r>
        <w:rPr>
          <w:rtl/>
        </w:rPr>
        <w:t xml:space="preserve"> תשל"</w:t>
      </w:r>
      <w:r>
        <w:rPr>
          <w:rFonts w:hint="eastAsia"/>
          <w:rtl/>
        </w:rPr>
        <w:t>ז</w:t>
      </w:r>
      <w:r>
        <w:rPr>
          <w:rtl/>
        </w:rPr>
        <w:t>- 1977</w:t>
      </w:r>
      <w:r>
        <w:rPr>
          <w:rFonts w:hint="cs"/>
          <w:rtl/>
        </w:rPr>
        <w:t xml:space="preserve"> (להלן: "הצו"). </w:t>
      </w:r>
    </w:p>
    <w:p w14:paraId="6FA1B258" w14:textId="77777777" w:rsidR="001078ED" w:rsidRDefault="00CD21C7">
      <w:pPr>
        <w:overflowPunct w:val="0"/>
        <w:autoSpaceDE w:val="0"/>
        <w:autoSpaceDN w:val="0"/>
        <w:adjustRightInd w:val="0"/>
        <w:spacing w:line="360" w:lineRule="auto"/>
        <w:ind w:left="720"/>
        <w:jc w:val="both"/>
        <w:rPr>
          <w:rtl/>
        </w:rPr>
      </w:pPr>
      <w:r>
        <w:rPr>
          <w:rFonts w:hint="eastAsia"/>
          <w:rtl/>
        </w:rPr>
        <w:t>הנאשם</w:t>
      </w:r>
      <w:r>
        <w:rPr>
          <w:rtl/>
        </w:rPr>
        <w:t xml:space="preserve"> יבצע </w:t>
      </w:r>
      <w:r>
        <w:rPr>
          <w:rFonts w:hint="eastAsia"/>
          <w:rtl/>
        </w:rPr>
        <w:t>עבודות</w:t>
      </w:r>
      <w:r>
        <w:rPr>
          <w:rtl/>
        </w:rPr>
        <w:t xml:space="preserve"> לתועלת הציבור, בהיקף של </w:t>
      </w:r>
      <w:r>
        <w:rPr>
          <w:rFonts w:hint="cs"/>
          <w:rtl/>
        </w:rPr>
        <w:t xml:space="preserve">180 </w:t>
      </w:r>
      <w:r>
        <w:rPr>
          <w:rtl/>
        </w:rPr>
        <w:t>שעות, בהתאם לתוכנית שהוכנה ע"</w:t>
      </w:r>
      <w:r>
        <w:rPr>
          <w:rFonts w:hint="eastAsia"/>
          <w:rtl/>
        </w:rPr>
        <w:t>י</w:t>
      </w:r>
      <w:r>
        <w:rPr>
          <w:rtl/>
        </w:rPr>
        <w:t xml:space="preserve"> שירות המבחן. </w:t>
      </w:r>
    </w:p>
    <w:p w14:paraId="2943BB3A" w14:textId="77777777" w:rsidR="001078ED" w:rsidRDefault="001078ED">
      <w:pPr>
        <w:overflowPunct w:val="0"/>
        <w:autoSpaceDE w:val="0"/>
        <w:autoSpaceDN w:val="0"/>
        <w:adjustRightInd w:val="0"/>
        <w:spacing w:line="360" w:lineRule="auto"/>
        <w:ind w:left="720"/>
        <w:jc w:val="both"/>
        <w:rPr>
          <w:b/>
          <w:bCs/>
          <w:rtl/>
        </w:rPr>
      </w:pPr>
    </w:p>
    <w:p w14:paraId="26727138" w14:textId="77777777" w:rsidR="001078ED" w:rsidRDefault="00CD21C7">
      <w:pPr>
        <w:pStyle w:val="ListParagraph"/>
        <w:numPr>
          <w:ilvl w:val="0"/>
          <w:numId w:val="1"/>
        </w:numPr>
        <w:spacing w:line="360" w:lineRule="auto"/>
        <w:jc w:val="both"/>
      </w:pPr>
      <w:r>
        <w:rPr>
          <w:rFonts w:hint="cs"/>
          <w:rtl/>
        </w:rPr>
        <w:t xml:space="preserve">אני מורה על העמדתו של הנאשם בפיקוח שירות המבחן למשך תקופה של 12 חודש. </w:t>
      </w:r>
    </w:p>
    <w:p w14:paraId="0F6E4052" w14:textId="77777777" w:rsidR="001078ED" w:rsidRDefault="00CD21C7">
      <w:pPr>
        <w:spacing w:line="360" w:lineRule="auto"/>
        <w:ind w:left="720"/>
        <w:jc w:val="both"/>
        <w:rPr>
          <w:rtl/>
        </w:rPr>
      </w:pPr>
      <w:r>
        <w:rPr>
          <w:rFonts w:hint="cs"/>
          <w:rtl/>
        </w:rPr>
        <w:t>במהלך תקופת המבחן ישתלב הנאשם בקבוצת דפוסים מכשילים שמתקיימת בשירות המבחן.</w:t>
      </w:r>
    </w:p>
    <w:p w14:paraId="13A64E80" w14:textId="77777777" w:rsidR="001078ED" w:rsidRDefault="001078ED">
      <w:pPr>
        <w:spacing w:line="360" w:lineRule="auto"/>
        <w:jc w:val="both"/>
        <w:rPr>
          <w:rtl/>
        </w:rPr>
      </w:pPr>
    </w:p>
    <w:p w14:paraId="6E1E4DA1" w14:textId="77777777" w:rsidR="001078ED" w:rsidRDefault="00CD21C7">
      <w:pPr>
        <w:overflowPunct w:val="0"/>
        <w:autoSpaceDE w:val="0"/>
        <w:autoSpaceDN w:val="0"/>
        <w:adjustRightInd w:val="0"/>
        <w:spacing w:line="360" w:lineRule="auto"/>
        <w:ind w:left="720"/>
        <w:jc w:val="both"/>
        <w:rPr>
          <w:rtl/>
        </w:rPr>
      </w:pPr>
      <w:r>
        <w:rPr>
          <w:rFonts w:hint="cs"/>
          <w:rtl/>
        </w:rPr>
        <w:t>הוסברו לנאשם מטרת עבודות השל"צ והוא הוזהר כי אם לא ימלא אחר הצו ניתן יהיה להביאו מחדש בפני ביהמ"ש, לבטל את הצו ולהטיל עליו עונש נוסף.</w:t>
      </w:r>
    </w:p>
    <w:p w14:paraId="1B94FE1F" w14:textId="77777777" w:rsidR="001078ED" w:rsidRDefault="00CD21C7">
      <w:pPr>
        <w:spacing w:line="360" w:lineRule="auto"/>
        <w:ind w:left="720"/>
        <w:jc w:val="both"/>
        <w:rPr>
          <w:rtl/>
        </w:rPr>
      </w:pPr>
      <w:r>
        <w:rPr>
          <w:rFonts w:hint="cs"/>
          <w:rtl/>
        </w:rPr>
        <w:t xml:space="preserve">כן הוסבר לנאשם שאם לא ימלא אחר צו המבחן מכל בחינה שהיא או אם יעבור בתקופת המבחן עבירה נוספת, ניתן יהיה להפקיע את צו המבחן ולהטיל עליו עונש  נוסף, בגין העבירה בה הורשע בתיק שבפניי. </w:t>
      </w:r>
    </w:p>
    <w:p w14:paraId="3DE59CA4" w14:textId="77777777" w:rsidR="001078ED" w:rsidRDefault="001078ED">
      <w:pPr>
        <w:spacing w:line="360" w:lineRule="auto"/>
        <w:jc w:val="both"/>
        <w:rPr>
          <w:rtl/>
        </w:rPr>
      </w:pPr>
    </w:p>
    <w:p w14:paraId="2CB70DF4" w14:textId="77777777" w:rsidR="001078ED" w:rsidRDefault="00CD21C7">
      <w:pPr>
        <w:spacing w:line="360" w:lineRule="auto"/>
        <w:ind w:firstLine="720"/>
        <w:jc w:val="both"/>
        <w:rPr>
          <w:rtl/>
        </w:rPr>
      </w:pPr>
      <w:r>
        <w:rPr>
          <w:rFonts w:hint="cs"/>
          <w:rtl/>
        </w:rPr>
        <w:t>הודע כי לצדדים זכות ערעור תוך 45 יום מהיום.</w:t>
      </w:r>
    </w:p>
    <w:p w14:paraId="059F2355" w14:textId="77777777" w:rsidR="001078ED" w:rsidRDefault="00CD21C7">
      <w:pPr>
        <w:spacing w:line="360" w:lineRule="auto"/>
        <w:jc w:val="both"/>
        <w:rPr>
          <w:sz w:val="6"/>
          <w:szCs w:val="6"/>
        </w:rPr>
      </w:pPr>
      <w:r>
        <w:rPr>
          <w:sz w:val="6"/>
          <w:szCs w:val="6"/>
          <w:rtl/>
        </w:rPr>
        <w:t>&lt;#4#&gt;</w:t>
      </w:r>
    </w:p>
    <w:p w14:paraId="451B379D" w14:textId="77777777" w:rsidR="001078ED" w:rsidRDefault="001078ED">
      <w:pPr>
        <w:jc w:val="right"/>
        <w:rPr>
          <w:rtl/>
        </w:rPr>
      </w:pPr>
    </w:p>
    <w:p w14:paraId="403163AB" w14:textId="77777777" w:rsidR="001078ED" w:rsidRDefault="00CD21C7">
      <w:pPr>
        <w:jc w:val="right"/>
        <w:rPr>
          <w:rtl/>
        </w:rPr>
      </w:pPr>
      <w:r>
        <w:rPr>
          <w:b/>
          <w:bCs/>
          <w:rtl/>
        </w:rPr>
        <w:t xml:space="preserve">ניתן והודע היום כ"ט ניסן תשע"ג, 09/04/2013 במעמד הנוכחים. </w:t>
      </w:r>
    </w:p>
    <w:p w14:paraId="41C96499" w14:textId="77777777" w:rsidR="001078ED" w:rsidRDefault="001078ED">
      <w:pPr>
        <w:jc w:val="center"/>
        <w:rPr>
          <w:rtl/>
        </w:rPr>
      </w:pPr>
    </w:p>
    <w:p w14:paraId="66251460" w14:textId="77777777" w:rsidR="00CD21C7" w:rsidRPr="00CD21C7" w:rsidRDefault="00CD21C7" w:rsidP="00CD21C7">
      <w:pPr>
        <w:keepNext/>
        <w:rPr>
          <w:color w:val="000000"/>
          <w:sz w:val="22"/>
          <w:szCs w:val="22"/>
          <w:rtl/>
        </w:rPr>
      </w:pPr>
      <w:bookmarkStart w:id="4" w:name="_GoBack"/>
      <w:bookmarkEnd w:id="4"/>
    </w:p>
    <w:p w14:paraId="378B9C10" w14:textId="77777777" w:rsidR="00CD21C7" w:rsidRPr="00CD21C7" w:rsidRDefault="00CD21C7" w:rsidP="00CD21C7">
      <w:pPr>
        <w:keepNext/>
        <w:rPr>
          <w:color w:val="000000"/>
          <w:sz w:val="22"/>
          <w:szCs w:val="22"/>
          <w:rtl/>
        </w:rPr>
      </w:pPr>
      <w:r w:rsidRPr="00CD21C7">
        <w:rPr>
          <w:color w:val="000000"/>
          <w:sz w:val="22"/>
          <w:szCs w:val="22"/>
          <w:rtl/>
        </w:rPr>
        <w:t>משה אלטר 54678313</w:t>
      </w:r>
    </w:p>
    <w:p w14:paraId="01EEEEF4" w14:textId="77777777" w:rsidR="001078ED" w:rsidRPr="00CD21C7" w:rsidRDefault="00CD21C7">
      <w:pPr>
        <w:jc w:val="right"/>
        <w:rPr>
          <w:color w:val="FFFFFF"/>
          <w:sz w:val="2"/>
          <w:szCs w:val="2"/>
          <w:rtl/>
        </w:rPr>
      </w:pPr>
      <w:r w:rsidRPr="00CD21C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078ED" w14:paraId="27B52DCA" w14:textId="77777777">
        <w:trPr>
          <w:trHeight w:val="364"/>
          <w:jc w:val="right"/>
        </w:trPr>
        <w:tc>
          <w:tcPr>
            <w:tcW w:w="3708" w:type="dxa"/>
          </w:tcPr>
          <w:p w14:paraId="4651B1A6" w14:textId="77777777" w:rsidR="001078ED" w:rsidRPr="00CD21C7" w:rsidRDefault="00CD21C7">
            <w:pPr>
              <w:jc w:val="center"/>
              <w:rPr>
                <w:rFonts w:ascii="Times New Roman" w:eastAsia="Times New Roman" w:hAnsi="Times New Roman" w:cs="Times New Roman"/>
                <w:color w:val="FFFFFF"/>
                <w:sz w:val="2"/>
                <w:szCs w:val="2"/>
              </w:rPr>
            </w:pPr>
            <w:r w:rsidRPr="00CD21C7">
              <w:rPr>
                <w:rFonts w:ascii="Times New Roman" w:eastAsia="Times New Roman" w:hAnsi="Times New Roman" w:cs="Times New Roman"/>
                <w:color w:val="FFFFFF"/>
                <w:sz w:val="2"/>
                <w:szCs w:val="2"/>
                <w:rtl/>
              </w:rPr>
              <w:t>54678313</w:t>
            </w:r>
          </w:p>
          <w:p w14:paraId="47191130" w14:textId="77777777" w:rsidR="001078ED" w:rsidRDefault="001078ED">
            <w:pPr>
              <w:jc w:val="center"/>
              <w:rPr>
                <w:rFonts w:ascii="Times New Roman" w:eastAsia="Times New Roman" w:hAnsi="Times New Roman" w:cs="Times New Roman"/>
                <w:rtl/>
              </w:rPr>
            </w:pPr>
          </w:p>
        </w:tc>
      </w:tr>
      <w:tr w:rsidR="001078ED" w14:paraId="5F213EED" w14:textId="77777777">
        <w:trPr>
          <w:trHeight w:val="415"/>
          <w:jc w:val="right"/>
        </w:trPr>
        <w:tc>
          <w:tcPr>
            <w:tcW w:w="3708" w:type="dxa"/>
          </w:tcPr>
          <w:p w14:paraId="6CAA5F91" w14:textId="77777777" w:rsidR="001078ED" w:rsidRDefault="00CD21C7">
            <w:pPr>
              <w:jc w:val="center"/>
              <w:rPr>
                <w:rFonts w:ascii="Times New Roman" w:eastAsia="Times New Roman" w:hAnsi="Times New Roman"/>
                <w:b/>
                <w:bCs/>
                <w:rtl/>
              </w:rPr>
            </w:pPr>
            <w:r>
              <w:rPr>
                <w:rFonts w:ascii="Times New Roman" w:eastAsia="Times New Roman" w:hAnsi="Times New Roman" w:hint="cs"/>
                <w:rtl/>
              </w:rPr>
              <w:t>משה</w:t>
            </w:r>
            <w:r>
              <w:rPr>
                <w:rFonts w:ascii="Times New Roman" w:eastAsia="Times New Roman" w:hAnsi="Times New Roman" w:hint="cs"/>
                <w:b/>
                <w:bCs/>
                <w:rtl/>
              </w:rPr>
              <w:t xml:space="preserve"> </w:t>
            </w:r>
            <w:r>
              <w:rPr>
                <w:rFonts w:ascii="Times New Roman" w:eastAsia="Times New Roman" w:hAnsi="Times New Roman" w:hint="cs"/>
                <w:rtl/>
              </w:rPr>
              <w:t>אלטר</w:t>
            </w:r>
            <w:r>
              <w:rPr>
                <w:rFonts w:ascii="Times New Roman" w:eastAsia="Times New Roman" w:hAnsi="Times New Roman" w:hint="cs"/>
                <w:b/>
                <w:bCs/>
                <w:rtl/>
              </w:rPr>
              <w:t xml:space="preserve">, </w:t>
            </w:r>
            <w:r>
              <w:rPr>
                <w:rFonts w:ascii="Times New Roman" w:eastAsia="Times New Roman" w:hAnsi="Times New Roman" w:hint="cs"/>
                <w:rtl/>
              </w:rPr>
              <w:t>סגן נשיא</w:t>
            </w:r>
          </w:p>
        </w:tc>
      </w:tr>
    </w:tbl>
    <w:p w14:paraId="1977F0AD" w14:textId="77777777" w:rsidR="00CD21C7" w:rsidRDefault="00CD21C7" w:rsidP="00CD21C7">
      <w:r w:rsidRPr="00CD21C7">
        <w:rPr>
          <w:color w:val="000000"/>
          <w:rtl/>
        </w:rPr>
        <w:t>נוסח מסמך זה כפוף לשינויי ניסוח ועריכה</w:t>
      </w:r>
    </w:p>
    <w:p w14:paraId="2958E9E0" w14:textId="77777777" w:rsidR="00CD21C7" w:rsidRDefault="00CD21C7" w:rsidP="00CD21C7">
      <w:pPr>
        <w:rPr>
          <w:rtl/>
        </w:rPr>
      </w:pPr>
    </w:p>
    <w:p w14:paraId="531105B9" w14:textId="77777777" w:rsidR="00CD21C7" w:rsidRDefault="00CD21C7" w:rsidP="00CD21C7">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4F1571C2" w14:textId="77777777" w:rsidR="001078ED" w:rsidRPr="00CD21C7" w:rsidRDefault="001078ED" w:rsidP="00CD21C7">
      <w:pPr>
        <w:jc w:val="center"/>
        <w:rPr>
          <w:color w:val="0000FF"/>
          <w:u w:val="single"/>
        </w:rPr>
      </w:pPr>
    </w:p>
    <w:sectPr w:rsidR="001078ED" w:rsidRPr="00CD21C7" w:rsidSect="00CD21C7">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E3372" w14:textId="77777777" w:rsidR="006432C8" w:rsidRPr="000003E7" w:rsidRDefault="006432C8">
      <w:pPr>
        <w:rPr>
          <w:rFonts w:cs="Arial"/>
          <w:szCs w:val="20"/>
        </w:rPr>
      </w:pPr>
      <w:r>
        <w:separator/>
      </w:r>
    </w:p>
  </w:endnote>
  <w:endnote w:type="continuationSeparator" w:id="0">
    <w:p w14:paraId="676A3C8B" w14:textId="77777777" w:rsidR="006432C8" w:rsidRPr="000003E7" w:rsidRDefault="006432C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EDB4B" w14:textId="77777777" w:rsidR="00CD21C7" w:rsidRDefault="00CD21C7" w:rsidP="00CD21C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137F9DC5" w14:textId="77777777" w:rsidR="001078ED" w:rsidRPr="00CD21C7" w:rsidRDefault="00CD21C7" w:rsidP="00CD21C7">
    <w:pPr>
      <w:pStyle w:val="a4"/>
      <w:pBdr>
        <w:top w:val="single" w:sz="4" w:space="1" w:color="auto"/>
        <w:between w:val="single" w:sz="4" w:space="0" w:color="auto"/>
      </w:pBdr>
      <w:spacing w:after="60"/>
      <w:jc w:val="center"/>
      <w:rPr>
        <w:rFonts w:ascii="FrankRuehl" w:hAnsi="FrankRuehl" w:cs="FrankRuehl"/>
        <w:color w:val="000000"/>
      </w:rPr>
    </w:pPr>
    <w:r w:rsidRPr="00CD21C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E4848" w14:textId="77777777" w:rsidR="00CD21C7" w:rsidRDefault="00CD21C7" w:rsidP="00CD21C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35BC8">
      <w:rPr>
        <w:rFonts w:ascii="FrankRuehl" w:hAnsi="FrankRuehl" w:cs="FrankRuehl"/>
        <w:noProof/>
        <w:rtl/>
      </w:rPr>
      <w:t>1</w:t>
    </w:r>
    <w:r>
      <w:rPr>
        <w:rFonts w:ascii="FrankRuehl" w:hAnsi="FrankRuehl" w:cs="FrankRuehl"/>
        <w:rtl/>
      </w:rPr>
      <w:fldChar w:fldCharType="end"/>
    </w:r>
  </w:p>
  <w:p w14:paraId="6F77E385" w14:textId="77777777" w:rsidR="001078ED" w:rsidRPr="00CD21C7" w:rsidRDefault="00CD21C7" w:rsidP="00CD21C7">
    <w:pPr>
      <w:pStyle w:val="a4"/>
      <w:pBdr>
        <w:top w:val="single" w:sz="4" w:space="1" w:color="auto"/>
        <w:between w:val="single" w:sz="4" w:space="0" w:color="auto"/>
      </w:pBdr>
      <w:spacing w:after="60"/>
      <w:jc w:val="center"/>
      <w:rPr>
        <w:rFonts w:ascii="FrankRuehl" w:hAnsi="FrankRuehl" w:cs="FrankRuehl"/>
        <w:color w:val="000000"/>
      </w:rPr>
    </w:pPr>
    <w:r w:rsidRPr="00CD21C7">
      <w:rPr>
        <w:rFonts w:ascii="FrankRuehl" w:hAnsi="FrankRuehl" w:cs="FrankRuehl"/>
        <w:color w:val="000000"/>
      </w:rPr>
      <w:pict w14:anchorId="3DAACF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6A849" w14:textId="77777777" w:rsidR="006432C8" w:rsidRPr="000003E7" w:rsidRDefault="006432C8">
      <w:pPr>
        <w:rPr>
          <w:rFonts w:cs="Arial"/>
          <w:szCs w:val="20"/>
        </w:rPr>
      </w:pPr>
      <w:r>
        <w:separator/>
      </w:r>
    </w:p>
  </w:footnote>
  <w:footnote w:type="continuationSeparator" w:id="0">
    <w:p w14:paraId="3085C519" w14:textId="77777777" w:rsidR="006432C8" w:rsidRPr="000003E7" w:rsidRDefault="006432C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05AF1" w14:textId="77777777" w:rsidR="00CD21C7" w:rsidRPr="00CD21C7" w:rsidRDefault="00CD21C7" w:rsidP="00CD21C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11168-06-12</w:t>
    </w:r>
    <w:r>
      <w:rPr>
        <w:color w:val="000000"/>
        <w:sz w:val="22"/>
        <w:szCs w:val="22"/>
        <w:rtl/>
      </w:rPr>
      <w:tab/>
      <w:t xml:space="preserve"> מדינת ישראל נ' סאלח חליל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A13F5" w14:textId="77777777" w:rsidR="00CD21C7" w:rsidRPr="00CD21C7" w:rsidRDefault="00CD21C7" w:rsidP="00CD21C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11168-06-12</w:t>
    </w:r>
    <w:r>
      <w:rPr>
        <w:color w:val="000000"/>
        <w:sz w:val="22"/>
        <w:szCs w:val="22"/>
        <w:rtl/>
      </w:rPr>
      <w:tab/>
      <w:t xml:space="preserve"> מדינת ישראל נ' סאלח חליל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B7518"/>
    <w:multiLevelType w:val="hybridMultilevel"/>
    <w:tmpl w:val="2D32639A"/>
    <w:lvl w:ilvl="0" w:tplc="28D84DF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72B8F"/>
    <w:multiLevelType w:val="hybridMultilevel"/>
    <w:tmpl w:val="FD0C450A"/>
    <w:lvl w:ilvl="0" w:tplc="6B10CFAE">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82155"/>
    <w:multiLevelType w:val="hybridMultilevel"/>
    <w:tmpl w:val="C2F84E22"/>
    <w:lvl w:ilvl="0" w:tplc="27B220E8">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845480">
    <w:abstractNumId w:val="1"/>
  </w:num>
  <w:num w:numId="2" w16cid:durableId="808398795">
    <w:abstractNumId w:val="0"/>
  </w:num>
  <w:num w:numId="3" w16cid:durableId="123616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78ED"/>
    <w:rsid w:val="001078ED"/>
    <w:rsid w:val="006432C8"/>
    <w:rsid w:val="00735BC8"/>
    <w:rsid w:val="008122A5"/>
    <w:rsid w:val="00B101C2"/>
    <w:rsid w:val="00CD21C7"/>
    <w:rsid w:val="00E74D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CD324B4"/>
  <w15:chartTrackingRefBased/>
  <w15:docId w15:val="{86B8D3B4-3D25-4246-934E-7804A6B17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78ED"/>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078ED"/>
    <w:pPr>
      <w:tabs>
        <w:tab w:val="center" w:pos="4153"/>
        <w:tab w:val="right" w:pos="8306"/>
      </w:tabs>
    </w:pPr>
  </w:style>
  <w:style w:type="paragraph" w:styleId="a4">
    <w:name w:val="footer"/>
    <w:basedOn w:val="a"/>
    <w:rsid w:val="001078ED"/>
    <w:pPr>
      <w:tabs>
        <w:tab w:val="center" w:pos="4153"/>
        <w:tab w:val="right" w:pos="8306"/>
      </w:tabs>
    </w:pPr>
  </w:style>
  <w:style w:type="character" w:styleId="a5">
    <w:name w:val="page number"/>
    <w:basedOn w:val="a0"/>
    <w:rsid w:val="001078ED"/>
  </w:style>
  <w:style w:type="paragraph" w:customStyle="1" w:styleId="12">
    <w:name w:val="רגיל + ‏12 נק'"/>
    <w:aliases w:val="מיושר לשני הצדדים,מרווח בין שורות:  שורה וחצי"/>
    <w:basedOn w:val="a"/>
    <w:rsid w:val="001078ED"/>
    <w:rPr>
      <w:rFonts w:ascii="Times New Roman" w:eastAsia="Times New Roman" w:hAnsi="Times New Roman"/>
      <w:b/>
      <w:bCs/>
      <w:u w:val="single"/>
    </w:rPr>
  </w:style>
  <w:style w:type="paragraph" w:customStyle="1" w:styleId="ListParagraph">
    <w:name w:val="List Paragraph"/>
    <w:basedOn w:val="a"/>
    <w:rsid w:val="001078ED"/>
    <w:pPr>
      <w:ind w:left="720"/>
      <w:contextualSpacing/>
    </w:pPr>
  </w:style>
  <w:style w:type="character" w:styleId="a6">
    <w:name w:val="line number"/>
    <w:basedOn w:val="a0"/>
    <w:rsid w:val="001078ED"/>
  </w:style>
  <w:style w:type="character" w:styleId="Hyperlink">
    <w:name w:val="Hyperlink"/>
    <w:basedOn w:val="a0"/>
    <w:rsid w:val="00CD21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073_002.ht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html/law01/P170_001.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1754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3932214</vt:i4>
      </vt:variant>
      <vt:variant>
        <vt:i4>3</vt:i4>
      </vt:variant>
      <vt:variant>
        <vt:i4>0</vt:i4>
      </vt:variant>
      <vt:variant>
        <vt:i4>5</vt:i4>
      </vt:variant>
      <vt:variant>
        <vt:lpwstr>http://www.nevo.co.il/law_html/law01/073_002.htm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2025-04-22T21:45:00Z</dcterms:created>
  <dcterms:modified xsi:type="dcterms:W3CDTF">2025-04-22T21:45:00Z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11168</vt:lpwstr>
  </property>
  <property fmtid="{D5CDD505-2E9C-101B-9397-08002B2CF9AE}" pid="6" name="NEWPARTB">
    <vt:lpwstr>06</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סאלח חליל</vt:lpwstr>
  </property>
  <property fmtid="{D5CDD505-2E9C-101B-9397-08002B2CF9AE}" pid="10" name="LAWYER">
    <vt:lpwstr>רון קופר</vt:lpwstr>
  </property>
  <property fmtid="{D5CDD505-2E9C-101B-9397-08002B2CF9AE}" pid="11" name="JUDGE">
    <vt:lpwstr>משה אלטר</vt:lpwstr>
  </property>
  <property fmtid="{D5CDD505-2E9C-101B-9397-08002B2CF9AE}" pid="12" name="CITY">
    <vt:lpwstr>עכו</vt:lpwstr>
  </property>
  <property fmtid="{D5CDD505-2E9C-101B-9397-08002B2CF9AE}" pid="13" name="DATE">
    <vt:lpwstr>20130409</vt:lpwstr>
  </property>
  <property fmtid="{D5CDD505-2E9C-101B-9397-08002B2CF9AE}" pid="14" name="TYPE_N_DATE">
    <vt:lpwstr>38020130409</vt:lpwstr>
  </property>
  <property fmtid="{D5CDD505-2E9C-101B-9397-08002B2CF9AE}" pid="15" name="WORDNUMPAGES">
    <vt:lpwstr>2</vt:lpwstr>
  </property>
  <property fmtid="{D5CDD505-2E9C-101B-9397-08002B2CF9AE}" pid="16" name="TYPE_ABS_DATE">
    <vt:lpwstr>380020130409</vt:lpwstr>
  </property>
</Properties>
</file>