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6750D9" w:rsidRPr="00436B7A" w14:paraId="37C373BC" w14:textId="77777777">
        <w:trPr>
          <w:trHeight w:hRule="exact" w:val="418"/>
          <w:jc w:val="center"/>
        </w:trPr>
        <w:tc>
          <w:tcPr>
            <w:tcW w:w="8720" w:type="dxa"/>
            <w:gridSpan w:val="3"/>
          </w:tcPr>
          <w:p w14:paraId="1250907B" w14:textId="77777777" w:rsidR="006750D9" w:rsidRPr="00436B7A" w:rsidRDefault="00436B7A">
            <w:pPr>
              <w:pStyle w:val="a3"/>
              <w:tabs>
                <w:tab w:val="clear" w:pos="8306"/>
              </w:tabs>
              <w:jc w:val="center"/>
              <w:rPr>
                <w:rFonts w:ascii="Tahoma" w:hAnsi="Tahoma" w:cs="Tahoma"/>
                <w:b/>
                <w:bCs/>
                <w:color w:val="000080"/>
                <w:sz w:val="20"/>
                <w:szCs w:val="20"/>
                <w:rtl/>
              </w:rPr>
            </w:pPr>
            <w:bookmarkStart w:id="0" w:name="LastJudge"/>
            <w:r w:rsidRPr="00436B7A">
              <w:rPr>
                <w:rFonts w:ascii="Tahoma" w:hAnsi="Tahoma" w:cs="Tahoma"/>
                <w:b/>
                <w:bCs/>
                <w:color w:val="000080"/>
                <w:sz w:val="20"/>
                <w:szCs w:val="20"/>
                <w:rtl/>
              </w:rPr>
              <w:t>בית משפט השלום באשדוד</w:t>
            </w:r>
          </w:p>
        </w:tc>
      </w:tr>
      <w:tr w:rsidR="006750D9" w:rsidRPr="00436B7A" w14:paraId="06A4AC00" w14:textId="77777777">
        <w:trPr>
          <w:trHeight w:val="337"/>
          <w:jc w:val="center"/>
        </w:trPr>
        <w:tc>
          <w:tcPr>
            <w:tcW w:w="6396" w:type="dxa"/>
          </w:tcPr>
          <w:p w14:paraId="603BBDD9" w14:textId="77777777" w:rsidR="006750D9" w:rsidRPr="00436B7A" w:rsidRDefault="00436B7A">
            <w:pPr>
              <w:rPr>
                <w:b/>
                <w:bCs/>
                <w:sz w:val="26"/>
                <w:szCs w:val="26"/>
                <w:rtl/>
              </w:rPr>
            </w:pPr>
            <w:r w:rsidRPr="00436B7A">
              <w:rPr>
                <w:b/>
                <w:bCs/>
                <w:sz w:val="26"/>
                <w:szCs w:val="26"/>
                <w:rtl/>
              </w:rPr>
              <w:t>ת"פ</w:t>
            </w:r>
            <w:r w:rsidRPr="00436B7A">
              <w:rPr>
                <w:rFonts w:hint="cs"/>
                <w:b/>
                <w:bCs/>
                <w:sz w:val="26"/>
                <w:szCs w:val="26"/>
                <w:rtl/>
              </w:rPr>
              <w:t xml:space="preserve"> </w:t>
            </w:r>
            <w:r w:rsidRPr="00436B7A">
              <w:rPr>
                <w:b/>
                <w:bCs/>
                <w:sz w:val="26"/>
                <w:szCs w:val="26"/>
                <w:rtl/>
              </w:rPr>
              <w:t>4439-06-12</w:t>
            </w:r>
            <w:r w:rsidRPr="00436B7A">
              <w:rPr>
                <w:rFonts w:hint="cs"/>
                <w:b/>
                <w:bCs/>
                <w:sz w:val="26"/>
                <w:szCs w:val="26"/>
                <w:rtl/>
              </w:rPr>
              <w:t xml:space="preserve"> </w:t>
            </w:r>
            <w:r w:rsidRPr="00436B7A">
              <w:rPr>
                <w:rtl/>
              </w:rPr>
              <w:t>מדינת ישראל נ' רוזנבוים</w:t>
            </w:r>
            <w:r w:rsidRPr="00436B7A">
              <w:rPr>
                <w:rtl/>
              </w:rPr>
              <w:br/>
            </w:r>
          </w:p>
        </w:tc>
        <w:tc>
          <w:tcPr>
            <w:tcW w:w="236" w:type="dxa"/>
          </w:tcPr>
          <w:p w14:paraId="6EEF23C4" w14:textId="77777777" w:rsidR="006750D9" w:rsidRPr="00436B7A" w:rsidRDefault="006750D9">
            <w:pPr>
              <w:pStyle w:val="a3"/>
              <w:jc w:val="right"/>
              <w:rPr>
                <w:b/>
                <w:bCs/>
                <w:sz w:val="26"/>
                <w:szCs w:val="26"/>
                <w:rtl/>
              </w:rPr>
            </w:pPr>
          </w:p>
        </w:tc>
        <w:tc>
          <w:tcPr>
            <w:tcW w:w="2088" w:type="dxa"/>
          </w:tcPr>
          <w:p w14:paraId="673C12A8" w14:textId="77777777" w:rsidR="006750D9" w:rsidRPr="00436B7A" w:rsidRDefault="00436B7A">
            <w:pPr>
              <w:pStyle w:val="a3"/>
              <w:tabs>
                <w:tab w:val="clear" w:pos="4153"/>
              </w:tabs>
              <w:jc w:val="right"/>
              <w:rPr>
                <w:b/>
                <w:bCs/>
                <w:sz w:val="26"/>
                <w:szCs w:val="26"/>
                <w:rtl/>
              </w:rPr>
            </w:pPr>
            <w:r w:rsidRPr="00436B7A">
              <w:rPr>
                <w:b/>
                <w:bCs/>
                <w:sz w:val="26"/>
                <w:szCs w:val="26"/>
                <w:rtl/>
              </w:rPr>
              <w:t>11 מרץ 2013</w:t>
            </w:r>
          </w:p>
        </w:tc>
      </w:tr>
    </w:tbl>
    <w:p w14:paraId="76671DDD" w14:textId="77777777" w:rsidR="006750D9" w:rsidRPr="00436B7A" w:rsidRDefault="006750D9">
      <w:pPr>
        <w:pStyle w:val="a3"/>
        <w:jc w:val="center"/>
        <w:rPr>
          <w:rFonts w:ascii="Tahoma" w:hAnsi="Tahoma" w:cs="Tahoma"/>
          <w:b/>
          <w:bCs/>
          <w:color w:val="000080"/>
          <w:sz w:val="20"/>
          <w:szCs w:val="20"/>
          <w:rtl/>
        </w:rPr>
      </w:pPr>
    </w:p>
    <w:p w14:paraId="6CF1AB62" w14:textId="77777777" w:rsidR="006750D9" w:rsidRPr="00436B7A" w:rsidRDefault="006750D9">
      <w:pPr>
        <w:jc w:val="both"/>
        <w:rPr>
          <w:sz w:val="6"/>
          <w:szCs w:val="6"/>
          <w:rtl/>
        </w:rPr>
      </w:pPr>
    </w:p>
    <w:tbl>
      <w:tblPr>
        <w:bidiVisual/>
        <w:tblW w:w="0" w:type="auto"/>
        <w:jc w:val="center"/>
        <w:tblLook w:val="0000" w:firstRow="0" w:lastRow="0" w:firstColumn="0" w:lastColumn="0" w:noHBand="0" w:noVBand="0"/>
      </w:tblPr>
      <w:tblGrid>
        <w:gridCol w:w="1490"/>
        <w:gridCol w:w="1203"/>
        <w:gridCol w:w="983"/>
        <w:gridCol w:w="4321"/>
        <w:gridCol w:w="648"/>
        <w:gridCol w:w="75"/>
      </w:tblGrid>
      <w:tr w:rsidR="006750D9" w:rsidRPr="00436B7A" w14:paraId="438FBD59" w14:textId="77777777">
        <w:trPr>
          <w:gridAfter w:val="2"/>
          <w:wAfter w:w="776" w:type="dxa"/>
          <w:trHeight w:val="337"/>
          <w:jc w:val="center"/>
        </w:trPr>
        <w:tc>
          <w:tcPr>
            <w:tcW w:w="1592" w:type="dxa"/>
          </w:tcPr>
          <w:p w14:paraId="0E48B16F" w14:textId="77777777" w:rsidR="006750D9" w:rsidRPr="00436B7A" w:rsidRDefault="00436B7A">
            <w:pPr>
              <w:pStyle w:val="a3"/>
              <w:bidi w:val="0"/>
              <w:jc w:val="both"/>
              <w:rPr>
                <w:rFonts w:ascii="Times New Roman" w:hAnsi="Times New Roman"/>
              </w:rPr>
            </w:pPr>
            <w:r w:rsidRPr="00436B7A">
              <w:rPr>
                <w:rFonts w:ascii="Times New Roman" w:hAnsi="Times New Roman"/>
              </w:rPr>
              <w:t xml:space="preserve">   </w:t>
            </w:r>
          </w:p>
        </w:tc>
        <w:tc>
          <w:tcPr>
            <w:tcW w:w="7128" w:type="dxa"/>
            <w:gridSpan w:val="3"/>
          </w:tcPr>
          <w:p w14:paraId="15CBB948" w14:textId="77777777" w:rsidR="006750D9" w:rsidRPr="00436B7A" w:rsidRDefault="00436B7A">
            <w:pPr>
              <w:pStyle w:val="a3"/>
              <w:jc w:val="right"/>
              <w:rPr>
                <w:b/>
                <w:bCs/>
                <w:sz w:val="26"/>
                <w:szCs w:val="26"/>
                <w:rtl/>
              </w:rPr>
            </w:pPr>
            <w:r w:rsidRPr="00436B7A">
              <w:rPr>
                <w:rFonts w:hint="cs"/>
                <w:rtl/>
              </w:rPr>
              <w:t xml:space="preserve"> 4465-06-12</w:t>
            </w:r>
          </w:p>
        </w:tc>
      </w:tr>
      <w:tr w:rsidR="006750D9" w:rsidRPr="00436B7A" w14:paraId="02BC8E70" w14:textId="77777777">
        <w:tblPrEx>
          <w:jc w:val="left"/>
          <w:tblLook w:val="01E0" w:firstRow="1" w:lastRow="1" w:firstColumn="1" w:lastColumn="1" w:noHBand="0" w:noVBand="0"/>
        </w:tblPrEx>
        <w:trPr>
          <w:gridAfter w:val="1"/>
          <w:wAfter w:w="55" w:type="dxa"/>
        </w:trPr>
        <w:tc>
          <w:tcPr>
            <w:tcW w:w="9441" w:type="dxa"/>
            <w:gridSpan w:val="5"/>
          </w:tcPr>
          <w:p w14:paraId="7C5FD007" w14:textId="77777777" w:rsidR="006750D9" w:rsidRPr="00436B7A" w:rsidRDefault="00436B7A">
            <w:pPr>
              <w:jc w:val="both"/>
              <w:rPr>
                <w:rFonts w:ascii="Times New Roman" w:eastAsia="Times New Roman" w:hAnsi="Times New Roman"/>
                <w:b/>
                <w:bCs/>
                <w:sz w:val="26"/>
                <w:szCs w:val="26"/>
                <w:rtl/>
              </w:rPr>
            </w:pPr>
            <w:r w:rsidRPr="00436B7A">
              <w:rPr>
                <w:rFonts w:ascii="Times New Roman" w:eastAsia="Times New Roman" w:hAnsi="Times New Roman" w:hint="cs"/>
                <w:b/>
                <w:bCs/>
                <w:sz w:val="26"/>
                <w:szCs w:val="26"/>
                <w:rtl/>
              </w:rPr>
              <w:t>בפני כב' ה</w:t>
            </w:r>
            <w:r w:rsidRPr="00436B7A">
              <w:rPr>
                <w:rFonts w:ascii="Times New Roman" w:eastAsia="Times New Roman" w:hAnsi="Times New Roman" w:hint="cs"/>
                <w:rtl/>
              </w:rPr>
              <w:t>שופטת גילת שלו</w:t>
            </w:r>
            <w:r w:rsidRPr="00436B7A">
              <w:rPr>
                <w:rStyle w:val="TimesNewRomanTimesNewRoman"/>
                <w:rFonts w:eastAsia="Times New Roman"/>
                <w:rtl/>
              </w:rPr>
              <w:t xml:space="preserve"> </w:t>
            </w:r>
          </w:p>
        </w:tc>
      </w:tr>
      <w:tr w:rsidR="006750D9" w:rsidRPr="00436B7A" w14:paraId="3032E874" w14:textId="77777777">
        <w:tblPrEx>
          <w:jc w:val="left"/>
          <w:tblLook w:val="01E0" w:firstRow="1" w:lastRow="1" w:firstColumn="1" w:lastColumn="1" w:noHBand="0" w:noVBand="0"/>
        </w:tblPrEx>
        <w:tc>
          <w:tcPr>
            <w:tcW w:w="2880" w:type="dxa"/>
            <w:gridSpan w:val="2"/>
          </w:tcPr>
          <w:p w14:paraId="16B115C3" w14:textId="77777777" w:rsidR="006750D9" w:rsidRPr="00436B7A" w:rsidRDefault="00436B7A">
            <w:pPr>
              <w:ind w:left="26"/>
              <w:rPr>
                <w:rFonts w:ascii="Times New Roman" w:eastAsia="Times New Roman" w:hAnsi="Times New Roman"/>
                <w:b/>
                <w:bCs/>
                <w:sz w:val="26"/>
                <w:szCs w:val="26"/>
                <w:rtl/>
              </w:rPr>
            </w:pPr>
            <w:bookmarkStart w:id="1" w:name="FirstAppellant"/>
            <w:r w:rsidRPr="00436B7A">
              <w:rPr>
                <w:rFonts w:ascii="Times New Roman" w:eastAsia="Times New Roman" w:hAnsi="Times New Roman" w:hint="cs"/>
                <w:b/>
                <w:bCs/>
                <w:sz w:val="26"/>
                <w:szCs w:val="26"/>
                <w:rtl/>
              </w:rPr>
              <w:t>ה</w:t>
            </w:r>
            <w:r w:rsidRPr="00436B7A">
              <w:rPr>
                <w:rFonts w:ascii="Times New Roman" w:eastAsia="Times New Roman" w:hAnsi="Times New Roman" w:hint="cs"/>
                <w:rtl/>
              </w:rPr>
              <w:t xml:space="preserve">מאשימה  </w:t>
            </w:r>
          </w:p>
        </w:tc>
        <w:tc>
          <w:tcPr>
            <w:tcW w:w="6644" w:type="dxa"/>
            <w:gridSpan w:val="4"/>
          </w:tcPr>
          <w:p w14:paraId="229CA0BA" w14:textId="77777777" w:rsidR="006750D9" w:rsidRPr="00436B7A" w:rsidRDefault="00436B7A">
            <w:pPr>
              <w:rPr>
                <w:rFonts w:ascii="Times New Roman" w:eastAsia="Times New Roman" w:hAnsi="Times New Roman"/>
                <w:b/>
                <w:bCs/>
                <w:sz w:val="26"/>
                <w:szCs w:val="26"/>
                <w:rtl/>
              </w:rPr>
            </w:pPr>
            <w:r w:rsidRPr="00436B7A">
              <w:rPr>
                <w:rFonts w:ascii="Times New Roman" w:eastAsia="Times New Roman" w:hAnsi="Times New Roman" w:hint="cs"/>
                <w:rtl/>
              </w:rPr>
              <w:t>מדינת ישראל</w:t>
            </w:r>
          </w:p>
          <w:p w14:paraId="6DCEC39A" w14:textId="77777777" w:rsidR="006750D9" w:rsidRPr="00436B7A" w:rsidRDefault="006750D9">
            <w:pPr>
              <w:rPr>
                <w:rFonts w:ascii="Times New Roman" w:eastAsia="Times New Roman" w:hAnsi="Times New Roman"/>
                <w:b/>
                <w:bCs/>
                <w:sz w:val="26"/>
                <w:szCs w:val="26"/>
                <w:rtl/>
              </w:rPr>
            </w:pPr>
          </w:p>
        </w:tc>
      </w:tr>
      <w:bookmarkEnd w:id="1"/>
      <w:tr w:rsidR="006750D9" w:rsidRPr="00436B7A" w14:paraId="12F099B8" w14:textId="77777777">
        <w:tblPrEx>
          <w:jc w:val="left"/>
          <w:tblLook w:val="01E0" w:firstRow="1" w:lastRow="1" w:firstColumn="1" w:lastColumn="1" w:noHBand="0" w:noVBand="0"/>
        </w:tblPrEx>
        <w:tc>
          <w:tcPr>
            <w:tcW w:w="9524" w:type="dxa"/>
            <w:gridSpan w:val="6"/>
          </w:tcPr>
          <w:p w14:paraId="2C0C6735" w14:textId="77777777" w:rsidR="006750D9" w:rsidRPr="00436B7A" w:rsidRDefault="006750D9">
            <w:pPr>
              <w:jc w:val="both"/>
              <w:rPr>
                <w:rFonts w:ascii="Arial" w:eastAsia="Times New Roman" w:hAnsi="Arial"/>
                <w:b/>
                <w:bCs/>
                <w:sz w:val="26"/>
                <w:szCs w:val="26"/>
                <w:rtl/>
              </w:rPr>
            </w:pPr>
          </w:p>
          <w:p w14:paraId="72E03784" w14:textId="77777777" w:rsidR="006750D9" w:rsidRPr="00436B7A" w:rsidRDefault="00436B7A">
            <w:pPr>
              <w:jc w:val="center"/>
              <w:rPr>
                <w:rFonts w:ascii="Arial" w:eastAsia="Times New Roman" w:hAnsi="Arial"/>
                <w:b/>
                <w:bCs/>
                <w:sz w:val="26"/>
                <w:szCs w:val="26"/>
                <w:rtl/>
              </w:rPr>
            </w:pPr>
            <w:r w:rsidRPr="00436B7A">
              <w:rPr>
                <w:rFonts w:ascii="Arial" w:eastAsia="Times New Roman" w:hAnsi="Arial"/>
                <w:b/>
                <w:bCs/>
                <w:sz w:val="26"/>
                <w:szCs w:val="26"/>
                <w:rtl/>
              </w:rPr>
              <w:t>נגד</w:t>
            </w:r>
          </w:p>
          <w:p w14:paraId="1EBEA5F0" w14:textId="77777777" w:rsidR="006750D9" w:rsidRPr="00436B7A" w:rsidRDefault="006750D9">
            <w:pPr>
              <w:jc w:val="center"/>
              <w:rPr>
                <w:rFonts w:ascii="Arial" w:eastAsia="Times New Roman" w:hAnsi="Arial"/>
                <w:b/>
                <w:bCs/>
                <w:sz w:val="26"/>
                <w:szCs w:val="26"/>
              </w:rPr>
            </w:pPr>
          </w:p>
        </w:tc>
      </w:tr>
      <w:tr w:rsidR="006750D9" w:rsidRPr="00436B7A" w14:paraId="734EEAE4" w14:textId="77777777">
        <w:tblPrEx>
          <w:jc w:val="left"/>
          <w:tblLook w:val="01E0" w:firstRow="1" w:lastRow="1" w:firstColumn="1" w:lastColumn="1" w:noHBand="0" w:noVBand="0"/>
        </w:tblPrEx>
        <w:tc>
          <w:tcPr>
            <w:tcW w:w="2880" w:type="dxa"/>
            <w:gridSpan w:val="2"/>
          </w:tcPr>
          <w:p w14:paraId="3345DDCB" w14:textId="77777777" w:rsidR="006750D9" w:rsidRPr="00436B7A" w:rsidRDefault="00436B7A">
            <w:pPr>
              <w:ind w:left="26"/>
              <w:rPr>
                <w:rFonts w:ascii="Times New Roman" w:eastAsia="Times New Roman" w:hAnsi="Times New Roman"/>
                <w:b/>
                <w:bCs/>
                <w:sz w:val="26"/>
                <w:szCs w:val="26"/>
                <w:rtl/>
              </w:rPr>
            </w:pPr>
            <w:r w:rsidRPr="00436B7A">
              <w:rPr>
                <w:rFonts w:ascii="Times New Roman" w:eastAsia="Times New Roman" w:hAnsi="Times New Roman" w:hint="cs"/>
                <w:b/>
                <w:bCs/>
                <w:sz w:val="26"/>
                <w:szCs w:val="26"/>
                <w:rtl/>
              </w:rPr>
              <w:t>ה</w:t>
            </w:r>
            <w:r w:rsidRPr="00436B7A">
              <w:rPr>
                <w:rFonts w:ascii="Times New Roman" w:eastAsia="Times New Roman" w:hAnsi="Times New Roman" w:hint="cs"/>
                <w:rtl/>
              </w:rPr>
              <w:t xml:space="preserve">נאשם </w:t>
            </w:r>
          </w:p>
        </w:tc>
        <w:tc>
          <w:tcPr>
            <w:tcW w:w="6644" w:type="dxa"/>
            <w:gridSpan w:val="4"/>
          </w:tcPr>
          <w:p w14:paraId="1A5A8632" w14:textId="77777777" w:rsidR="006750D9" w:rsidRPr="00436B7A" w:rsidRDefault="00436B7A">
            <w:pPr>
              <w:rPr>
                <w:rFonts w:ascii="Times New Roman" w:eastAsia="Times New Roman" w:hAnsi="Times New Roman"/>
                <w:b/>
                <w:bCs/>
                <w:sz w:val="26"/>
                <w:szCs w:val="26"/>
                <w:rtl/>
              </w:rPr>
            </w:pPr>
            <w:r w:rsidRPr="00436B7A">
              <w:rPr>
                <w:rFonts w:ascii="Times New Roman" w:eastAsia="Times New Roman" w:hAnsi="Times New Roman" w:hint="cs"/>
                <w:rtl/>
              </w:rPr>
              <w:t>שלמה רוזנבוים</w:t>
            </w:r>
          </w:p>
          <w:p w14:paraId="1DDAF0A7" w14:textId="77777777" w:rsidR="006750D9" w:rsidRPr="00436B7A" w:rsidRDefault="006750D9">
            <w:pPr>
              <w:rPr>
                <w:rFonts w:ascii="Times New Roman" w:eastAsia="Times New Roman" w:hAnsi="Times New Roman"/>
                <w:b/>
                <w:bCs/>
                <w:sz w:val="26"/>
                <w:szCs w:val="26"/>
                <w:rtl/>
              </w:rPr>
            </w:pPr>
          </w:p>
        </w:tc>
      </w:tr>
      <w:tr w:rsidR="006750D9" w:rsidRPr="00436B7A" w14:paraId="6F828252" w14:textId="77777777">
        <w:tblPrEx>
          <w:jc w:val="left"/>
          <w:tblLook w:val="01E0" w:firstRow="1" w:lastRow="1" w:firstColumn="1" w:lastColumn="1" w:noHBand="0" w:noVBand="0"/>
        </w:tblPrEx>
        <w:tc>
          <w:tcPr>
            <w:tcW w:w="3962" w:type="dxa"/>
            <w:gridSpan w:val="3"/>
          </w:tcPr>
          <w:p w14:paraId="35961DD2" w14:textId="77777777" w:rsidR="006750D9" w:rsidRPr="00436B7A" w:rsidRDefault="00436B7A">
            <w:pPr>
              <w:rPr>
                <w:b/>
                <w:bCs/>
                <w:rtl/>
              </w:rPr>
            </w:pPr>
            <w:bookmarkStart w:id="2" w:name="FirstLawyer"/>
            <w:r w:rsidRPr="00436B7A">
              <w:rPr>
                <w:rFonts w:hint="cs"/>
                <w:b/>
                <w:bCs/>
                <w:rtl/>
              </w:rPr>
              <w:t>נוכחים:</w:t>
            </w:r>
          </w:p>
          <w:p w14:paraId="5B02D7D4" w14:textId="77777777" w:rsidR="006750D9" w:rsidRPr="00436B7A" w:rsidRDefault="00436B7A">
            <w:pPr>
              <w:rPr>
                <w:rtl/>
              </w:rPr>
            </w:pPr>
            <w:r w:rsidRPr="00436B7A">
              <w:rPr>
                <w:rFonts w:hint="cs"/>
                <w:rtl/>
              </w:rPr>
              <w:t xml:space="preserve">ב"כ  המאשימה-עו"ד אדווה וייצגן  </w:t>
            </w:r>
          </w:p>
          <w:p w14:paraId="171ED85A" w14:textId="77777777" w:rsidR="006750D9" w:rsidRPr="00436B7A" w:rsidRDefault="00436B7A">
            <w:r w:rsidRPr="00436B7A">
              <w:rPr>
                <w:rFonts w:hint="cs"/>
                <w:rtl/>
              </w:rPr>
              <w:t xml:space="preserve">הנאשם בעצמו ובא כוחו-עו"ד שטיינברג </w:t>
            </w:r>
          </w:p>
        </w:tc>
        <w:tc>
          <w:tcPr>
            <w:tcW w:w="5562" w:type="dxa"/>
            <w:gridSpan w:val="3"/>
          </w:tcPr>
          <w:p w14:paraId="155EC399" w14:textId="77777777" w:rsidR="006750D9" w:rsidRPr="00436B7A" w:rsidRDefault="00436B7A">
            <w:r w:rsidRPr="00436B7A">
              <w:rPr>
                <w:rFonts w:ascii="Times New Roman" w:eastAsia="Times New Roman" w:hAnsi="Times New Roman" w:cs="Times New Roman" w:hint="cs"/>
                <w:rtl/>
              </w:rPr>
              <w:t xml:space="preserve"> </w:t>
            </w:r>
          </w:p>
        </w:tc>
      </w:tr>
    </w:tbl>
    <w:bookmarkEnd w:id="2"/>
    <w:p w14:paraId="7CCE7766" w14:textId="77777777" w:rsidR="006750D9" w:rsidRPr="00436B7A" w:rsidRDefault="00436B7A">
      <w:pPr>
        <w:jc w:val="both"/>
        <w:rPr>
          <w:sz w:val="6"/>
          <w:szCs w:val="6"/>
          <w:rtl/>
        </w:rPr>
      </w:pPr>
      <w:r w:rsidRPr="00436B7A">
        <w:rPr>
          <w:sz w:val="6"/>
          <w:szCs w:val="6"/>
          <w:rtl/>
        </w:rPr>
        <w:t>&lt;#1#&gt;</w:t>
      </w:r>
    </w:p>
    <w:p w14:paraId="17C78EC0" w14:textId="77777777" w:rsidR="006750D9" w:rsidRPr="00436B7A" w:rsidRDefault="006750D9">
      <w:pPr>
        <w:pStyle w:val="12"/>
        <w:rPr>
          <w:b w:val="0"/>
          <w:bCs w:val="0"/>
          <w:u w:val="none"/>
          <w:rtl/>
        </w:rPr>
      </w:pPr>
    </w:p>
    <w:p w14:paraId="5DBC179E" w14:textId="77777777" w:rsidR="006750D9" w:rsidRPr="00436B7A" w:rsidRDefault="00436B7A">
      <w:pPr>
        <w:pStyle w:val="4"/>
        <w:spacing w:line="240" w:lineRule="auto"/>
        <w:jc w:val="center"/>
        <w:rPr>
          <w:rFonts w:ascii="Arial" w:eastAsia="David" w:hAnsi="Arial"/>
          <w:snapToGrid/>
          <w:sz w:val="28"/>
          <w:szCs w:val="28"/>
          <w:rtl/>
          <w:lang w:eastAsia="en-US"/>
        </w:rPr>
      </w:pPr>
      <w:r w:rsidRPr="00436B7A">
        <w:rPr>
          <w:rFonts w:ascii="Arial" w:eastAsia="David" w:hAnsi="Arial"/>
          <w:bCs w:val="0"/>
          <w:snapToGrid/>
          <w:color w:val="FF0000"/>
          <w:sz w:val="28"/>
          <w:rtl/>
          <w:lang w:eastAsia="en-US"/>
        </w:rPr>
        <w:t>במסמך זה הושמטו פרוטוקולים</w:t>
      </w:r>
    </w:p>
    <w:p w14:paraId="13E2E743" w14:textId="77777777" w:rsidR="00436B7A" w:rsidRPr="00436B7A" w:rsidRDefault="00436B7A">
      <w:pPr>
        <w:pStyle w:val="4"/>
        <w:spacing w:line="240" w:lineRule="auto"/>
        <w:jc w:val="center"/>
        <w:rPr>
          <w:rFonts w:ascii="Arial" w:eastAsia="David" w:hAnsi="Arial"/>
          <w:snapToGrid/>
          <w:sz w:val="28"/>
          <w:szCs w:val="28"/>
          <w:rtl/>
          <w:lang w:eastAsia="en-US"/>
        </w:rPr>
      </w:pPr>
    </w:p>
    <w:p w14:paraId="02CEA72C" w14:textId="77777777" w:rsidR="00436B7A" w:rsidRPr="00436B7A" w:rsidRDefault="00436B7A" w:rsidP="00436B7A">
      <w:pPr>
        <w:pStyle w:val="4"/>
        <w:spacing w:line="240" w:lineRule="auto"/>
        <w:jc w:val="center"/>
        <w:rPr>
          <w:rFonts w:ascii="Arial" w:eastAsia="David" w:hAnsi="Arial"/>
          <w:snapToGrid/>
          <w:sz w:val="28"/>
          <w:szCs w:val="28"/>
          <w:u w:val="single"/>
          <w:rtl/>
          <w:lang w:eastAsia="en-US"/>
        </w:rPr>
      </w:pPr>
      <w:bookmarkStart w:id="3" w:name="PsakDin"/>
      <w:bookmarkEnd w:id="0"/>
      <w:r w:rsidRPr="00436B7A">
        <w:rPr>
          <w:rFonts w:ascii="Arial" w:eastAsia="David" w:hAnsi="Arial"/>
          <w:snapToGrid/>
          <w:sz w:val="28"/>
          <w:szCs w:val="28"/>
          <w:u w:val="single"/>
          <w:rtl/>
          <w:lang w:eastAsia="en-US"/>
        </w:rPr>
        <w:t>גזר דין</w:t>
      </w:r>
    </w:p>
    <w:p w14:paraId="4CEFEE71" w14:textId="77777777" w:rsidR="006750D9" w:rsidRDefault="00436B7A">
      <w:pPr>
        <w:pStyle w:val="4"/>
        <w:spacing w:line="240" w:lineRule="auto"/>
        <w:rPr>
          <w:rtl/>
        </w:rPr>
      </w:pPr>
      <w:bookmarkStart w:id="4" w:name="ABSTRACT_START"/>
      <w:bookmarkEnd w:id="3"/>
      <w:bookmarkEnd w:id="4"/>
      <w:r>
        <w:rPr>
          <w:rFonts w:hint="cs"/>
          <w:rtl/>
        </w:rPr>
        <w:t>הנאשם הורשע על פי הודאתו בעבירות של מעשיי פזיזות ורשלנות , לפי סעיף 338 (א) (9) ל</w:t>
      </w:r>
      <w:hyperlink r:id="rId7" w:history="1">
        <w:r w:rsidRPr="00436B7A">
          <w:rPr>
            <w:color w:val="0000FF"/>
            <w:u w:val="single"/>
            <w:rtl/>
          </w:rPr>
          <w:t>חוק העונשין</w:t>
        </w:r>
      </w:hyperlink>
      <w:r>
        <w:rPr>
          <w:rFonts w:hint="cs"/>
          <w:rtl/>
        </w:rPr>
        <w:t xml:space="preserve"> ועבירה  של פיקוח על רעלים רפואיים וסמי מרפא לפי </w:t>
      </w:r>
      <w:hyperlink r:id="rId8" w:history="1">
        <w:r w:rsidRPr="00436B7A">
          <w:rPr>
            <w:color w:val="0000FF"/>
            <w:u w:val="single"/>
            <w:rtl/>
          </w:rPr>
          <w:t>פקודת הרוקחים</w:t>
        </w:r>
      </w:hyperlink>
      <w:r>
        <w:rPr>
          <w:rFonts w:hint="cs"/>
          <w:rtl/>
        </w:rPr>
        <w:t xml:space="preserve">. </w:t>
      </w:r>
    </w:p>
    <w:p w14:paraId="2B9B4C61" w14:textId="77777777" w:rsidR="006750D9" w:rsidRDefault="006750D9">
      <w:pPr>
        <w:rPr>
          <w:rtl/>
          <w:lang w:eastAsia="he-IL"/>
        </w:rPr>
      </w:pPr>
      <w:bookmarkStart w:id="5" w:name="ABSTRACT_END"/>
      <w:bookmarkEnd w:id="5"/>
    </w:p>
    <w:p w14:paraId="7FCE0239" w14:textId="77777777" w:rsidR="006750D9" w:rsidRDefault="00436B7A">
      <w:pPr>
        <w:rPr>
          <w:rFonts w:ascii="Calibri" w:hAnsi="Calibri"/>
          <w:b/>
          <w:bCs/>
          <w:rtl/>
          <w:lang w:eastAsia="he-IL"/>
        </w:rPr>
      </w:pPr>
      <w:r>
        <w:rPr>
          <w:rFonts w:hint="cs"/>
          <w:b/>
          <w:bCs/>
          <w:rtl/>
          <w:lang w:eastAsia="he-IL"/>
        </w:rPr>
        <w:t xml:space="preserve">על פי כתב האישום המתוקן, במהלך החודשים מרץ , אפריל 2012, השתמש הנאשם או החזיק בדירתו ב 961 אריזות של חומר מרעיל ומסוכן מסוג </w:t>
      </w:r>
      <w:r>
        <w:rPr>
          <w:rFonts w:ascii="Calibri" w:hAnsi="Calibri"/>
          <w:b/>
          <w:bCs/>
          <w:lang w:eastAsia="he-IL"/>
        </w:rPr>
        <w:t>AM</w:t>
      </w:r>
      <w:r>
        <w:rPr>
          <w:rFonts w:ascii="Calibri" w:hAnsi="Calibri" w:hint="cs"/>
          <w:b/>
          <w:bCs/>
          <w:rtl/>
          <w:lang w:eastAsia="he-IL"/>
        </w:rPr>
        <w:t xml:space="preserve">2201 (החומר), שיש בו כדי להרעיל או לסכן ובכך עסק ברעלים רפואיים ללא היתר. </w:t>
      </w:r>
    </w:p>
    <w:p w14:paraId="1D382E82" w14:textId="77777777" w:rsidR="006750D9" w:rsidRDefault="006750D9">
      <w:pPr>
        <w:rPr>
          <w:rFonts w:ascii="Calibri" w:hAnsi="Calibri"/>
          <w:b/>
          <w:bCs/>
          <w:rtl/>
          <w:lang w:eastAsia="he-IL"/>
        </w:rPr>
      </w:pPr>
    </w:p>
    <w:p w14:paraId="0F5CF6FD" w14:textId="77777777" w:rsidR="006750D9" w:rsidRDefault="00436B7A">
      <w:pPr>
        <w:rPr>
          <w:rFonts w:ascii="Calibri" w:hAnsi="Calibri"/>
          <w:b/>
          <w:bCs/>
          <w:rtl/>
          <w:lang w:eastAsia="he-IL"/>
        </w:rPr>
      </w:pPr>
      <w:r>
        <w:rPr>
          <w:rFonts w:ascii="Calibri" w:hAnsi="Calibri" w:hint="cs"/>
          <w:b/>
          <w:bCs/>
          <w:rtl/>
          <w:lang w:eastAsia="he-IL"/>
        </w:rPr>
        <w:t xml:space="preserve">הנאשם יליד 1978 ואין לחובתו הרשעות קודמות. </w:t>
      </w:r>
    </w:p>
    <w:p w14:paraId="7C7BFF81" w14:textId="77777777" w:rsidR="006750D9" w:rsidRDefault="006750D9">
      <w:pPr>
        <w:rPr>
          <w:rFonts w:ascii="Calibri" w:hAnsi="Calibri"/>
          <w:b/>
          <w:bCs/>
          <w:rtl/>
          <w:lang w:eastAsia="he-IL"/>
        </w:rPr>
      </w:pPr>
    </w:p>
    <w:p w14:paraId="3C05EF86" w14:textId="77777777" w:rsidR="006750D9" w:rsidRDefault="00436B7A">
      <w:pPr>
        <w:rPr>
          <w:rFonts w:ascii="Calibri" w:hAnsi="Calibri"/>
          <w:b/>
          <w:bCs/>
          <w:rtl/>
          <w:lang w:eastAsia="he-IL"/>
        </w:rPr>
      </w:pPr>
      <w:r>
        <w:rPr>
          <w:rFonts w:ascii="Calibri" w:hAnsi="Calibri" w:hint="cs"/>
          <w:b/>
          <w:bCs/>
          <w:rtl/>
          <w:lang w:eastAsia="he-IL"/>
        </w:rPr>
        <w:t xml:space="preserve">הנאשם הודה במסגרת הסדר, במסגרתו המאשימה הגבילה עצמה לעתירה של מאסר בדרך של עבודות שירות, מאסר על תנאי, קנס והתחייבות ולא התנגדה לקבלת תסקיר ואילו הסניגור, היה חופשי לטעון באופן פתוח. </w:t>
      </w:r>
    </w:p>
    <w:p w14:paraId="4AC2C4AA" w14:textId="77777777" w:rsidR="006750D9" w:rsidRDefault="006750D9">
      <w:pPr>
        <w:rPr>
          <w:rFonts w:ascii="Calibri" w:hAnsi="Calibri"/>
          <w:b/>
          <w:bCs/>
          <w:rtl/>
          <w:lang w:eastAsia="he-IL"/>
        </w:rPr>
      </w:pPr>
    </w:p>
    <w:p w14:paraId="2CFF978F" w14:textId="77777777" w:rsidR="006750D9" w:rsidRDefault="00436B7A">
      <w:pPr>
        <w:rPr>
          <w:rFonts w:ascii="Calibri" w:hAnsi="Calibri"/>
          <w:b/>
          <w:bCs/>
          <w:rtl/>
          <w:lang w:eastAsia="he-IL"/>
        </w:rPr>
      </w:pPr>
      <w:r>
        <w:rPr>
          <w:rFonts w:ascii="Calibri" w:hAnsi="Calibri" w:hint="cs"/>
          <w:b/>
          <w:bCs/>
          <w:rtl/>
          <w:lang w:eastAsia="he-IL"/>
        </w:rPr>
        <w:t xml:space="preserve">שירות המבחן הגיש תסקיר אודות הנאשם, במסגרתו סקר את קורות חייו, כאשר מדובר באדם שניהל אורח חיים נורמטיבי, שירת שירות צבאי מלא, חלקו אף כלוחם, ועבד טרם מעצרו, בחברה העוסקת באיכות הסביבה. לאחר מעצרו, הופסקה עבודתו והוא החל לעבוד כמנהל עבודה בחברה שבבעלות גיסו. </w:t>
      </w:r>
    </w:p>
    <w:p w14:paraId="64660EB5" w14:textId="77777777" w:rsidR="006750D9" w:rsidRDefault="006750D9">
      <w:pPr>
        <w:rPr>
          <w:rFonts w:ascii="Calibri" w:hAnsi="Calibri"/>
          <w:b/>
          <w:bCs/>
          <w:rtl/>
          <w:lang w:eastAsia="he-IL"/>
        </w:rPr>
      </w:pPr>
    </w:p>
    <w:p w14:paraId="3A4F13B7" w14:textId="77777777" w:rsidR="006750D9" w:rsidRDefault="00436B7A">
      <w:pPr>
        <w:rPr>
          <w:rFonts w:ascii="Calibri" w:hAnsi="Calibri"/>
          <w:b/>
          <w:bCs/>
          <w:rtl/>
          <w:lang w:eastAsia="he-IL"/>
        </w:rPr>
      </w:pPr>
      <w:r>
        <w:rPr>
          <w:rFonts w:ascii="Calibri" w:hAnsi="Calibri" w:hint="cs"/>
          <w:b/>
          <w:bCs/>
          <w:rtl/>
          <w:lang w:eastAsia="he-IL"/>
        </w:rPr>
        <w:t xml:space="preserve">הנאשם לקח אחריות על מעשיו וטען, כי קנה את החומר בידיעה, כי מדובר בחומר חוקי , לטענתו, קטורת, כי היה משתמש בו לצורך הרגעה וכי רכש כמות גדולה כאקט חסכוני. </w:t>
      </w:r>
    </w:p>
    <w:p w14:paraId="06B424C8" w14:textId="77777777" w:rsidR="006750D9" w:rsidRDefault="006750D9">
      <w:pPr>
        <w:rPr>
          <w:rFonts w:ascii="Calibri" w:hAnsi="Calibri"/>
          <w:b/>
          <w:bCs/>
          <w:rtl/>
          <w:lang w:eastAsia="he-IL"/>
        </w:rPr>
      </w:pPr>
    </w:p>
    <w:p w14:paraId="47F3C334" w14:textId="77777777" w:rsidR="006750D9" w:rsidRDefault="00436B7A">
      <w:pPr>
        <w:rPr>
          <w:rFonts w:ascii="Calibri" w:hAnsi="Calibri"/>
          <w:b/>
          <w:bCs/>
          <w:rtl/>
          <w:lang w:eastAsia="he-IL"/>
        </w:rPr>
      </w:pPr>
      <w:r>
        <w:rPr>
          <w:rFonts w:ascii="Calibri" w:hAnsi="Calibri" w:hint="cs"/>
          <w:b/>
          <w:bCs/>
          <w:rtl/>
          <w:lang w:eastAsia="he-IL"/>
        </w:rPr>
        <w:t xml:space="preserve">הנאשם היה נתון בפיקוח מעצרים לתקופה של 4 חודשים ושירות המבחן התרשם, כי מדובר באדם נורמטיבי, שהעבירה אינה מאפיינת את אורחותיו. </w:t>
      </w:r>
    </w:p>
    <w:p w14:paraId="6D9484B8" w14:textId="77777777" w:rsidR="006750D9" w:rsidRDefault="006750D9">
      <w:pPr>
        <w:rPr>
          <w:rFonts w:ascii="Calibri" w:hAnsi="Calibri"/>
          <w:b/>
          <w:bCs/>
          <w:rtl/>
          <w:lang w:eastAsia="he-IL"/>
        </w:rPr>
      </w:pPr>
    </w:p>
    <w:p w14:paraId="75B47715" w14:textId="77777777" w:rsidR="006750D9" w:rsidRDefault="00436B7A">
      <w:pPr>
        <w:rPr>
          <w:rFonts w:ascii="Calibri" w:hAnsi="Calibri"/>
          <w:b/>
          <w:bCs/>
          <w:rtl/>
          <w:lang w:eastAsia="he-IL"/>
        </w:rPr>
      </w:pPr>
      <w:r>
        <w:rPr>
          <w:rFonts w:ascii="Calibri" w:hAnsi="Calibri" w:hint="cs"/>
          <w:b/>
          <w:bCs/>
          <w:rtl/>
          <w:lang w:eastAsia="he-IL"/>
        </w:rPr>
        <w:t xml:space="preserve">שירות המבחן העריך, כי המעצר וההליך המשפטי, מהווים גורמים מרתיעים ומציבי גבולות עבור הנאשם. </w:t>
      </w:r>
    </w:p>
    <w:p w14:paraId="274964BB" w14:textId="77777777" w:rsidR="006750D9" w:rsidRDefault="006750D9">
      <w:pPr>
        <w:rPr>
          <w:rFonts w:ascii="Calibri" w:hAnsi="Calibri"/>
          <w:b/>
          <w:bCs/>
          <w:rtl/>
          <w:lang w:eastAsia="he-IL"/>
        </w:rPr>
      </w:pPr>
    </w:p>
    <w:p w14:paraId="45AA1667" w14:textId="77777777" w:rsidR="006750D9" w:rsidRDefault="00436B7A">
      <w:pPr>
        <w:rPr>
          <w:rFonts w:ascii="Calibri" w:hAnsi="Calibri"/>
          <w:b/>
          <w:bCs/>
          <w:rtl/>
          <w:lang w:eastAsia="he-IL"/>
        </w:rPr>
      </w:pPr>
      <w:r>
        <w:rPr>
          <w:rFonts w:ascii="Calibri" w:hAnsi="Calibri" w:hint="cs"/>
          <w:b/>
          <w:bCs/>
          <w:rtl/>
          <w:lang w:eastAsia="he-IL"/>
        </w:rPr>
        <w:t xml:space="preserve">לאור חומרת המעשים ולאור כמות החומר שהוחזק, שירות המבחן המליץ להטיל על הנאשם עבודות שירות, אך להסתפק בתקופה של 3 חודשים וכן  להטיל מאסר על תנאי וקנס. </w:t>
      </w:r>
    </w:p>
    <w:p w14:paraId="292A374D" w14:textId="77777777" w:rsidR="006750D9" w:rsidRDefault="006750D9">
      <w:pPr>
        <w:rPr>
          <w:rFonts w:ascii="Calibri" w:hAnsi="Calibri"/>
          <w:b/>
          <w:bCs/>
          <w:rtl/>
          <w:lang w:eastAsia="he-IL"/>
        </w:rPr>
      </w:pPr>
    </w:p>
    <w:p w14:paraId="53983C32" w14:textId="77777777" w:rsidR="006750D9" w:rsidRDefault="00436B7A">
      <w:pPr>
        <w:rPr>
          <w:rFonts w:ascii="Calibri" w:hAnsi="Calibri"/>
          <w:b/>
          <w:bCs/>
          <w:rtl/>
          <w:lang w:eastAsia="he-IL"/>
        </w:rPr>
      </w:pPr>
      <w:r>
        <w:rPr>
          <w:rFonts w:ascii="Calibri" w:hAnsi="Calibri" w:hint="cs"/>
          <w:b/>
          <w:bCs/>
          <w:rtl/>
          <w:lang w:eastAsia="he-IL"/>
        </w:rPr>
        <w:t>המאשימה הגישה במסגרת הטיעונים לעונש חוות דעת בנוגע לחומר , אשר למעשה, נכנס לפקודת הסמים ב 5.4.12.</w:t>
      </w:r>
    </w:p>
    <w:p w14:paraId="124A1EFC" w14:textId="77777777" w:rsidR="006750D9" w:rsidRDefault="006750D9">
      <w:pPr>
        <w:rPr>
          <w:rFonts w:ascii="Calibri" w:hAnsi="Calibri"/>
          <w:b/>
          <w:bCs/>
          <w:rtl/>
          <w:lang w:eastAsia="he-IL"/>
        </w:rPr>
      </w:pPr>
    </w:p>
    <w:p w14:paraId="409374B3" w14:textId="77777777" w:rsidR="006750D9" w:rsidRDefault="00436B7A">
      <w:pPr>
        <w:rPr>
          <w:rFonts w:ascii="Calibri" w:hAnsi="Calibri"/>
          <w:b/>
          <w:bCs/>
          <w:rtl/>
          <w:lang w:eastAsia="he-IL"/>
        </w:rPr>
      </w:pPr>
      <w:r>
        <w:rPr>
          <w:rFonts w:ascii="Calibri" w:hAnsi="Calibri" w:hint="cs"/>
          <w:b/>
          <w:bCs/>
          <w:rtl/>
          <w:lang w:eastAsia="he-IL"/>
        </w:rPr>
        <w:lastRenderedPageBreak/>
        <w:t>חוות הדעת מפרטת, כי מדובר בחומר סינטטי המדמה את סם הקנבוס, אם כי, השפעותיו חזקות הרבה יותר.</w:t>
      </w:r>
    </w:p>
    <w:p w14:paraId="73F0D7FB" w14:textId="77777777" w:rsidR="006750D9" w:rsidRDefault="006750D9">
      <w:pPr>
        <w:rPr>
          <w:rFonts w:ascii="Calibri" w:hAnsi="Calibri"/>
          <w:b/>
          <w:bCs/>
          <w:rtl/>
          <w:lang w:eastAsia="he-IL"/>
        </w:rPr>
      </w:pPr>
    </w:p>
    <w:p w14:paraId="799ABA08" w14:textId="77777777" w:rsidR="006750D9" w:rsidRDefault="00436B7A">
      <w:pPr>
        <w:rPr>
          <w:rFonts w:ascii="Calibri" w:hAnsi="Calibri"/>
          <w:b/>
          <w:bCs/>
          <w:rtl/>
          <w:lang w:eastAsia="he-IL"/>
        </w:rPr>
      </w:pPr>
      <w:r>
        <w:rPr>
          <w:rFonts w:ascii="Calibri" w:hAnsi="Calibri" w:hint="cs"/>
          <w:b/>
          <w:bCs/>
          <w:rtl/>
          <w:lang w:eastAsia="he-IL"/>
        </w:rPr>
        <w:t xml:space="preserve">עוד מפורט בחוות הדעת, כי יצרניי הסמים הסינטטיים דואגים לערוך שינויים בהרכבי הסמים, על מנת לעקוף את האיסורים שבחוק. ידוע לבית המשפט, כי רשויות אכיפת החוק, מתקשות לעמוד בקצב של שינוי החומרים והטלת איסור עליהם בחוק. </w:t>
      </w:r>
    </w:p>
    <w:p w14:paraId="3FDFBCDE" w14:textId="77777777" w:rsidR="006750D9" w:rsidRDefault="006750D9">
      <w:pPr>
        <w:rPr>
          <w:rFonts w:ascii="Calibri" w:hAnsi="Calibri"/>
          <w:b/>
          <w:bCs/>
          <w:rtl/>
          <w:lang w:eastAsia="he-IL"/>
        </w:rPr>
      </w:pPr>
    </w:p>
    <w:p w14:paraId="055D6326" w14:textId="77777777" w:rsidR="006750D9" w:rsidRDefault="00436B7A">
      <w:pPr>
        <w:rPr>
          <w:rFonts w:ascii="Calibri" w:hAnsi="Calibri"/>
          <w:b/>
          <w:bCs/>
          <w:rtl/>
          <w:lang w:eastAsia="he-IL"/>
        </w:rPr>
      </w:pPr>
      <w:r>
        <w:rPr>
          <w:rFonts w:ascii="Calibri" w:hAnsi="Calibri" w:hint="cs"/>
          <w:b/>
          <w:bCs/>
          <w:rtl/>
          <w:lang w:eastAsia="he-IL"/>
        </w:rPr>
        <w:t xml:space="preserve">המאשימה הפנתה בעיקר לכמות החומר שהוחזק על ידי הנאשם, אשר לטענתה, אינה מתיישבת עם טענת הנאשם עם שימוש עצמי וטענה, כי ההסדר הביא בחשבון את נסיבותיו של הנאשם וכי לולא ההסדר, ראוי היה להטיל עונש של מאסר בפועל ארוך יותר. בסופו של דבר, עתרה המאשימה, להטלת עונש מאסר למשך 6 חודשים בעבודות שירות וענישה נלווית. </w:t>
      </w:r>
    </w:p>
    <w:p w14:paraId="6AB15BC1" w14:textId="77777777" w:rsidR="006750D9" w:rsidRDefault="006750D9">
      <w:pPr>
        <w:rPr>
          <w:rFonts w:ascii="Calibri" w:hAnsi="Calibri"/>
          <w:b/>
          <w:bCs/>
          <w:rtl/>
          <w:lang w:eastAsia="he-IL"/>
        </w:rPr>
      </w:pPr>
    </w:p>
    <w:p w14:paraId="3119E8BC" w14:textId="77777777" w:rsidR="006750D9" w:rsidRDefault="00436B7A">
      <w:pPr>
        <w:rPr>
          <w:rFonts w:ascii="Calibri" w:hAnsi="Calibri"/>
          <w:b/>
          <w:bCs/>
          <w:rtl/>
          <w:lang w:eastAsia="he-IL"/>
        </w:rPr>
      </w:pPr>
      <w:r>
        <w:rPr>
          <w:rFonts w:ascii="Calibri" w:hAnsi="Calibri" w:hint="cs"/>
          <w:b/>
          <w:bCs/>
          <w:rtl/>
          <w:lang w:eastAsia="he-IL"/>
        </w:rPr>
        <w:t xml:space="preserve">הסניגור הפנה לנסיבותיו האישיות של הנאשם והעדר עבר פלילי והתמקד בעיקר בטענת ההפלייה , כאשר טען, כי המשטרה אינה אוכפת את החוק לגבי אותם "סמים חוקיים", הנמכרים בפיצוציות ברחבי הארץ, כאשר לטענתו, גם אותו אדם אשר מכר לנאשם את החומר, לא הועמד לדין, למרות שהודה שמכר לנאשם 1,000 יחידות. </w:t>
      </w:r>
    </w:p>
    <w:p w14:paraId="4A02442C" w14:textId="77777777" w:rsidR="006750D9" w:rsidRDefault="006750D9">
      <w:pPr>
        <w:rPr>
          <w:rFonts w:ascii="Calibri" w:hAnsi="Calibri"/>
          <w:b/>
          <w:bCs/>
          <w:rtl/>
          <w:lang w:eastAsia="he-IL"/>
        </w:rPr>
      </w:pPr>
    </w:p>
    <w:p w14:paraId="53FE1796" w14:textId="77777777" w:rsidR="006750D9" w:rsidRDefault="00436B7A">
      <w:pPr>
        <w:rPr>
          <w:rFonts w:ascii="Calibri" w:hAnsi="Calibri"/>
          <w:b/>
          <w:bCs/>
          <w:rtl/>
          <w:lang w:eastAsia="he-IL"/>
        </w:rPr>
      </w:pPr>
      <w:r>
        <w:rPr>
          <w:rFonts w:ascii="Calibri" w:hAnsi="Calibri" w:hint="cs"/>
          <w:b/>
          <w:bCs/>
          <w:rtl/>
          <w:lang w:eastAsia="he-IL"/>
        </w:rPr>
        <w:t xml:space="preserve">הסניגור טען, כי היה מקום שלא להרשיע את הנאשם, אך לאור התסקיר, הביע הסתייגות מאפשרות זו, ועתר שלא להטיל על הנאשם מאסר בעבודות שירות. </w:t>
      </w:r>
    </w:p>
    <w:p w14:paraId="55DBB9E5" w14:textId="77777777" w:rsidR="006750D9" w:rsidRDefault="006750D9">
      <w:pPr>
        <w:rPr>
          <w:rFonts w:ascii="Calibri" w:hAnsi="Calibri"/>
          <w:b/>
          <w:bCs/>
          <w:rtl/>
          <w:lang w:eastAsia="he-IL"/>
        </w:rPr>
      </w:pPr>
    </w:p>
    <w:p w14:paraId="69776F50" w14:textId="77777777" w:rsidR="006750D9" w:rsidRDefault="00436B7A">
      <w:pPr>
        <w:rPr>
          <w:rFonts w:ascii="Calibri" w:hAnsi="Calibri"/>
          <w:b/>
          <w:bCs/>
          <w:rtl/>
          <w:lang w:eastAsia="he-IL"/>
        </w:rPr>
      </w:pPr>
      <w:r>
        <w:rPr>
          <w:rFonts w:ascii="Calibri" w:hAnsi="Calibri" w:hint="cs"/>
          <w:b/>
          <w:bCs/>
          <w:rtl/>
          <w:lang w:eastAsia="he-IL"/>
        </w:rPr>
        <w:t xml:space="preserve">הנאשם עצמו הביע חרטה. טען כי הוא אמור להתקבל לעבוד בנמל אשדוד וביקש התחשבות בעניינו. </w:t>
      </w:r>
    </w:p>
    <w:p w14:paraId="25F64A33" w14:textId="77777777" w:rsidR="006750D9" w:rsidRDefault="006750D9">
      <w:pPr>
        <w:rPr>
          <w:rFonts w:ascii="Calibri" w:hAnsi="Calibri"/>
          <w:b/>
          <w:bCs/>
          <w:rtl/>
          <w:lang w:eastAsia="he-IL"/>
        </w:rPr>
      </w:pPr>
    </w:p>
    <w:p w14:paraId="74893CD9" w14:textId="77777777" w:rsidR="006750D9" w:rsidRDefault="00436B7A">
      <w:pPr>
        <w:rPr>
          <w:rFonts w:ascii="Calibri" w:hAnsi="Calibri"/>
          <w:b/>
          <w:bCs/>
          <w:rtl/>
          <w:lang w:eastAsia="he-IL"/>
        </w:rPr>
      </w:pPr>
      <w:r>
        <w:rPr>
          <w:rFonts w:ascii="Calibri" w:hAnsi="Calibri" w:hint="cs"/>
          <w:b/>
          <w:bCs/>
          <w:rtl/>
          <w:lang w:eastAsia="he-IL"/>
        </w:rPr>
        <w:t xml:space="preserve">אין ספק כי עיון בחוות הדעת שהגישה המאשימה , מעלה כי מדובר בחומר מסוכן שהשפעותיו קשות ואשר למעשה, משמש יצרניי סמים לעקוף את האיסורים המצויים בפקודת הסמים. </w:t>
      </w:r>
    </w:p>
    <w:p w14:paraId="4FF0451F" w14:textId="77777777" w:rsidR="006750D9" w:rsidRDefault="006750D9">
      <w:pPr>
        <w:rPr>
          <w:rFonts w:ascii="Calibri" w:hAnsi="Calibri"/>
          <w:b/>
          <w:bCs/>
          <w:rtl/>
          <w:lang w:eastAsia="he-IL"/>
        </w:rPr>
      </w:pPr>
    </w:p>
    <w:p w14:paraId="4F988C81" w14:textId="77777777" w:rsidR="006750D9" w:rsidRDefault="00436B7A">
      <w:pPr>
        <w:rPr>
          <w:rFonts w:ascii="Calibri" w:hAnsi="Calibri"/>
          <w:b/>
          <w:bCs/>
          <w:rtl/>
          <w:lang w:eastAsia="he-IL"/>
        </w:rPr>
      </w:pPr>
      <w:r>
        <w:rPr>
          <w:rFonts w:ascii="Calibri" w:hAnsi="Calibri" w:hint="cs"/>
          <w:b/>
          <w:bCs/>
          <w:rtl/>
          <w:lang w:eastAsia="he-IL"/>
        </w:rPr>
        <w:t xml:space="preserve">מדובר בחומר המסוכן הרבה יותר מהחומר הטבעי של צמח המריחואנה , הן בשל הריכוז שלו והן מאחר שמדובר בחומר סינטטי , אשר ההשפעה שלו ותוצרי החילוף שלו, מסוכנים לגוף האדם. </w:t>
      </w:r>
    </w:p>
    <w:p w14:paraId="2A530D54" w14:textId="77777777" w:rsidR="006750D9" w:rsidRDefault="006750D9">
      <w:pPr>
        <w:rPr>
          <w:rFonts w:ascii="Calibri" w:hAnsi="Calibri"/>
          <w:b/>
          <w:bCs/>
          <w:rtl/>
          <w:lang w:eastAsia="he-IL"/>
        </w:rPr>
      </w:pPr>
    </w:p>
    <w:p w14:paraId="4F330889" w14:textId="77777777" w:rsidR="006750D9" w:rsidRDefault="00436B7A">
      <w:pPr>
        <w:rPr>
          <w:rFonts w:ascii="Calibri" w:hAnsi="Calibri"/>
          <w:b/>
          <w:bCs/>
          <w:rtl/>
          <w:lang w:eastAsia="he-IL"/>
        </w:rPr>
      </w:pPr>
      <w:r>
        <w:rPr>
          <w:rFonts w:ascii="Calibri" w:hAnsi="Calibri" w:hint="cs"/>
          <w:b/>
          <w:bCs/>
          <w:rtl/>
          <w:lang w:eastAsia="he-IL"/>
        </w:rPr>
        <w:t xml:space="preserve">עוד ניתן לומר לחומרא, כי כמות החומר שהחזיק הנאשם היא כמות גדולה מאד ויש צדק בטענת התובעת, כי למרות העדר קביעה חוקית לגבי חזקה של צריכה עצמית, הרי שנראה, כי אין מדובר בחומר שהוחזק רק לצריכה עצמית. </w:t>
      </w:r>
    </w:p>
    <w:p w14:paraId="73DB525F" w14:textId="77777777" w:rsidR="006750D9" w:rsidRDefault="006750D9">
      <w:pPr>
        <w:rPr>
          <w:rFonts w:ascii="Calibri" w:hAnsi="Calibri"/>
          <w:b/>
          <w:bCs/>
          <w:rtl/>
          <w:lang w:eastAsia="he-IL"/>
        </w:rPr>
      </w:pPr>
    </w:p>
    <w:p w14:paraId="3FF40837" w14:textId="77777777" w:rsidR="006750D9" w:rsidRDefault="00436B7A">
      <w:pPr>
        <w:rPr>
          <w:rFonts w:ascii="Calibri" w:hAnsi="Calibri"/>
          <w:b/>
          <w:bCs/>
          <w:rtl/>
          <w:lang w:eastAsia="he-IL"/>
        </w:rPr>
      </w:pPr>
      <w:r>
        <w:rPr>
          <w:rFonts w:ascii="Calibri" w:hAnsi="Calibri" w:hint="cs"/>
          <w:b/>
          <w:bCs/>
          <w:rtl/>
          <w:lang w:eastAsia="he-IL"/>
        </w:rPr>
        <w:t xml:space="preserve">אציין גם, כי אופן ותדירות השימוש שציין הנאשם בהודעתו, אינם מתיישבים עם העובדה, שבמשך 3 שבועות השתמש ב 39 שקיות. </w:t>
      </w:r>
    </w:p>
    <w:p w14:paraId="0FEBE9A5" w14:textId="77777777" w:rsidR="006750D9" w:rsidRDefault="006750D9">
      <w:pPr>
        <w:rPr>
          <w:rFonts w:ascii="Calibri" w:hAnsi="Calibri"/>
          <w:b/>
          <w:bCs/>
          <w:rtl/>
          <w:lang w:eastAsia="he-IL"/>
        </w:rPr>
      </w:pPr>
    </w:p>
    <w:p w14:paraId="686F133D" w14:textId="77777777" w:rsidR="006750D9" w:rsidRDefault="00436B7A">
      <w:pPr>
        <w:rPr>
          <w:rFonts w:ascii="Calibri" w:hAnsi="Calibri"/>
          <w:b/>
          <w:bCs/>
          <w:rtl/>
          <w:lang w:eastAsia="he-IL"/>
        </w:rPr>
      </w:pPr>
      <w:r>
        <w:rPr>
          <w:rFonts w:ascii="Calibri" w:hAnsi="Calibri" w:hint="cs"/>
          <w:b/>
          <w:bCs/>
          <w:rtl/>
          <w:lang w:eastAsia="he-IL"/>
        </w:rPr>
        <w:t xml:space="preserve">מנגד, לקולא, ניתן לומר, כי הנאשם רכש את החומר בעת שלא היה אסור על פי חוק, ורק כשבוע לפני החיפוש שנערך בביתו, נכנס החומר לפקודת הסמים. </w:t>
      </w:r>
    </w:p>
    <w:p w14:paraId="08420320" w14:textId="77777777" w:rsidR="006750D9" w:rsidRDefault="006750D9">
      <w:pPr>
        <w:rPr>
          <w:rFonts w:ascii="Calibri" w:hAnsi="Calibri"/>
          <w:b/>
          <w:bCs/>
          <w:rtl/>
          <w:lang w:eastAsia="he-IL"/>
        </w:rPr>
      </w:pPr>
    </w:p>
    <w:p w14:paraId="677E8EAE" w14:textId="77777777" w:rsidR="006750D9" w:rsidRDefault="00436B7A">
      <w:pPr>
        <w:rPr>
          <w:rFonts w:ascii="Calibri" w:hAnsi="Calibri"/>
          <w:b/>
          <w:bCs/>
          <w:rtl/>
          <w:lang w:eastAsia="he-IL"/>
        </w:rPr>
      </w:pPr>
      <w:r>
        <w:rPr>
          <w:rFonts w:ascii="Calibri" w:hAnsi="Calibri" w:hint="cs"/>
          <w:b/>
          <w:bCs/>
          <w:rtl/>
          <w:lang w:eastAsia="he-IL"/>
        </w:rPr>
        <w:t xml:space="preserve">יצוין, כי בשל עובדה זו, תוקן כתב האישום ולא יוחסה לנאשם עבירה של החזקת סם שלא לצריכה עצמית. </w:t>
      </w:r>
    </w:p>
    <w:p w14:paraId="7D34A1EB" w14:textId="77777777" w:rsidR="006750D9" w:rsidRDefault="006750D9">
      <w:pPr>
        <w:rPr>
          <w:rFonts w:ascii="Calibri" w:hAnsi="Calibri"/>
          <w:b/>
          <w:bCs/>
          <w:rtl/>
          <w:lang w:eastAsia="he-IL"/>
        </w:rPr>
      </w:pPr>
    </w:p>
    <w:p w14:paraId="6734A61C" w14:textId="77777777" w:rsidR="006750D9" w:rsidRDefault="00436B7A">
      <w:pPr>
        <w:rPr>
          <w:rFonts w:ascii="Calibri" w:hAnsi="Calibri"/>
          <w:b/>
          <w:bCs/>
          <w:rtl/>
          <w:lang w:eastAsia="he-IL"/>
        </w:rPr>
      </w:pPr>
      <w:r>
        <w:rPr>
          <w:rFonts w:ascii="Calibri" w:hAnsi="Calibri" w:hint="cs"/>
          <w:b/>
          <w:bCs/>
          <w:rtl/>
          <w:lang w:eastAsia="he-IL"/>
        </w:rPr>
        <w:t xml:space="preserve">עיון בחומר שהוגש לעיוני מתוך חומר החקירה מעלה, כי הנאשם רכש כמות גדולה של החומר ונראה, כי נעשה על חשבונו ניקוי מדפים, כך שנמכרה לו כמות גדולה של אותו חומר הנושא שמות מסחריים שונים וסביר להניח, כי אם הנאשם היה בקיא בעולם הסמים, הוא היה מודע לכך, שעומד להתבצע שינוי בחוק , כפי שקרה עם המוכר. </w:t>
      </w:r>
    </w:p>
    <w:p w14:paraId="69D5762F" w14:textId="77777777" w:rsidR="006750D9" w:rsidRDefault="006750D9">
      <w:pPr>
        <w:rPr>
          <w:rFonts w:ascii="Calibri" w:hAnsi="Calibri"/>
          <w:b/>
          <w:bCs/>
          <w:rtl/>
          <w:lang w:eastAsia="he-IL"/>
        </w:rPr>
      </w:pPr>
    </w:p>
    <w:p w14:paraId="3D23C623" w14:textId="77777777" w:rsidR="006750D9" w:rsidRDefault="00436B7A">
      <w:pPr>
        <w:rPr>
          <w:rFonts w:ascii="Calibri" w:hAnsi="Calibri"/>
          <w:b/>
          <w:bCs/>
          <w:rtl/>
          <w:lang w:eastAsia="he-IL"/>
        </w:rPr>
      </w:pPr>
      <w:r>
        <w:rPr>
          <w:rFonts w:ascii="Calibri" w:hAnsi="Calibri" w:hint="cs"/>
          <w:b/>
          <w:bCs/>
          <w:rtl/>
          <w:lang w:eastAsia="he-IL"/>
        </w:rPr>
        <w:t xml:space="preserve">מעיון בהודעתו של המוכר, ניב, אליו הפנה הנאשם, עולה כי על אף שהמוכר ניסה להרחיק עצמו מהחומר וטען, כי הוא רק ביצע הובלה בין החנות שמכרה את החומר לבין הנאשם, אך השתדל מאד שלא למסור פרטים מזהים אודות אותה חנות, הרי שהוא הודה למעשה , כי העביר לנאשם את החומר כולו וקיבל ממנו תמורה של 10,000 </w:t>
      </w:r>
      <w:r>
        <w:rPr>
          <w:rFonts w:ascii="Calibri" w:hAnsi="Calibri" w:hint="eastAsia"/>
          <w:b/>
          <w:bCs/>
          <w:rtl/>
          <w:lang w:eastAsia="he-IL"/>
        </w:rPr>
        <w:t>₪</w:t>
      </w:r>
      <w:r>
        <w:rPr>
          <w:rFonts w:ascii="Calibri" w:hAnsi="Calibri" w:hint="cs"/>
          <w:b/>
          <w:bCs/>
          <w:rtl/>
          <w:lang w:eastAsia="he-IL"/>
        </w:rPr>
        <w:t xml:space="preserve">,שלטענתו, מסר לאחר. </w:t>
      </w:r>
    </w:p>
    <w:p w14:paraId="2074F71F" w14:textId="77777777" w:rsidR="006750D9" w:rsidRDefault="006750D9">
      <w:pPr>
        <w:rPr>
          <w:rFonts w:ascii="Calibri" w:hAnsi="Calibri"/>
          <w:b/>
          <w:bCs/>
          <w:rtl/>
          <w:lang w:eastAsia="he-IL"/>
        </w:rPr>
      </w:pPr>
    </w:p>
    <w:p w14:paraId="423921E6" w14:textId="77777777" w:rsidR="006750D9" w:rsidRDefault="00436B7A">
      <w:pPr>
        <w:rPr>
          <w:rFonts w:ascii="Calibri" w:hAnsi="Calibri"/>
          <w:b/>
          <w:bCs/>
          <w:rtl/>
          <w:lang w:eastAsia="he-IL"/>
        </w:rPr>
      </w:pPr>
      <w:r>
        <w:rPr>
          <w:rFonts w:ascii="Calibri" w:hAnsi="Calibri" w:hint="cs"/>
          <w:b/>
          <w:bCs/>
          <w:rtl/>
          <w:lang w:eastAsia="he-IL"/>
        </w:rPr>
        <w:t xml:space="preserve">אותו ניב , אשר היה דווקא בקיא בתחום, שכן ידע לומר בדיוק את המועד שבו הפך החומר לסם על פי פקודת הסמים, לא הועמד לדין על ידי המאשימה והתיק נגדו נסגר מחוסר ראיות. </w:t>
      </w:r>
    </w:p>
    <w:p w14:paraId="24D652E4" w14:textId="77777777" w:rsidR="006750D9" w:rsidRDefault="006750D9">
      <w:pPr>
        <w:rPr>
          <w:rFonts w:ascii="Calibri" w:hAnsi="Calibri"/>
          <w:b/>
          <w:bCs/>
          <w:rtl/>
          <w:lang w:eastAsia="he-IL"/>
        </w:rPr>
      </w:pPr>
    </w:p>
    <w:p w14:paraId="4D36C29A" w14:textId="77777777" w:rsidR="006750D9" w:rsidRDefault="00436B7A">
      <w:pPr>
        <w:rPr>
          <w:rFonts w:ascii="Calibri" w:hAnsi="Calibri"/>
          <w:b/>
          <w:bCs/>
          <w:rtl/>
          <w:lang w:eastAsia="he-IL"/>
        </w:rPr>
      </w:pPr>
      <w:r>
        <w:rPr>
          <w:rFonts w:ascii="Calibri" w:hAnsi="Calibri" w:hint="cs"/>
          <w:b/>
          <w:bCs/>
          <w:rtl/>
          <w:lang w:eastAsia="he-IL"/>
        </w:rPr>
        <w:lastRenderedPageBreak/>
        <w:t xml:space="preserve">אין ספק, כי מהודעתו של ניב ומהודעת הנאשם, עולה כי היו די ראיות להאשים את המוכר במכירת החומר והחזקתו. </w:t>
      </w:r>
    </w:p>
    <w:p w14:paraId="48D47C9D" w14:textId="77777777" w:rsidR="006750D9" w:rsidRDefault="006750D9">
      <w:pPr>
        <w:rPr>
          <w:rFonts w:ascii="Calibri" w:hAnsi="Calibri"/>
          <w:b/>
          <w:bCs/>
          <w:rtl/>
          <w:lang w:eastAsia="he-IL"/>
        </w:rPr>
      </w:pPr>
    </w:p>
    <w:p w14:paraId="1ABD77BE" w14:textId="77777777" w:rsidR="006750D9" w:rsidRDefault="00436B7A">
      <w:pPr>
        <w:rPr>
          <w:rFonts w:ascii="Calibri" w:hAnsi="Calibri"/>
          <w:b/>
          <w:bCs/>
          <w:rtl/>
          <w:lang w:eastAsia="he-IL"/>
        </w:rPr>
      </w:pPr>
      <w:r>
        <w:rPr>
          <w:rFonts w:ascii="Calibri" w:hAnsi="Calibri" w:hint="cs"/>
          <w:b/>
          <w:bCs/>
          <w:rtl/>
          <w:lang w:eastAsia="he-IL"/>
        </w:rPr>
        <w:t xml:space="preserve">קריאת עדותו של ניב מחזקת את הרושם שנוצר מקריאת עדותו של הנאשם, כי אנשים הבקיאים בתחום הסמים החוקיים, ניצלו את הנאשם ומכרו את יתרת החומר שנשאר ברשותם, זמן קצר לפני שהחומר הפך לסם. </w:t>
      </w:r>
    </w:p>
    <w:p w14:paraId="71A76C4B" w14:textId="77777777" w:rsidR="006750D9" w:rsidRDefault="006750D9">
      <w:pPr>
        <w:rPr>
          <w:rFonts w:ascii="Calibri" w:hAnsi="Calibri"/>
          <w:b/>
          <w:bCs/>
          <w:rtl/>
          <w:lang w:eastAsia="he-IL"/>
        </w:rPr>
      </w:pPr>
    </w:p>
    <w:p w14:paraId="3EF262E5" w14:textId="77777777" w:rsidR="006750D9" w:rsidRDefault="00436B7A">
      <w:pPr>
        <w:rPr>
          <w:rFonts w:ascii="Calibri" w:hAnsi="Calibri"/>
          <w:b/>
          <w:bCs/>
          <w:rtl/>
          <w:lang w:eastAsia="he-IL"/>
        </w:rPr>
      </w:pPr>
      <w:r>
        <w:rPr>
          <w:rFonts w:ascii="Calibri" w:hAnsi="Calibri" w:hint="cs"/>
          <w:b/>
          <w:bCs/>
          <w:rtl/>
          <w:lang w:eastAsia="he-IL"/>
        </w:rPr>
        <w:t xml:space="preserve">יש ממש בטענת הסניגור, לגבי טענת האפליה. </w:t>
      </w:r>
    </w:p>
    <w:p w14:paraId="73C8C986" w14:textId="77777777" w:rsidR="006750D9" w:rsidRDefault="006750D9">
      <w:pPr>
        <w:rPr>
          <w:rFonts w:ascii="Calibri" w:hAnsi="Calibri"/>
          <w:b/>
          <w:bCs/>
          <w:rtl/>
          <w:lang w:eastAsia="he-IL"/>
        </w:rPr>
      </w:pPr>
    </w:p>
    <w:p w14:paraId="78E80DD1" w14:textId="77777777" w:rsidR="006750D9" w:rsidRDefault="00436B7A">
      <w:pPr>
        <w:rPr>
          <w:rFonts w:ascii="Calibri" w:hAnsi="Calibri"/>
          <w:b/>
          <w:bCs/>
          <w:rtl/>
          <w:lang w:eastAsia="he-IL"/>
        </w:rPr>
      </w:pPr>
      <w:r>
        <w:rPr>
          <w:rFonts w:ascii="Calibri" w:hAnsi="Calibri" w:hint="cs"/>
          <w:b/>
          <w:bCs/>
          <w:rtl/>
          <w:lang w:eastAsia="he-IL"/>
        </w:rPr>
        <w:t xml:space="preserve">מעיון בפסיקה שהוגשה על ידי הצדדים, עולה כי אין מקרים דומים שבהם נדונו נאשמים בהחזקת חומר שהפך זמן קצר לאחר מכן לסם. </w:t>
      </w:r>
    </w:p>
    <w:p w14:paraId="7966F9BE" w14:textId="77777777" w:rsidR="006750D9" w:rsidRDefault="006750D9">
      <w:pPr>
        <w:rPr>
          <w:rFonts w:ascii="Calibri" w:hAnsi="Calibri"/>
          <w:b/>
          <w:bCs/>
          <w:rtl/>
          <w:lang w:eastAsia="he-IL"/>
        </w:rPr>
      </w:pPr>
    </w:p>
    <w:p w14:paraId="7E87E0BC" w14:textId="77777777" w:rsidR="006750D9" w:rsidRDefault="00436B7A">
      <w:pPr>
        <w:rPr>
          <w:rFonts w:ascii="Calibri" w:hAnsi="Calibri"/>
          <w:b/>
          <w:bCs/>
          <w:rtl/>
          <w:lang w:eastAsia="he-IL"/>
        </w:rPr>
      </w:pPr>
      <w:r>
        <w:rPr>
          <w:rFonts w:ascii="Calibri" w:hAnsi="Calibri" w:hint="cs"/>
          <w:b/>
          <w:bCs/>
          <w:rtl/>
          <w:lang w:eastAsia="he-IL"/>
        </w:rPr>
        <w:t xml:space="preserve">הפסיקה שהגישה המאשימה שבה הוטלו עונשי מאסר ממושכים, אינה דומה לענייננו , שכן שם דובר באנשים אשר חברו כדי לייצר ולמכור כדורים המכילים חומר מסוכן או אנשים אשר הורשעו בנוסף, גם בעבירות של החזקת סם שלא לצריכה עצמית. </w:t>
      </w:r>
    </w:p>
    <w:p w14:paraId="3DC59019" w14:textId="77777777" w:rsidR="006750D9" w:rsidRDefault="006750D9">
      <w:pPr>
        <w:rPr>
          <w:rFonts w:ascii="Calibri" w:hAnsi="Calibri"/>
          <w:b/>
          <w:bCs/>
          <w:rtl/>
          <w:lang w:eastAsia="he-IL"/>
        </w:rPr>
      </w:pPr>
    </w:p>
    <w:p w14:paraId="5F35D60A" w14:textId="77777777" w:rsidR="006750D9" w:rsidRDefault="00436B7A">
      <w:pPr>
        <w:rPr>
          <w:rFonts w:ascii="Calibri" w:hAnsi="Calibri"/>
          <w:b/>
          <w:bCs/>
          <w:rtl/>
          <w:lang w:eastAsia="he-IL"/>
        </w:rPr>
      </w:pPr>
      <w:r>
        <w:rPr>
          <w:rFonts w:ascii="Calibri" w:hAnsi="Calibri" w:hint="cs"/>
          <w:b/>
          <w:bCs/>
          <w:rtl/>
          <w:lang w:eastAsia="he-IL"/>
        </w:rPr>
        <w:t xml:space="preserve">גם ניסיון של בית המשפט לאתר פסיקה מתאימה לא צלח, והדבר מעיד בעיקר על העדר אכיפה מתאימה של אנשים, אשר מחזיקים את החומרים המסוכנים , בניגוד לאנשים המייצרים אותם או המפיצים אותם. </w:t>
      </w:r>
    </w:p>
    <w:p w14:paraId="2F6117FF" w14:textId="77777777" w:rsidR="006750D9" w:rsidRDefault="006750D9">
      <w:pPr>
        <w:rPr>
          <w:rFonts w:ascii="Calibri" w:hAnsi="Calibri"/>
          <w:b/>
          <w:bCs/>
          <w:rtl/>
          <w:lang w:eastAsia="he-IL"/>
        </w:rPr>
      </w:pPr>
    </w:p>
    <w:p w14:paraId="3AE26DB9" w14:textId="77777777" w:rsidR="006750D9" w:rsidRDefault="00436B7A">
      <w:pPr>
        <w:rPr>
          <w:rFonts w:ascii="Calibri" w:hAnsi="Calibri"/>
          <w:b/>
          <w:bCs/>
          <w:rtl/>
          <w:lang w:eastAsia="he-IL"/>
        </w:rPr>
      </w:pPr>
      <w:r>
        <w:rPr>
          <w:rFonts w:ascii="Calibri" w:hAnsi="Calibri" w:hint="cs"/>
          <w:b/>
          <w:bCs/>
          <w:rtl/>
          <w:lang w:eastAsia="he-IL"/>
        </w:rPr>
        <w:t xml:space="preserve">בעניינו של הנאשם, מעבר לטענה הכללית, כי ברחבי הארץ נמכרים חומרים מסוכנים,המוצגים לציבור הרחב  בשמות מפתים כחומרים חוקיים הגורמים להרגעה או למצב רוח טוב , הרי שהנאשם הוכיח גם הפלייה קונקרטית מול אותו ניב, אשר מכר לו את החומר. </w:t>
      </w:r>
    </w:p>
    <w:p w14:paraId="1B98351D" w14:textId="77777777" w:rsidR="006750D9" w:rsidRDefault="006750D9">
      <w:pPr>
        <w:rPr>
          <w:rFonts w:ascii="Calibri" w:hAnsi="Calibri"/>
          <w:b/>
          <w:bCs/>
          <w:rtl/>
          <w:lang w:eastAsia="he-IL"/>
        </w:rPr>
      </w:pPr>
    </w:p>
    <w:p w14:paraId="393A6A62" w14:textId="77777777" w:rsidR="006750D9" w:rsidRDefault="00436B7A">
      <w:pPr>
        <w:rPr>
          <w:rFonts w:ascii="Calibri" w:hAnsi="Calibri"/>
          <w:b/>
          <w:bCs/>
          <w:rtl/>
          <w:lang w:eastAsia="he-IL"/>
        </w:rPr>
      </w:pPr>
      <w:r>
        <w:rPr>
          <w:rFonts w:ascii="Calibri" w:hAnsi="Calibri" w:hint="cs"/>
          <w:b/>
          <w:bCs/>
          <w:rtl/>
          <w:lang w:eastAsia="he-IL"/>
        </w:rPr>
        <w:t xml:space="preserve">הטענה של אכיפה בררנית מבוססת על הפלייה בין שווים ובענייננו, לא רק שמדובר בהפלייה בין שווים, אלא שניתן לומר, שחלקו של ניב חמור יותר , מאחר והוא זה שסיפק לנאשם את החומר. </w:t>
      </w:r>
    </w:p>
    <w:p w14:paraId="11100B12" w14:textId="77777777" w:rsidR="006750D9" w:rsidRDefault="006750D9">
      <w:pPr>
        <w:rPr>
          <w:rFonts w:ascii="Calibri" w:hAnsi="Calibri"/>
          <w:b/>
          <w:bCs/>
          <w:rtl/>
          <w:lang w:eastAsia="he-IL"/>
        </w:rPr>
      </w:pPr>
    </w:p>
    <w:p w14:paraId="2F85605F" w14:textId="77777777" w:rsidR="006750D9" w:rsidRDefault="00436B7A">
      <w:pPr>
        <w:rPr>
          <w:rFonts w:ascii="Calibri" w:hAnsi="Calibri"/>
          <w:b/>
          <w:bCs/>
          <w:rtl/>
          <w:lang w:eastAsia="he-IL"/>
        </w:rPr>
      </w:pPr>
      <w:r>
        <w:rPr>
          <w:rFonts w:ascii="Calibri" w:hAnsi="Calibri" w:hint="cs"/>
          <w:b/>
          <w:bCs/>
          <w:rtl/>
          <w:lang w:eastAsia="he-IL"/>
        </w:rPr>
        <w:t xml:space="preserve">טענה של אכיפה בררנית , עשויה לבסס טענה של הגנה מן הצדק, וטענה כזו, גם אם אינה מתקבלת לצורך ביטול כתב אישום, יכולה להשפיע בצורה משמעותית על העונש שיוטל על הנאשם. </w:t>
      </w:r>
    </w:p>
    <w:p w14:paraId="2ACEE425" w14:textId="77777777" w:rsidR="006750D9" w:rsidRDefault="006750D9">
      <w:pPr>
        <w:rPr>
          <w:rFonts w:ascii="Calibri" w:hAnsi="Calibri"/>
          <w:b/>
          <w:bCs/>
          <w:rtl/>
          <w:lang w:eastAsia="he-IL"/>
        </w:rPr>
      </w:pPr>
    </w:p>
    <w:p w14:paraId="5E132BCB" w14:textId="77777777" w:rsidR="006750D9" w:rsidRDefault="00436B7A">
      <w:pPr>
        <w:rPr>
          <w:rFonts w:ascii="Calibri" w:hAnsi="Calibri"/>
          <w:b/>
          <w:bCs/>
          <w:rtl/>
          <w:lang w:eastAsia="he-IL"/>
        </w:rPr>
      </w:pPr>
      <w:r>
        <w:rPr>
          <w:rFonts w:ascii="Calibri" w:hAnsi="Calibri" w:hint="cs"/>
          <w:b/>
          <w:bCs/>
          <w:rtl/>
          <w:lang w:eastAsia="he-IL"/>
        </w:rPr>
        <w:t xml:space="preserve">לא מצאתי בעניינו של הנאשם סיבה להסתפק ברישום ללא הרשעה , הן מאחר ושירות המבחן לא התייחס לעניין זה כלל והן מאחר והטענה כי עתידו ייפגע, לא הוכחה. </w:t>
      </w:r>
    </w:p>
    <w:p w14:paraId="2083E81C" w14:textId="77777777" w:rsidR="006750D9" w:rsidRDefault="006750D9">
      <w:pPr>
        <w:rPr>
          <w:rFonts w:ascii="Calibri" w:hAnsi="Calibri"/>
          <w:b/>
          <w:bCs/>
          <w:rtl/>
          <w:lang w:eastAsia="he-IL"/>
        </w:rPr>
      </w:pPr>
    </w:p>
    <w:p w14:paraId="7F6C3A15" w14:textId="77777777" w:rsidR="006750D9" w:rsidRDefault="00436B7A">
      <w:pPr>
        <w:rPr>
          <w:rFonts w:ascii="Calibri" w:hAnsi="Calibri"/>
          <w:b/>
          <w:bCs/>
          <w:rtl/>
          <w:lang w:eastAsia="he-IL"/>
        </w:rPr>
      </w:pPr>
      <w:r>
        <w:rPr>
          <w:rFonts w:ascii="Calibri" w:hAnsi="Calibri" w:hint="cs"/>
          <w:b/>
          <w:bCs/>
          <w:rtl/>
          <w:lang w:eastAsia="he-IL"/>
        </w:rPr>
        <w:t xml:space="preserve">מעיון במסמך שהגיש הסניגור, לגבי מועמדותו של הנאשם לתפקיד סוור , הרי שהוא נדרש להציב גיליון תעבורה ולא גיליון הרשעות קודמות פליליות , כך שמסמך זה אינו מעיד חד משמעית כי תעסוקתו של הנאשם תיפגע. </w:t>
      </w:r>
    </w:p>
    <w:p w14:paraId="75FD3581" w14:textId="77777777" w:rsidR="006750D9" w:rsidRDefault="006750D9">
      <w:pPr>
        <w:rPr>
          <w:rFonts w:ascii="Calibri" w:hAnsi="Calibri"/>
          <w:b/>
          <w:bCs/>
          <w:rtl/>
          <w:lang w:eastAsia="he-IL"/>
        </w:rPr>
      </w:pPr>
    </w:p>
    <w:p w14:paraId="0DFA9C10" w14:textId="77777777" w:rsidR="006750D9" w:rsidRDefault="00436B7A">
      <w:pPr>
        <w:rPr>
          <w:rFonts w:ascii="Calibri" w:hAnsi="Calibri"/>
          <w:b/>
          <w:bCs/>
          <w:rtl/>
          <w:lang w:eastAsia="he-IL"/>
        </w:rPr>
      </w:pPr>
      <w:r>
        <w:rPr>
          <w:rFonts w:ascii="Calibri" w:hAnsi="Calibri" w:hint="cs"/>
          <w:b/>
          <w:bCs/>
          <w:rtl/>
          <w:lang w:eastAsia="he-IL"/>
        </w:rPr>
        <w:t xml:space="preserve">יתרה מכך, לאור חומרת המעשים ובעיקר הכמות הגדולה של החומר שהוחזק על ידי הנאשם, אינני סבורה, כי האינטרס הציבורי יכול "לסבול" סיום התיק ללא הרשעה. </w:t>
      </w:r>
    </w:p>
    <w:p w14:paraId="6241D193" w14:textId="77777777" w:rsidR="006750D9" w:rsidRDefault="006750D9">
      <w:pPr>
        <w:rPr>
          <w:rFonts w:ascii="Calibri" w:hAnsi="Calibri"/>
          <w:b/>
          <w:bCs/>
          <w:rtl/>
          <w:lang w:eastAsia="he-IL"/>
        </w:rPr>
      </w:pPr>
    </w:p>
    <w:p w14:paraId="1211E459" w14:textId="77777777" w:rsidR="006750D9" w:rsidRDefault="00436B7A">
      <w:pPr>
        <w:rPr>
          <w:rFonts w:ascii="Calibri" w:hAnsi="Calibri"/>
          <w:b/>
          <w:bCs/>
          <w:rtl/>
          <w:lang w:eastAsia="he-IL"/>
        </w:rPr>
      </w:pPr>
      <w:r>
        <w:rPr>
          <w:rFonts w:ascii="Calibri" w:hAnsi="Calibri" w:hint="cs"/>
          <w:b/>
          <w:bCs/>
          <w:rtl/>
          <w:lang w:eastAsia="he-IL"/>
        </w:rPr>
        <w:t xml:space="preserve">יחד עם זאת, לעניין העונש, אין ספק כי יש לקחת בחשבון את כל הטיעונים שהעליתי לעיל ובעיקר את עניין ההפלייה. </w:t>
      </w:r>
    </w:p>
    <w:p w14:paraId="5371EC0B" w14:textId="77777777" w:rsidR="006750D9" w:rsidRDefault="006750D9">
      <w:pPr>
        <w:rPr>
          <w:rFonts w:ascii="Calibri" w:hAnsi="Calibri"/>
          <w:b/>
          <w:bCs/>
          <w:rtl/>
          <w:lang w:eastAsia="he-IL"/>
        </w:rPr>
      </w:pPr>
    </w:p>
    <w:p w14:paraId="5479474C" w14:textId="77777777" w:rsidR="006750D9" w:rsidRDefault="00436B7A">
      <w:pPr>
        <w:rPr>
          <w:rFonts w:ascii="Calibri" w:hAnsi="Calibri"/>
          <w:b/>
          <w:bCs/>
          <w:rtl/>
          <w:lang w:eastAsia="he-IL"/>
        </w:rPr>
      </w:pPr>
      <w:r>
        <w:rPr>
          <w:rFonts w:ascii="Calibri" w:hAnsi="Calibri" w:hint="cs"/>
          <w:b/>
          <w:bCs/>
          <w:rtl/>
          <w:lang w:eastAsia="he-IL"/>
        </w:rPr>
        <w:t xml:space="preserve">יש לזכור, כי לאדם נעדר עבר פלילי, עצם ההרשעה, היא עונש לא מבוטל , בעיקר כאשר נגד מעורב נוסף בעבירה, כלל לא ננקט הליך משפטי. </w:t>
      </w:r>
    </w:p>
    <w:p w14:paraId="4BB11EA0" w14:textId="77777777" w:rsidR="006750D9" w:rsidRDefault="006750D9">
      <w:pPr>
        <w:rPr>
          <w:rFonts w:ascii="Calibri" w:hAnsi="Calibri"/>
          <w:b/>
          <w:bCs/>
          <w:rtl/>
          <w:lang w:eastAsia="he-IL"/>
        </w:rPr>
      </w:pPr>
    </w:p>
    <w:p w14:paraId="64F0CF2B" w14:textId="77777777" w:rsidR="006750D9" w:rsidRDefault="00436B7A">
      <w:pPr>
        <w:rPr>
          <w:rFonts w:ascii="Calibri" w:hAnsi="Calibri"/>
          <w:b/>
          <w:bCs/>
          <w:rtl/>
          <w:lang w:eastAsia="he-IL"/>
        </w:rPr>
      </w:pPr>
      <w:r>
        <w:rPr>
          <w:rFonts w:ascii="Calibri" w:hAnsi="Calibri" w:hint="cs"/>
          <w:b/>
          <w:bCs/>
          <w:rtl/>
          <w:lang w:eastAsia="he-IL"/>
        </w:rPr>
        <w:t xml:space="preserve">לאור כל האמור לעיל, לאור העדר עבר פלילי, והעובדה שהנאשם שהה במעצר תקופה של כשבוע, ובתנאים מגבילים לאחר מכן מס' חודשים, החלטתי שלא להטיל על הנאשם עונש מאסר. </w:t>
      </w:r>
    </w:p>
    <w:p w14:paraId="054885CF" w14:textId="77777777" w:rsidR="006750D9" w:rsidRDefault="006750D9">
      <w:pPr>
        <w:rPr>
          <w:rFonts w:ascii="Calibri" w:hAnsi="Calibri"/>
          <w:b/>
          <w:bCs/>
          <w:rtl/>
          <w:lang w:eastAsia="he-IL"/>
        </w:rPr>
      </w:pPr>
    </w:p>
    <w:p w14:paraId="4A41F9DD" w14:textId="77777777" w:rsidR="006750D9" w:rsidRDefault="006750D9">
      <w:pPr>
        <w:rPr>
          <w:b/>
          <w:bCs/>
          <w:u w:val="single"/>
          <w:rtl/>
        </w:rPr>
      </w:pPr>
    </w:p>
    <w:p w14:paraId="601B7ECE" w14:textId="77777777" w:rsidR="006750D9" w:rsidRDefault="00436B7A">
      <w:pPr>
        <w:rPr>
          <w:b/>
          <w:bCs/>
          <w:u w:val="single"/>
          <w:rtl/>
        </w:rPr>
      </w:pPr>
      <w:r>
        <w:rPr>
          <w:rFonts w:hint="cs"/>
          <w:b/>
          <w:bCs/>
          <w:u w:val="single"/>
          <w:rtl/>
        </w:rPr>
        <w:t>לאור האמור לעיל, אני דנה את הנאשם לעונשים הבאים:</w:t>
      </w:r>
    </w:p>
    <w:p w14:paraId="19DC97C7" w14:textId="77777777" w:rsidR="006750D9" w:rsidRDefault="006750D9">
      <w:pPr>
        <w:tabs>
          <w:tab w:val="left" w:pos="8313"/>
        </w:tabs>
        <w:ind w:left="720"/>
        <w:jc w:val="both"/>
        <w:rPr>
          <w:b/>
          <w:bCs/>
          <w:rtl/>
        </w:rPr>
      </w:pPr>
    </w:p>
    <w:p w14:paraId="3EB77932" w14:textId="77777777" w:rsidR="006750D9" w:rsidRDefault="00436B7A">
      <w:pPr>
        <w:numPr>
          <w:ilvl w:val="0"/>
          <w:numId w:val="1"/>
        </w:numPr>
        <w:rPr>
          <w:b/>
          <w:bCs/>
          <w:rtl/>
        </w:rPr>
      </w:pPr>
      <w:r>
        <w:rPr>
          <w:rFonts w:hint="cs"/>
          <w:b/>
          <w:bCs/>
          <w:rtl/>
        </w:rPr>
        <w:t xml:space="preserve">מאסר על תנאי לתקופה של  6 חודשים. </w:t>
      </w:r>
    </w:p>
    <w:p w14:paraId="1FB14D15" w14:textId="77777777" w:rsidR="006750D9" w:rsidRDefault="00436B7A">
      <w:pPr>
        <w:tabs>
          <w:tab w:val="left" w:pos="8313"/>
        </w:tabs>
        <w:ind w:left="720"/>
        <w:jc w:val="both"/>
        <w:rPr>
          <w:b/>
          <w:bCs/>
        </w:rPr>
      </w:pPr>
      <w:r>
        <w:rPr>
          <w:rFonts w:hint="cs"/>
          <w:b/>
          <w:bCs/>
          <w:rtl/>
        </w:rPr>
        <w:t xml:space="preserve">המאסר המותנה יופעל אם תוך תקופה של 3 שנים מהיום, יעבור הנאשם עבירה נוספת בה הורשע בתיק זה או כל עבירה על פי פקודת הסמים. </w:t>
      </w:r>
    </w:p>
    <w:p w14:paraId="6FE6D0E7" w14:textId="77777777" w:rsidR="006750D9" w:rsidRDefault="006750D9">
      <w:pPr>
        <w:tabs>
          <w:tab w:val="left" w:pos="8313"/>
        </w:tabs>
        <w:ind w:left="720"/>
        <w:jc w:val="both"/>
        <w:rPr>
          <w:b/>
          <w:bCs/>
          <w:rtl/>
        </w:rPr>
      </w:pPr>
      <w:bookmarkStart w:id="6" w:name="_GoBack"/>
      <w:bookmarkEnd w:id="6"/>
    </w:p>
    <w:p w14:paraId="04E9298E" w14:textId="77777777" w:rsidR="006750D9" w:rsidRDefault="00436B7A">
      <w:pPr>
        <w:pStyle w:val="1"/>
        <w:numPr>
          <w:ilvl w:val="0"/>
          <w:numId w:val="1"/>
        </w:numPr>
        <w:tabs>
          <w:tab w:val="clear" w:pos="567"/>
          <w:tab w:val="left" w:pos="753"/>
        </w:tabs>
        <w:rPr>
          <w:b/>
          <w:bCs/>
        </w:rPr>
      </w:pPr>
      <w:r>
        <w:rPr>
          <w:rFonts w:hint="cs"/>
          <w:b/>
          <w:bCs/>
          <w:rtl/>
        </w:rPr>
        <w:t xml:space="preserve">קנס בסך  3,000  ₪, או   30   ימי מאסר תמורתו. </w:t>
      </w:r>
    </w:p>
    <w:p w14:paraId="7FEBD4F8" w14:textId="77777777" w:rsidR="006750D9" w:rsidRDefault="00436B7A">
      <w:pPr>
        <w:ind w:left="720"/>
        <w:rPr>
          <w:b/>
          <w:bCs/>
        </w:rPr>
      </w:pPr>
      <w:r>
        <w:rPr>
          <w:rFonts w:hint="cs"/>
          <w:b/>
          <w:bCs/>
          <w:rtl/>
        </w:rPr>
        <w:t xml:space="preserve">הקנס יקוזז מההפקדה שהופקדה בתיק המעצר ( </w:t>
      </w:r>
      <w:hyperlink r:id="rId9" w:history="1">
        <w:r w:rsidRPr="00436B7A">
          <w:rPr>
            <w:b/>
            <w:bCs/>
            <w:color w:val="0000FF"/>
            <w:u w:val="single"/>
            <w:rtl/>
          </w:rPr>
          <w:t>מ"ת 4465-06-12</w:t>
        </w:r>
      </w:hyperlink>
      <w:r>
        <w:rPr>
          <w:rFonts w:hint="cs"/>
          <w:b/>
          <w:bCs/>
          <w:rtl/>
        </w:rPr>
        <w:t xml:space="preserve"> ו</w:t>
      </w:r>
      <w:hyperlink r:id="rId10" w:history="1">
        <w:r w:rsidRPr="00436B7A">
          <w:rPr>
            <w:b/>
            <w:bCs/>
            <w:color w:val="0000FF"/>
            <w:u w:val="single"/>
            <w:rtl/>
          </w:rPr>
          <w:t>מ"י 25345-04-12</w:t>
        </w:r>
      </w:hyperlink>
      <w:r>
        <w:rPr>
          <w:rFonts w:hint="cs"/>
          <w:b/>
          <w:bCs/>
          <w:rtl/>
        </w:rPr>
        <w:t xml:space="preserve">)  והיתרה תושב לנאשם על פי פרטים שימציא למזכירות. </w:t>
      </w:r>
    </w:p>
    <w:p w14:paraId="15562AA1" w14:textId="77777777" w:rsidR="006750D9" w:rsidRDefault="006750D9">
      <w:pPr>
        <w:pStyle w:val="1"/>
        <w:tabs>
          <w:tab w:val="clear" w:pos="567"/>
          <w:tab w:val="left" w:pos="753"/>
        </w:tabs>
        <w:ind w:left="720" w:firstLine="0"/>
        <w:rPr>
          <w:b/>
          <w:bCs/>
        </w:rPr>
      </w:pPr>
    </w:p>
    <w:p w14:paraId="25AE11C5" w14:textId="77777777" w:rsidR="006750D9" w:rsidRDefault="00436B7A">
      <w:pPr>
        <w:pStyle w:val="1"/>
        <w:numPr>
          <w:ilvl w:val="0"/>
          <w:numId w:val="1"/>
        </w:numPr>
        <w:tabs>
          <w:tab w:val="clear" w:pos="567"/>
          <w:tab w:val="left" w:pos="753"/>
        </w:tabs>
        <w:rPr>
          <w:b/>
          <w:bCs/>
        </w:rPr>
      </w:pPr>
      <w:r>
        <w:rPr>
          <w:rFonts w:hint="cs"/>
          <w:b/>
          <w:bCs/>
          <w:rtl/>
        </w:rPr>
        <w:t>הנאשם יחתום היום על התחייבות בסך  5,000 ₪ שלא לעבור עבירה מהעבירות בהן הורשע, או   כל עבירת סמים למשך שנתיים מהיום. לא יחתום, ייאסר למשך  30 ימים.</w:t>
      </w:r>
    </w:p>
    <w:p w14:paraId="21EC7DA6" w14:textId="77777777" w:rsidR="006750D9" w:rsidRDefault="006750D9">
      <w:pPr>
        <w:pStyle w:val="1"/>
        <w:tabs>
          <w:tab w:val="clear" w:pos="567"/>
          <w:tab w:val="left" w:pos="753"/>
        </w:tabs>
        <w:ind w:right="720"/>
        <w:rPr>
          <w:b/>
          <w:bCs/>
          <w:rtl/>
        </w:rPr>
      </w:pPr>
    </w:p>
    <w:p w14:paraId="089CFCEF" w14:textId="77777777" w:rsidR="006750D9" w:rsidRDefault="00436B7A">
      <w:pPr>
        <w:pStyle w:val="1"/>
        <w:tabs>
          <w:tab w:val="clear" w:pos="567"/>
          <w:tab w:val="left" w:pos="753"/>
        </w:tabs>
        <w:ind w:right="720"/>
        <w:rPr>
          <w:b/>
          <w:bCs/>
          <w:rtl/>
        </w:rPr>
      </w:pPr>
      <w:r>
        <w:rPr>
          <w:rFonts w:hint="cs"/>
          <w:b/>
          <w:bCs/>
          <w:rtl/>
        </w:rPr>
        <w:t xml:space="preserve">החומר שנתפס </w:t>
      </w:r>
      <w:r>
        <w:rPr>
          <w:b/>
          <w:bCs/>
          <w:rtl/>
        </w:rPr>
        <w:t>–</w:t>
      </w:r>
      <w:r>
        <w:rPr>
          <w:rFonts w:hint="cs"/>
          <w:b/>
          <w:bCs/>
          <w:rtl/>
        </w:rPr>
        <w:t xml:space="preserve">יושמד. </w:t>
      </w:r>
    </w:p>
    <w:p w14:paraId="09A01613" w14:textId="77777777" w:rsidR="006750D9" w:rsidRDefault="006750D9">
      <w:pPr>
        <w:pStyle w:val="1"/>
        <w:tabs>
          <w:tab w:val="clear" w:pos="567"/>
          <w:tab w:val="left" w:pos="753"/>
        </w:tabs>
        <w:ind w:right="720"/>
        <w:rPr>
          <w:b/>
          <w:bCs/>
          <w:rtl/>
        </w:rPr>
      </w:pPr>
    </w:p>
    <w:p w14:paraId="5D7B81AF" w14:textId="77777777" w:rsidR="006750D9" w:rsidRDefault="00436B7A">
      <w:pPr>
        <w:pStyle w:val="1"/>
        <w:tabs>
          <w:tab w:val="clear" w:pos="567"/>
          <w:tab w:val="left" w:pos="753"/>
        </w:tabs>
        <w:ind w:right="720"/>
        <w:rPr>
          <w:b/>
          <w:bCs/>
        </w:rPr>
      </w:pPr>
      <w:r>
        <w:rPr>
          <w:rFonts w:hint="cs"/>
          <w:b/>
          <w:bCs/>
          <w:rtl/>
        </w:rPr>
        <w:t xml:space="preserve">זכות ערעור, בתוך 45 יום לבימ"ש מחוזי באר-שבע. </w:t>
      </w:r>
    </w:p>
    <w:p w14:paraId="662B0BE9" w14:textId="77777777" w:rsidR="006750D9" w:rsidRDefault="006750D9">
      <w:pPr>
        <w:pStyle w:val="1"/>
        <w:tabs>
          <w:tab w:val="clear" w:pos="567"/>
          <w:tab w:val="left" w:pos="753"/>
        </w:tabs>
        <w:ind w:right="720"/>
        <w:rPr>
          <w:b/>
          <w:bCs/>
          <w:rtl/>
        </w:rPr>
      </w:pPr>
    </w:p>
    <w:p w14:paraId="1C74D4B8" w14:textId="77777777" w:rsidR="006750D9" w:rsidRDefault="00436B7A">
      <w:pPr>
        <w:pStyle w:val="1"/>
        <w:tabs>
          <w:tab w:val="clear" w:pos="567"/>
          <w:tab w:val="left" w:pos="753"/>
        </w:tabs>
        <w:ind w:right="720"/>
        <w:rPr>
          <w:b/>
          <w:bCs/>
          <w:sz w:val="6"/>
          <w:szCs w:val="6"/>
          <w:rtl/>
        </w:rPr>
      </w:pPr>
      <w:r>
        <w:rPr>
          <w:b/>
          <w:bCs/>
          <w:sz w:val="6"/>
          <w:szCs w:val="6"/>
          <w:rtl/>
        </w:rPr>
        <w:t>&lt;#4#&gt;</w:t>
      </w:r>
    </w:p>
    <w:p w14:paraId="49115FF9" w14:textId="77777777" w:rsidR="006750D9" w:rsidRDefault="006750D9">
      <w:pPr>
        <w:jc w:val="right"/>
        <w:rPr>
          <w:rtl/>
        </w:rPr>
      </w:pPr>
    </w:p>
    <w:p w14:paraId="3A9BB816" w14:textId="77777777" w:rsidR="006750D9" w:rsidRDefault="00436B7A">
      <w:pPr>
        <w:jc w:val="center"/>
        <w:rPr>
          <w:rtl/>
        </w:rPr>
      </w:pPr>
      <w:r>
        <w:rPr>
          <w:b/>
          <w:bCs/>
          <w:rtl/>
        </w:rPr>
        <w:t xml:space="preserve">ניתנה והודעה היום כ"ט אדר תשע"ג, 11/03/2013 במעמד הנוכחים. </w:t>
      </w:r>
    </w:p>
    <w:p w14:paraId="02F1FBAA" w14:textId="77777777" w:rsidR="00436B7A" w:rsidRPr="00436B7A" w:rsidRDefault="00436B7A" w:rsidP="00436B7A">
      <w:pPr>
        <w:keepNext/>
        <w:rPr>
          <w:color w:val="000000"/>
          <w:sz w:val="22"/>
          <w:szCs w:val="22"/>
          <w:rtl/>
        </w:rPr>
      </w:pPr>
    </w:p>
    <w:p w14:paraId="185049CE" w14:textId="77777777" w:rsidR="00436B7A" w:rsidRPr="00436B7A" w:rsidRDefault="00436B7A" w:rsidP="00436B7A">
      <w:pPr>
        <w:keepNext/>
        <w:rPr>
          <w:color w:val="000000"/>
          <w:sz w:val="22"/>
          <w:szCs w:val="22"/>
          <w:rtl/>
        </w:rPr>
      </w:pPr>
      <w:r w:rsidRPr="00436B7A">
        <w:rPr>
          <w:color w:val="000000"/>
          <w:sz w:val="22"/>
          <w:szCs w:val="22"/>
          <w:rtl/>
        </w:rPr>
        <w:t>גילת שלו 54678313</w:t>
      </w:r>
    </w:p>
    <w:p w14:paraId="5B2C1B49" w14:textId="77777777" w:rsidR="006750D9" w:rsidRPr="00436B7A" w:rsidRDefault="00436B7A">
      <w:pPr>
        <w:jc w:val="right"/>
        <w:rPr>
          <w:color w:val="FFFFFF"/>
          <w:sz w:val="2"/>
          <w:szCs w:val="2"/>
          <w:rtl/>
        </w:rPr>
      </w:pPr>
      <w:r w:rsidRPr="00436B7A">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6750D9" w14:paraId="746DC757" w14:textId="77777777">
        <w:trPr>
          <w:trHeight w:val="364"/>
          <w:jc w:val="right"/>
        </w:trPr>
        <w:tc>
          <w:tcPr>
            <w:tcW w:w="3708" w:type="dxa"/>
          </w:tcPr>
          <w:p w14:paraId="461F99E2" w14:textId="77777777" w:rsidR="006750D9" w:rsidRPr="00436B7A" w:rsidRDefault="00436B7A">
            <w:pPr>
              <w:jc w:val="center"/>
              <w:rPr>
                <w:rFonts w:ascii="Times New Roman" w:eastAsia="Times New Roman" w:hAnsi="Times New Roman" w:cs="Times New Roman"/>
                <w:color w:val="FFFFFF"/>
                <w:sz w:val="2"/>
                <w:szCs w:val="2"/>
              </w:rPr>
            </w:pPr>
            <w:r w:rsidRPr="00436B7A">
              <w:rPr>
                <w:rFonts w:ascii="Times New Roman" w:eastAsia="Times New Roman" w:hAnsi="Times New Roman" w:cs="Times New Roman"/>
                <w:color w:val="FFFFFF"/>
                <w:sz w:val="2"/>
                <w:szCs w:val="2"/>
                <w:rtl/>
              </w:rPr>
              <w:t>54678313</w:t>
            </w:r>
          </w:p>
          <w:p w14:paraId="455F4F30" w14:textId="77777777" w:rsidR="006750D9" w:rsidRDefault="006750D9">
            <w:pPr>
              <w:jc w:val="center"/>
              <w:rPr>
                <w:rFonts w:ascii="Times New Roman" w:eastAsia="Times New Roman" w:hAnsi="Times New Roman" w:cs="Times New Roman"/>
                <w:rtl/>
              </w:rPr>
            </w:pPr>
          </w:p>
        </w:tc>
      </w:tr>
      <w:tr w:rsidR="006750D9" w14:paraId="3EBA6A77" w14:textId="77777777">
        <w:trPr>
          <w:trHeight w:val="415"/>
          <w:jc w:val="right"/>
        </w:trPr>
        <w:tc>
          <w:tcPr>
            <w:tcW w:w="3708" w:type="dxa"/>
          </w:tcPr>
          <w:p w14:paraId="32854BD1" w14:textId="77777777" w:rsidR="006750D9" w:rsidRDefault="00436B7A">
            <w:pPr>
              <w:jc w:val="center"/>
              <w:rPr>
                <w:rFonts w:ascii="Times New Roman" w:eastAsia="Times New Roman" w:hAnsi="Times New Roman"/>
                <w:b/>
                <w:bCs/>
                <w:rtl/>
              </w:rPr>
            </w:pPr>
            <w:r>
              <w:rPr>
                <w:rFonts w:ascii="Times New Roman" w:eastAsia="Times New Roman" w:hAnsi="Times New Roman" w:hint="cs"/>
                <w:rtl/>
              </w:rPr>
              <w:t>גילת</w:t>
            </w:r>
            <w:r>
              <w:rPr>
                <w:rFonts w:ascii="Times New Roman" w:eastAsia="Times New Roman" w:hAnsi="Times New Roman" w:hint="cs"/>
                <w:b/>
                <w:bCs/>
                <w:rtl/>
              </w:rPr>
              <w:t xml:space="preserve"> </w:t>
            </w:r>
            <w:r>
              <w:rPr>
                <w:rFonts w:ascii="Times New Roman" w:eastAsia="Times New Roman" w:hAnsi="Times New Roman" w:hint="cs"/>
                <w:rtl/>
              </w:rPr>
              <w:t>שלו</w:t>
            </w:r>
            <w:r>
              <w:rPr>
                <w:rFonts w:ascii="Times New Roman" w:eastAsia="Times New Roman" w:hAnsi="Times New Roman" w:hint="cs"/>
                <w:b/>
                <w:bCs/>
                <w:rtl/>
              </w:rPr>
              <w:t xml:space="preserve">, </w:t>
            </w:r>
            <w:r>
              <w:rPr>
                <w:rFonts w:ascii="Times New Roman" w:eastAsia="Times New Roman" w:hAnsi="Times New Roman" w:hint="cs"/>
                <w:rtl/>
              </w:rPr>
              <w:t>שופטת</w:t>
            </w:r>
          </w:p>
        </w:tc>
      </w:tr>
    </w:tbl>
    <w:p w14:paraId="10933365" w14:textId="77777777" w:rsidR="006750D9" w:rsidRDefault="006750D9">
      <w:pPr>
        <w:jc w:val="right"/>
        <w:rPr>
          <w:rtl/>
        </w:rPr>
      </w:pPr>
    </w:p>
    <w:p w14:paraId="7A276D33" w14:textId="77777777" w:rsidR="006750D9" w:rsidRDefault="006750D9">
      <w:pPr>
        <w:jc w:val="center"/>
        <w:rPr>
          <w:rtl/>
        </w:rPr>
      </w:pPr>
    </w:p>
    <w:p w14:paraId="5595309E" w14:textId="77777777" w:rsidR="006750D9" w:rsidRDefault="006750D9">
      <w:pPr>
        <w:pStyle w:val="1"/>
        <w:tabs>
          <w:tab w:val="clear" w:pos="567"/>
          <w:tab w:val="left" w:pos="753"/>
        </w:tabs>
        <w:ind w:right="720"/>
        <w:jc w:val="center"/>
        <w:rPr>
          <w:rFonts w:ascii="David" w:hAnsi="David"/>
          <w:sz w:val="24"/>
          <w:rtl/>
        </w:rPr>
      </w:pPr>
    </w:p>
    <w:p w14:paraId="5776F73D" w14:textId="77777777" w:rsidR="006750D9" w:rsidRDefault="00436B7A">
      <w:pPr>
        <w:pStyle w:val="1"/>
        <w:tabs>
          <w:tab w:val="clear" w:pos="567"/>
          <w:tab w:val="left" w:pos="753"/>
        </w:tabs>
        <w:ind w:right="720"/>
        <w:rPr>
          <w:rFonts w:ascii="David" w:hAnsi="David"/>
          <w:sz w:val="24"/>
          <w:rtl/>
        </w:rPr>
      </w:pPr>
      <w:r>
        <w:rPr>
          <w:rFonts w:ascii="David" w:hAnsi="David"/>
          <w:sz w:val="24"/>
          <w:rtl/>
        </w:rPr>
        <w:t xml:space="preserve"> </w:t>
      </w:r>
    </w:p>
    <w:p w14:paraId="09F7B0D6" w14:textId="77777777" w:rsidR="006750D9" w:rsidRDefault="00436B7A">
      <w:r>
        <w:rPr>
          <w:rtl/>
        </w:rPr>
        <w:t>הוקלד</w:t>
      </w:r>
      <w:r>
        <w:t xml:space="preserve"> </w:t>
      </w:r>
      <w:r>
        <w:rPr>
          <w:rtl/>
        </w:rPr>
        <w:t>על</w:t>
      </w:r>
      <w:r>
        <w:t xml:space="preserve"> </w:t>
      </w:r>
      <w:r>
        <w:rPr>
          <w:rtl/>
        </w:rPr>
        <w:t>ידי</w:t>
      </w:r>
      <w:r>
        <w:t xml:space="preserve"> </w:t>
      </w:r>
      <w:r>
        <w:rPr>
          <w:rtl/>
        </w:rPr>
        <w:t>אורית</w:t>
      </w:r>
      <w:r>
        <w:t xml:space="preserve"> </w:t>
      </w:r>
      <w:r>
        <w:rPr>
          <w:rtl/>
        </w:rPr>
        <w:t>חיון</w:t>
      </w:r>
    </w:p>
    <w:p w14:paraId="7E47B4C4" w14:textId="77777777" w:rsidR="00436B7A" w:rsidRDefault="00436B7A" w:rsidP="00436B7A">
      <w:r w:rsidRPr="00436B7A">
        <w:rPr>
          <w:color w:val="000000"/>
          <w:rtl/>
        </w:rPr>
        <w:t>נוסח מסמך זה כפוף לשינויי ניסוח ועריכה</w:t>
      </w:r>
    </w:p>
    <w:p w14:paraId="1FEEB7CB" w14:textId="77777777" w:rsidR="00436B7A" w:rsidRDefault="00436B7A" w:rsidP="00436B7A">
      <w:pPr>
        <w:rPr>
          <w:rtl/>
        </w:rPr>
      </w:pPr>
    </w:p>
    <w:p w14:paraId="240DB280" w14:textId="77777777" w:rsidR="00436B7A" w:rsidRDefault="00436B7A" w:rsidP="00436B7A">
      <w:pPr>
        <w:jc w:val="center"/>
        <w:rPr>
          <w:color w:val="0000FF"/>
          <w:u w:val="single"/>
        </w:rPr>
      </w:pPr>
      <w:hyperlink r:id="rId11" w:history="1">
        <w:r>
          <w:rPr>
            <w:color w:val="0000FF"/>
            <w:u w:val="single"/>
            <w:rtl/>
          </w:rPr>
          <w:t>בעניין עריכה ושינויים במסמכי פסיקה, חקיקה ועוד באתר נבו – הקש כאן</w:t>
        </w:r>
      </w:hyperlink>
    </w:p>
    <w:p w14:paraId="3C85A47A" w14:textId="77777777" w:rsidR="006750D9" w:rsidRPr="00436B7A" w:rsidRDefault="006750D9" w:rsidP="00436B7A">
      <w:pPr>
        <w:jc w:val="center"/>
        <w:rPr>
          <w:color w:val="0000FF"/>
          <w:u w:val="single"/>
        </w:rPr>
      </w:pPr>
    </w:p>
    <w:sectPr w:rsidR="006750D9" w:rsidRPr="00436B7A" w:rsidSect="00436B7A">
      <w:headerReference w:type="even" r:id="rId12"/>
      <w:headerReference w:type="default" r:id="rId13"/>
      <w:footerReference w:type="even" r:id="rId14"/>
      <w:footerReference w:type="default" r:id="rId15"/>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FC462B" w14:textId="77777777" w:rsidR="000C35E9" w:rsidRPr="00A13CE5" w:rsidRDefault="000C35E9">
      <w:pPr>
        <w:rPr>
          <w:rFonts w:cs="Arial"/>
          <w:szCs w:val="20"/>
        </w:rPr>
      </w:pPr>
      <w:r>
        <w:separator/>
      </w:r>
    </w:p>
  </w:endnote>
  <w:endnote w:type="continuationSeparator" w:id="0">
    <w:p w14:paraId="3AB6448B" w14:textId="77777777" w:rsidR="000C35E9" w:rsidRPr="00A13CE5" w:rsidRDefault="000C35E9">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D1993A" w14:textId="77777777" w:rsidR="00436B7A" w:rsidRDefault="00436B7A" w:rsidP="00436B7A">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12</w:t>
    </w:r>
    <w:r>
      <w:rPr>
        <w:rFonts w:ascii="FrankRuehl" w:hAnsi="FrankRuehl" w:cs="FrankRuehl"/>
        <w:rtl/>
      </w:rPr>
      <w:fldChar w:fldCharType="end"/>
    </w:r>
  </w:p>
  <w:p w14:paraId="48F00622" w14:textId="77777777" w:rsidR="006750D9" w:rsidRPr="00436B7A" w:rsidRDefault="00436B7A" w:rsidP="00436B7A">
    <w:pPr>
      <w:pStyle w:val="a4"/>
      <w:pBdr>
        <w:top w:val="single" w:sz="4" w:space="1" w:color="auto"/>
        <w:between w:val="single" w:sz="4" w:space="0" w:color="auto"/>
      </w:pBdr>
      <w:spacing w:after="60"/>
      <w:jc w:val="center"/>
      <w:rPr>
        <w:rFonts w:ascii="FrankRuehl" w:hAnsi="FrankRuehl" w:cs="FrankRuehl"/>
        <w:color w:val="000000"/>
      </w:rPr>
    </w:pPr>
    <w:r w:rsidRPr="00436B7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25556E" w14:textId="77777777" w:rsidR="00436B7A" w:rsidRDefault="00436B7A" w:rsidP="00436B7A">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70786">
      <w:rPr>
        <w:rFonts w:ascii="FrankRuehl" w:hAnsi="FrankRuehl" w:cs="FrankRuehl"/>
        <w:noProof/>
        <w:rtl/>
      </w:rPr>
      <w:t>1</w:t>
    </w:r>
    <w:r>
      <w:rPr>
        <w:rFonts w:ascii="FrankRuehl" w:hAnsi="FrankRuehl" w:cs="FrankRuehl"/>
        <w:rtl/>
      </w:rPr>
      <w:fldChar w:fldCharType="end"/>
    </w:r>
  </w:p>
  <w:p w14:paraId="264B1D67" w14:textId="77777777" w:rsidR="006750D9" w:rsidRPr="00436B7A" w:rsidRDefault="00436B7A" w:rsidP="00436B7A">
    <w:pPr>
      <w:pStyle w:val="a4"/>
      <w:pBdr>
        <w:top w:val="single" w:sz="4" w:space="1" w:color="auto"/>
        <w:between w:val="single" w:sz="4" w:space="0" w:color="auto"/>
      </w:pBdr>
      <w:spacing w:after="60"/>
      <w:jc w:val="center"/>
      <w:rPr>
        <w:rFonts w:ascii="FrankRuehl" w:hAnsi="FrankRuehl" w:cs="FrankRuehl"/>
        <w:color w:val="000000"/>
      </w:rPr>
    </w:pPr>
    <w:r w:rsidRPr="00436B7A">
      <w:rPr>
        <w:rFonts w:ascii="FrankRuehl" w:hAnsi="FrankRuehl" w:cs="FrankRuehl"/>
        <w:color w:val="000000"/>
      </w:rPr>
      <w:pict w14:anchorId="415E40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7E4869" w14:textId="77777777" w:rsidR="000C35E9" w:rsidRPr="00A13CE5" w:rsidRDefault="000C35E9">
      <w:pPr>
        <w:rPr>
          <w:rFonts w:cs="Arial"/>
          <w:szCs w:val="20"/>
        </w:rPr>
      </w:pPr>
      <w:r>
        <w:separator/>
      </w:r>
    </w:p>
  </w:footnote>
  <w:footnote w:type="continuationSeparator" w:id="0">
    <w:p w14:paraId="28604576" w14:textId="77777777" w:rsidR="000C35E9" w:rsidRPr="00A13CE5" w:rsidRDefault="000C35E9">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547320" w14:textId="77777777" w:rsidR="00436B7A" w:rsidRPr="00436B7A" w:rsidRDefault="00436B7A" w:rsidP="00436B7A">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(אשד') 4439-06-12</w:t>
    </w:r>
    <w:r>
      <w:rPr>
        <w:color w:val="000000"/>
        <w:sz w:val="22"/>
        <w:szCs w:val="22"/>
        <w:rtl/>
      </w:rPr>
      <w:tab/>
      <w:t xml:space="preserve"> מדינת ישראל נ' שלמה רוזנבוים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A25E40" w14:textId="77777777" w:rsidR="00436B7A" w:rsidRPr="00436B7A" w:rsidRDefault="00436B7A" w:rsidP="00436B7A">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(אשד') 4439-06-12</w:t>
    </w:r>
    <w:r>
      <w:rPr>
        <w:color w:val="000000"/>
        <w:sz w:val="22"/>
        <w:szCs w:val="22"/>
        <w:rtl/>
      </w:rPr>
      <w:tab/>
      <w:t xml:space="preserve"> מדינת ישראל נ' שלמה רוזנבוים</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804160A"/>
    <w:multiLevelType w:val="hybridMultilevel"/>
    <w:tmpl w:val="5FE07468"/>
    <w:lvl w:ilvl="0" w:tplc="3EACA314">
      <w:start w:val="1"/>
      <w:numFmt w:val="decimal"/>
      <w:lvlText w:val="%1."/>
      <w:lvlJc w:val="left"/>
      <w:pPr>
        <w:tabs>
          <w:tab w:val="num" w:pos="720"/>
        </w:tabs>
        <w:ind w:left="720" w:hanging="360"/>
      </w:pPr>
      <w:rPr>
        <w:rFonts w:cs="David"/>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16cid:durableId="994231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750D9"/>
    <w:rsid w:val="000C35E9"/>
    <w:rsid w:val="00436B7A"/>
    <w:rsid w:val="00470786"/>
    <w:rsid w:val="006702A2"/>
    <w:rsid w:val="006750D9"/>
    <w:rsid w:val="007638CF"/>
    <w:rsid w:val="00B433C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A27A381"/>
  <w15:chartTrackingRefBased/>
  <w15:docId w15:val="{A7770F8F-D73E-4672-BE40-B9F8E8E72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750D9"/>
    <w:pPr>
      <w:bidi/>
    </w:pPr>
    <w:rPr>
      <w:rFonts w:ascii="David" w:eastAsia="David" w:hAnsi="David" w:cs="David"/>
      <w:sz w:val="24"/>
      <w:szCs w:val="24"/>
    </w:rPr>
  </w:style>
  <w:style w:type="paragraph" w:styleId="4">
    <w:name w:val="heading 4"/>
    <w:basedOn w:val="a"/>
    <w:next w:val="a"/>
    <w:link w:val="40"/>
    <w:qFormat/>
    <w:rsid w:val="006750D9"/>
    <w:pPr>
      <w:keepNext/>
      <w:spacing w:line="360" w:lineRule="auto"/>
      <w:outlineLvl w:val="3"/>
    </w:pPr>
    <w:rPr>
      <w:rFonts w:ascii="Times New Roman" w:eastAsia="Times New Roman" w:hAnsi="Times New Roman"/>
      <w:b/>
      <w:bCs/>
      <w:snapToGrid w:val="0"/>
      <w:sz w:val="20"/>
      <w:lang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6750D9"/>
    <w:pPr>
      <w:tabs>
        <w:tab w:val="center" w:pos="4153"/>
        <w:tab w:val="right" w:pos="8306"/>
      </w:tabs>
    </w:pPr>
  </w:style>
  <w:style w:type="paragraph" w:styleId="a4">
    <w:name w:val="footer"/>
    <w:basedOn w:val="a"/>
    <w:rsid w:val="006750D9"/>
    <w:pPr>
      <w:tabs>
        <w:tab w:val="center" w:pos="4153"/>
        <w:tab w:val="right" w:pos="8306"/>
      </w:tabs>
    </w:pPr>
  </w:style>
  <w:style w:type="character" w:styleId="a5">
    <w:name w:val="page number"/>
    <w:basedOn w:val="a0"/>
    <w:rsid w:val="006750D9"/>
  </w:style>
  <w:style w:type="character" w:customStyle="1" w:styleId="TimesNewRomanTimesNewRoman">
    <w:name w:val="סגנון (לטיני) Times New Roman (עברית ושפות אחרות) Times New Roman..."/>
    <w:basedOn w:val="a0"/>
    <w:rsid w:val="006750D9"/>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6750D9"/>
    <w:rPr>
      <w:rFonts w:ascii="Times New Roman" w:eastAsia="Times New Roman" w:hAnsi="Times New Roman"/>
      <w:b/>
      <w:bCs/>
      <w:u w:val="single"/>
    </w:rPr>
  </w:style>
  <w:style w:type="character" w:customStyle="1" w:styleId="40">
    <w:name w:val="כותרת 4 תו"/>
    <w:basedOn w:val="a0"/>
    <w:link w:val="4"/>
    <w:rsid w:val="006750D9"/>
    <w:rPr>
      <w:rFonts w:cs="David"/>
      <w:b/>
      <w:bCs/>
      <w:snapToGrid w:val="0"/>
      <w:szCs w:val="24"/>
      <w:lang w:val="en-US" w:eastAsia="he-IL" w:bidi="he-IL"/>
    </w:rPr>
  </w:style>
  <w:style w:type="paragraph" w:customStyle="1" w:styleId="1">
    <w:name w:val="היסט_1"/>
    <w:basedOn w:val="a"/>
    <w:rsid w:val="006750D9"/>
    <w:pPr>
      <w:widowControl w:val="0"/>
      <w:tabs>
        <w:tab w:val="left" w:pos="567"/>
      </w:tabs>
      <w:ind w:left="567" w:hanging="567"/>
      <w:jc w:val="both"/>
    </w:pPr>
    <w:rPr>
      <w:rFonts w:ascii="Times New Roman" w:eastAsia="Times New Roman" w:hAnsi="Times New Roman"/>
      <w:snapToGrid w:val="0"/>
      <w:sz w:val="20"/>
      <w:lang w:eastAsia="he-IL"/>
    </w:rPr>
  </w:style>
  <w:style w:type="character" w:styleId="a6">
    <w:name w:val="line number"/>
    <w:basedOn w:val="a0"/>
    <w:rsid w:val="006750D9"/>
  </w:style>
  <w:style w:type="character" w:styleId="Hyperlink">
    <w:name w:val="Hyperlink"/>
    <w:basedOn w:val="a0"/>
    <w:rsid w:val="00436B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html/law01/p211_002.htm"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www.nevo.co.il/law_html/law01/073_002.htm"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www.nevo.co.il/links/psika/?NEWPROC=&#1502;&#1497;&amp;NEWPARTA=25345&amp;NEWPARTB=04&amp;NEWPARTC=12" TargetMode="External"/><Relationship Id="rId4" Type="http://schemas.openxmlformats.org/officeDocument/2006/relationships/webSettings" Target="webSettings.xml"/><Relationship Id="rId9" Type="http://schemas.openxmlformats.org/officeDocument/2006/relationships/hyperlink" Target="http://www.nevo.co.il/links/psika/?NEWPROC=&#1502;&#1514;&amp;NEWPARTA=4465&amp;NEWPARTB=06&amp;NEWPARTC=12"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1341</Words>
  <Characters>6707</Characters>
  <Application>Microsoft Office Word</Application>
  <DocSecurity>0</DocSecurity>
  <Lines>55</Lines>
  <Paragraphs>16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8032</CharactersWithSpaces>
  <SharedDoc>false</SharedDoc>
  <HLinks>
    <vt:vector size="30" baseType="variant">
      <vt:variant>
        <vt:i4>393283</vt:i4>
      </vt:variant>
      <vt:variant>
        <vt:i4>12</vt:i4>
      </vt:variant>
      <vt:variant>
        <vt:i4>0</vt:i4>
      </vt:variant>
      <vt:variant>
        <vt:i4>5</vt:i4>
      </vt:variant>
      <vt:variant>
        <vt:lpwstr>http://www.nevo.co.il/advertisements/nevo-100.doc</vt:lpwstr>
      </vt:variant>
      <vt:variant>
        <vt:lpwstr/>
      </vt:variant>
      <vt:variant>
        <vt:i4>99223011</vt:i4>
      </vt:variant>
      <vt:variant>
        <vt:i4>9</vt:i4>
      </vt:variant>
      <vt:variant>
        <vt:i4>0</vt:i4>
      </vt:variant>
      <vt:variant>
        <vt:i4>5</vt:i4>
      </vt:variant>
      <vt:variant>
        <vt:lpwstr>http://www.nevo.co.il/links/psika/?NEWPROC=מי&amp;NEWPARTA=25345&amp;NEWPARTB=04&amp;NEWPARTC=12</vt:lpwstr>
      </vt:variant>
      <vt:variant>
        <vt:lpwstr/>
      </vt:variant>
      <vt:variant>
        <vt:i4>98174438</vt:i4>
      </vt:variant>
      <vt:variant>
        <vt:i4>6</vt:i4>
      </vt:variant>
      <vt:variant>
        <vt:i4>0</vt:i4>
      </vt:variant>
      <vt:variant>
        <vt:i4>5</vt:i4>
      </vt:variant>
      <vt:variant>
        <vt:lpwstr>http://www.nevo.co.il/links/psika/?NEWPROC=מת&amp;NEWPARTA=4465&amp;NEWPARTB=06&amp;NEWPARTC=12</vt:lpwstr>
      </vt:variant>
      <vt:variant>
        <vt:lpwstr/>
      </vt:variant>
      <vt:variant>
        <vt:i4>4980829</vt:i4>
      </vt:variant>
      <vt:variant>
        <vt:i4>3</vt:i4>
      </vt:variant>
      <vt:variant>
        <vt:i4>0</vt:i4>
      </vt:variant>
      <vt:variant>
        <vt:i4>5</vt:i4>
      </vt:variant>
      <vt:variant>
        <vt:lpwstr>http://www.nevo.co.il/law_html/law01/p211_002.htm</vt:lpwstr>
      </vt:variant>
      <vt:variant>
        <vt:lpwstr/>
      </vt:variant>
      <vt:variant>
        <vt:i4>3932214</vt:i4>
      </vt:variant>
      <vt:variant>
        <vt:i4>0</vt:i4>
      </vt:variant>
      <vt:variant>
        <vt:i4>0</vt:i4>
      </vt:variant>
      <vt:variant>
        <vt:i4>5</vt:i4>
      </vt:variant>
      <vt:variant>
        <vt:lpwstr>http://www.nevo.co.il/law_html/law01/073_002.htm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2025-04-22T21:45:00Z</dcterms:created>
  <dcterms:modified xsi:type="dcterms:W3CDTF">2025-04-22T21:45:00Z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4439</vt:lpwstr>
  </property>
  <property fmtid="{D5CDD505-2E9C-101B-9397-08002B2CF9AE}" pid="6" name="NEWPARTB">
    <vt:lpwstr>06</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שלמה רוזנבוים</vt:lpwstr>
  </property>
  <property fmtid="{D5CDD505-2E9C-101B-9397-08002B2CF9AE}" pid="10" name="LAWYER">
    <vt:lpwstr>אדווה וייצגן וו שטיינברג</vt:lpwstr>
  </property>
  <property fmtid="{D5CDD505-2E9C-101B-9397-08002B2CF9AE}" pid="11" name="JUDGE">
    <vt:lpwstr>גילת שלו</vt:lpwstr>
  </property>
  <property fmtid="{D5CDD505-2E9C-101B-9397-08002B2CF9AE}" pid="12" name="CITY">
    <vt:lpwstr>אשד'</vt:lpwstr>
  </property>
  <property fmtid="{D5CDD505-2E9C-101B-9397-08002B2CF9AE}" pid="13" name="DATE">
    <vt:lpwstr>20130311</vt:lpwstr>
  </property>
  <property fmtid="{D5CDD505-2E9C-101B-9397-08002B2CF9AE}" pid="14" name="TYPE_N_DATE">
    <vt:lpwstr>38020130311</vt:lpwstr>
  </property>
  <property fmtid="{D5CDD505-2E9C-101B-9397-08002B2CF9AE}" pid="15" name="WORDNUMPAGES">
    <vt:lpwstr>4</vt:lpwstr>
  </property>
  <property fmtid="{D5CDD505-2E9C-101B-9397-08002B2CF9AE}" pid="16" name="TYPE_ABS_DATE">
    <vt:lpwstr>380020130311</vt:lpwstr>
  </property>
  <property fmtid="{D5CDD505-2E9C-101B-9397-08002B2CF9AE}" pid="17" name="ISABSTRACT">
    <vt:lpwstr>Y</vt:lpwstr>
  </property>
</Properties>
</file>