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850D76" w:rsidRPr="00E03B76" w14:paraId="13FA8E6A" w14:textId="77777777">
        <w:trPr>
          <w:trHeight w:hRule="exact" w:val="418"/>
          <w:jc w:val="center"/>
        </w:trPr>
        <w:tc>
          <w:tcPr>
            <w:tcW w:w="8720" w:type="dxa"/>
            <w:gridSpan w:val="3"/>
          </w:tcPr>
          <w:p w14:paraId="7EC2D88D" w14:textId="77777777" w:rsidR="00850D76" w:rsidRPr="00E03B76" w:rsidRDefault="00E03B76">
            <w:pPr>
              <w:pStyle w:val="a4"/>
              <w:tabs>
                <w:tab w:val="clear" w:pos="8306"/>
              </w:tabs>
              <w:jc w:val="center"/>
              <w:rPr>
                <w:rFonts w:ascii="Tahoma" w:hAnsi="Tahoma" w:cs="Tahoma"/>
                <w:b/>
                <w:bCs/>
                <w:color w:val="000080"/>
                <w:sz w:val="20"/>
                <w:szCs w:val="20"/>
                <w:rtl/>
              </w:rPr>
            </w:pPr>
            <w:r w:rsidRPr="00E03B76">
              <w:rPr>
                <w:rFonts w:ascii="Tahoma" w:hAnsi="Tahoma" w:cs="Tahoma"/>
                <w:b/>
                <w:bCs/>
                <w:color w:val="000080"/>
                <w:sz w:val="20"/>
                <w:szCs w:val="20"/>
                <w:rtl/>
              </w:rPr>
              <w:t>בית משפט השלום בעכו</w:t>
            </w:r>
          </w:p>
        </w:tc>
      </w:tr>
      <w:tr w:rsidR="00850D76" w:rsidRPr="00E03B76" w14:paraId="47659FAB" w14:textId="77777777">
        <w:trPr>
          <w:trHeight w:val="337"/>
          <w:jc w:val="center"/>
        </w:trPr>
        <w:tc>
          <w:tcPr>
            <w:tcW w:w="3973" w:type="dxa"/>
          </w:tcPr>
          <w:p w14:paraId="0E362F49" w14:textId="77777777" w:rsidR="00850D76" w:rsidRPr="00E03B76" w:rsidRDefault="00E03B76">
            <w:pPr>
              <w:rPr>
                <w:b/>
                <w:bCs/>
                <w:sz w:val="26"/>
                <w:szCs w:val="26"/>
                <w:rtl/>
              </w:rPr>
            </w:pPr>
            <w:r w:rsidRPr="00E03B76">
              <w:rPr>
                <w:b/>
                <w:bCs/>
                <w:sz w:val="26"/>
                <w:szCs w:val="26"/>
                <w:rtl/>
              </w:rPr>
              <w:t>ת"פ</w:t>
            </w:r>
            <w:r w:rsidRPr="00E03B76">
              <w:rPr>
                <w:rFonts w:hint="cs"/>
                <w:b/>
                <w:bCs/>
                <w:sz w:val="26"/>
                <w:szCs w:val="26"/>
                <w:rtl/>
              </w:rPr>
              <w:t xml:space="preserve"> </w:t>
            </w:r>
            <w:r w:rsidRPr="00E03B76">
              <w:rPr>
                <w:b/>
                <w:bCs/>
                <w:sz w:val="26"/>
                <w:szCs w:val="26"/>
                <w:rtl/>
              </w:rPr>
              <w:t>9056-06-12</w:t>
            </w:r>
            <w:r w:rsidRPr="00E03B76">
              <w:rPr>
                <w:rFonts w:hint="cs"/>
                <w:b/>
                <w:bCs/>
                <w:sz w:val="26"/>
                <w:szCs w:val="26"/>
                <w:rtl/>
              </w:rPr>
              <w:t xml:space="preserve"> </w:t>
            </w:r>
            <w:r w:rsidRPr="00E03B76">
              <w:rPr>
                <w:b/>
                <w:bCs/>
                <w:sz w:val="26"/>
                <w:szCs w:val="26"/>
                <w:rtl/>
              </w:rPr>
              <w:t>מדינת ישראל נ' עראבי</w:t>
            </w:r>
          </w:p>
          <w:p w14:paraId="4FC0AE87" w14:textId="77777777" w:rsidR="00850D76" w:rsidRPr="00E03B76" w:rsidRDefault="00850D76">
            <w:pPr>
              <w:rPr>
                <w:b/>
                <w:bCs/>
                <w:sz w:val="26"/>
                <w:szCs w:val="26"/>
                <w:rtl/>
              </w:rPr>
            </w:pPr>
          </w:p>
        </w:tc>
        <w:tc>
          <w:tcPr>
            <w:tcW w:w="1068" w:type="dxa"/>
          </w:tcPr>
          <w:p w14:paraId="2DF454EC" w14:textId="77777777" w:rsidR="00850D76" w:rsidRPr="00E03B76" w:rsidRDefault="00850D76">
            <w:pPr>
              <w:pStyle w:val="a4"/>
              <w:jc w:val="right"/>
              <w:rPr>
                <w:b/>
                <w:bCs/>
                <w:sz w:val="26"/>
                <w:szCs w:val="26"/>
                <w:rtl/>
              </w:rPr>
            </w:pPr>
          </w:p>
        </w:tc>
        <w:tc>
          <w:tcPr>
            <w:tcW w:w="3679" w:type="dxa"/>
          </w:tcPr>
          <w:p w14:paraId="116AC072" w14:textId="77777777" w:rsidR="00850D76" w:rsidRPr="00E03B76" w:rsidRDefault="00E03B76">
            <w:pPr>
              <w:pStyle w:val="a4"/>
              <w:tabs>
                <w:tab w:val="clear" w:pos="4153"/>
              </w:tabs>
              <w:jc w:val="right"/>
              <w:rPr>
                <w:b/>
                <w:bCs/>
                <w:sz w:val="26"/>
                <w:szCs w:val="26"/>
                <w:rtl/>
              </w:rPr>
            </w:pPr>
            <w:r w:rsidRPr="00E03B76">
              <w:rPr>
                <w:b/>
                <w:bCs/>
                <w:sz w:val="26"/>
                <w:szCs w:val="26"/>
                <w:rtl/>
              </w:rPr>
              <w:t>23 אפריל 2013</w:t>
            </w:r>
          </w:p>
        </w:tc>
      </w:tr>
    </w:tbl>
    <w:p w14:paraId="20AB3D30" w14:textId="77777777" w:rsidR="00850D76" w:rsidRPr="00E03B76" w:rsidRDefault="00850D76">
      <w:pPr>
        <w:pStyle w:val="a4"/>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5856"/>
        <w:gridCol w:w="236"/>
        <w:gridCol w:w="2628"/>
      </w:tblGrid>
      <w:tr w:rsidR="00850D76" w:rsidRPr="00E03B76" w14:paraId="6F4A93B7" w14:textId="77777777">
        <w:trPr>
          <w:trHeight w:val="337"/>
          <w:jc w:val="center"/>
        </w:trPr>
        <w:tc>
          <w:tcPr>
            <w:tcW w:w="5856" w:type="dxa"/>
          </w:tcPr>
          <w:p w14:paraId="64571AA6" w14:textId="77777777" w:rsidR="00850D76" w:rsidRPr="00E03B76" w:rsidRDefault="00E03B76">
            <w:pPr>
              <w:spacing w:line="360" w:lineRule="auto"/>
              <w:jc w:val="both"/>
              <w:rPr>
                <w:b/>
                <w:bCs/>
                <w:sz w:val="26"/>
                <w:szCs w:val="26"/>
                <w:rtl/>
              </w:rPr>
            </w:pPr>
            <w:r w:rsidRPr="00E03B76">
              <w:rPr>
                <w:rFonts w:hint="cs"/>
                <w:b/>
                <w:bCs/>
                <w:sz w:val="26"/>
                <w:szCs w:val="26"/>
                <w:rtl/>
              </w:rPr>
              <w:t>בפני כב' השופט משה אלטר, סגן נשיא (בדימוס)</w:t>
            </w:r>
          </w:p>
        </w:tc>
        <w:tc>
          <w:tcPr>
            <w:tcW w:w="236" w:type="dxa"/>
          </w:tcPr>
          <w:p w14:paraId="7CA645B1" w14:textId="77777777" w:rsidR="00850D76" w:rsidRPr="00E03B76" w:rsidRDefault="00850D76">
            <w:pPr>
              <w:pStyle w:val="a4"/>
              <w:jc w:val="both"/>
              <w:rPr>
                <w:b/>
                <w:bCs/>
                <w:sz w:val="26"/>
                <w:szCs w:val="26"/>
                <w:rtl/>
              </w:rPr>
            </w:pPr>
          </w:p>
        </w:tc>
        <w:tc>
          <w:tcPr>
            <w:tcW w:w="2628" w:type="dxa"/>
          </w:tcPr>
          <w:p w14:paraId="11CC8D04" w14:textId="77777777" w:rsidR="00850D76" w:rsidRPr="00E03B76" w:rsidRDefault="00850D76">
            <w:pPr>
              <w:pStyle w:val="a4"/>
              <w:jc w:val="both"/>
              <w:rPr>
                <w:b/>
                <w:bCs/>
                <w:sz w:val="26"/>
                <w:szCs w:val="26"/>
                <w:rtl/>
              </w:rPr>
            </w:pPr>
          </w:p>
        </w:tc>
      </w:tr>
    </w:tbl>
    <w:p w14:paraId="1B11B557" w14:textId="77777777" w:rsidR="00850D76" w:rsidRPr="00E03B76" w:rsidRDefault="00850D76">
      <w:pPr>
        <w:spacing w:line="360" w:lineRule="auto"/>
        <w:jc w:val="both"/>
        <w:rPr>
          <w:rFonts w:ascii="Arial" w:hAnsi="Arial"/>
          <w:rtl/>
        </w:rPr>
      </w:pPr>
      <w:bookmarkStart w:id="0" w:name="LastJudge"/>
      <w:bookmarkEnd w:id="0"/>
    </w:p>
    <w:p w14:paraId="116686C7" w14:textId="77777777" w:rsidR="00850D76" w:rsidRPr="00E03B76" w:rsidRDefault="00850D76">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850D76" w:rsidRPr="00E03B76" w14:paraId="25917188" w14:textId="77777777">
        <w:tc>
          <w:tcPr>
            <w:tcW w:w="3240" w:type="dxa"/>
            <w:shd w:val="clear" w:color="auto" w:fill="auto"/>
          </w:tcPr>
          <w:p w14:paraId="254D2E4D" w14:textId="77777777" w:rsidR="00850D76" w:rsidRPr="00E03B76" w:rsidRDefault="00E03B76">
            <w:pPr>
              <w:ind w:left="26"/>
              <w:rPr>
                <w:rFonts w:ascii="Times New Roman" w:eastAsia="Times New Roman" w:hAnsi="Times New Roman"/>
                <w:b/>
                <w:bCs/>
                <w:sz w:val="26"/>
                <w:szCs w:val="26"/>
                <w:rtl/>
              </w:rPr>
            </w:pPr>
            <w:bookmarkStart w:id="1" w:name="FirstAppellant"/>
            <w:r w:rsidRPr="00E03B76">
              <w:rPr>
                <w:rFonts w:ascii="Times New Roman" w:eastAsia="Times New Roman" w:hAnsi="Times New Roman" w:hint="cs"/>
                <w:b/>
                <w:bCs/>
                <w:sz w:val="26"/>
                <w:szCs w:val="26"/>
                <w:rtl/>
              </w:rPr>
              <w:t>ה</w:t>
            </w:r>
            <w:r w:rsidRPr="00E03B76">
              <w:rPr>
                <w:rFonts w:ascii="Times New Roman" w:eastAsia="Times New Roman" w:hAnsi="Times New Roman" w:hint="cs"/>
                <w:rtl/>
              </w:rPr>
              <w:t xml:space="preserve">מאשימה  </w:t>
            </w:r>
          </w:p>
        </w:tc>
        <w:tc>
          <w:tcPr>
            <w:tcW w:w="5562" w:type="dxa"/>
            <w:shd w:val="clear" w:color="auto" w:fill="auto"/>
          </w:tcPr>
          <w:p w14:paraId="1CF607AE" w14:textId="77777777" w:rsidR="00850D76" w:rsidRPr="00E03B76" w:rsidRDefault="00E03B76">
            <w:pPr>
              <w:rPr>
                <w:rFonts w:ascii="Times New Roman" w:eastAsia="Times New Roman" w:hAnsi="Times New Roman"/>
                <w:b/>
                <w:bCs/>
                <w:sz w:val="26"/>
                <w:szCs w:val="26"/>
                <w:rtl/>
              </w:rPr>
            </w:pPr>
            <w:r w:rsidRPr="00E03B76">
              <w:rPr>
                <w:rFonts w:ascii="Times New Roman" w:eastAsia="Times New Roman" w:hAnsi="Times New Roman" w:hint="cs"/>
                <w:b/>
                <w:bCs/>
                <w:sz w:val="26"/>
                <w:szCs w:val="26"/>
                <w:rtl/>
              </w:rPr>
              <w:t xml:space="preserve"> </w:t>
            </w:r>
            <w:r w:rsidRPr="00E03B76">
              <w:rPr>
                <w:rFonts w:ascii="Times New Roman" w:eastAsia="Times New Roman" w:hAnsi="Times New Roman" w:hint="cs"/>
                <w:rtl/>
              </w:rPr>
              <w:t>מדינת ישראל</w:t>
            </w:r>
          </w:p>
        </w:tc>
      </w:tr>
      <w:bookmarkEnd w:id="1"/>
      <w:tr w:rsidR="00850D76" w:rsidRPr="00E03B76" w14:paraId="52DB5B35" w14:textId="77777777">
        <w:tc>
          <w:tcPr>
            <w:tcW w:w="8802" w:type="dxa"/>
            <w:gridSpan w:val="2"/>
            <w:shd w:val="clear" w:color="auto" w:fill="auto"/>
          </w:tcPr>
          <w:p w14:paraId="57BD47A5" w14:textId="77777777" w:rsidR="00850D76" w:rsidRPr="00E03B76" w:rsidRDefault="00850D76">
            <w:pPr>
              <w:jc w:val="both"/>
              <w:rPr>
                <w:rFonts w:ascii="Arial" w:eastAsia="Times New Roman" w:hAnsi="Arial"/>
                <w:b/>
                <w:bCs/>
                <w:sz w:val="26"/>
                <w:szCs w:val="26"/>
                <w:rtl/>
              </w:rPr>
            </w:pPr>
          </w:p>
          <w:p w14:paraId="13726B99" w14:textId="77777777" w:rsidR="00850D76" w:rsidRPr="00E03B76" w:rsidRDefault="00E03B76">
            <w:pPr>
              <w:jc w:val="center"/>
              <w:rPr>
                <w:rFonts w:ascii="Arial" w:eastAsia="Times New Roman" w:hAnsi="Arial"/>
                <w:b/>
                <w:bCs/>
                <w:sz w:val="26"/>
                <w:szCs w:val="26"/>
                <w:rtl/>
              </w:rPr>
            </w:pPr>
            <w:r w:rsidRPr="00E03B76">
              <w:rPr>
                <w:rFonts w:ascii="Arial" w:eastAsia="Times New Roman" w:hAnsi="Arial"/>
                <w:b/>
                <w:bCs/>
                <w:sz w:val="26"/>
                <w:szCs w:val="26"/>
                <w:rtl/>
              </w:rPr>
              <w:t>נגד</w:t>
            </w:r>
          </w:p>
          <w:p w14:paraId="27967A37" w14:textId="77777777" w:rsidR="00850D76" w:rsidRPr="00E03B76" w:rsidRDefault="00850D76">
            <w:pPr>
              <w:jc w:val="center"/>
              <w:rPr>
                <w:rFonts w:ascii="Arial" w:eastAsia="Times New Roman" w:hAnsi="Arial"/>
                <w:b/>
                <w:bCs/>
                <w:sz w:val="26"/>
                <w:szCs w:val="26"/>
              </w:rPr>
            </w:pPr>
          </w:p>
        </w:tc>
      </w:tr>
      <w:tr w:rsidR="00850D76" w:rsidRPr="00E03B76" w14:paraId="6C174529" w14:textId="77777777">
        <w:tc>
          <w:tcPr>
            <w:tcW w:w="3240" w:type="dxa"/>
            <w:shd w:val="clear" w:color="auto" w:fill="auto"/>
          </w:tcPr>
          <w:p w14:paraId="4446E82E" w14:textId="77777777" w:rsidR="00850D76" w:rsidRPr="00E03B76" w:rsidRDefault="00E03B76">
            <w:pPr>
              <w:ind w:left="26"/>
              <w:rPr>
                <w:rFonts w:ascii="Times New Roman" w:eastAsia="Times New Roman" w:hAnsi="Times New Roman"/>
                <w:b/>
                <w:bCs/>
                <w:sz w:val="26"/>
                <w:szCs w:val="26"/>
                <w:rtl/>
              </w:rPr>
            </w:pPr>
            <w:r w:rsidRPr="00E03B76">
              <w:rPr>
                <w:rFonts w:ascii="Times New Roman" w:eastAsia="Times New Roman" w:hAnsi="Times New Roman" w:hint="cs"/>
                <w:b/>
                <w:bCs/>
                <w:sz w:val="26"/>
                <w:szCs w:val="26"/>
                <w:rtl/>
              </w:rPr>
              <w:t>ה</w:t>
            </w:r>
            <w:r w:rsidRPr="00E03B76">
              <w:rPr>
                <w:rFonts w:ascii="Times New Roman" w:eastAsia="Times New Roman" w:hAnsi="Times New Roman" w:hint="cs"/>
                <w:rtl/>
              </w:rPr>
              <w:t xml:space="preserve">נאשם </w:t>
            </w:r>
          </w:p>
        </w:tc>
        <w:tc>
          <w:tcPr>
            <w:tcW w:w="5562" w:type="dxa"/>
            <w:shd w:val="clear" w:color="auto" w:fill="auto"/>
          </w:tcPr>
          <w:p w14:paraId="6F460413" w14:textId="77777777" w:rsidR="00850D76" w:rsidRPr="00E03B76" w:rsidRDefault="00E03B76">
            <w:pPr>
              <w:rPr>
                <w:rFonts w:ascii="Times New Roman" w:eastAsia="Times New Roman" w:hAnsi="Times New Roman"/>
                <w:b/>
                <w:bCs/>
                <w:sz w:val="26"/>
                <w:szCs w:val="26"/>
                <w:rtl/>
              </w:rPr>
            </w:pPr>
            <w:r w:rsidRPr="00E03B76">
              <w:rPr>
                <w:rFonts w:ascii="Times New Roman" w:eastAsia="Times New Roman" w:hAnsi="Times New Roman" w:hint="cs"/>
                <w:b/>
                <w:bCs/>
                <w:sz w:val="26"/>
                <w:szCs w:val="26"/>
                <w:rtl/>
              </w:rPr>
              <w:t xml:space="preserve"> </w:t>
            </w:r>
            <w:r w:rsidRPr="00E03B76">
              <w:rPr>
                <w:rFonts w:ascii="Times New Roman" w:eastAsia="Times New Roman" w:hAnsi="Times New Roman" w:hint="cs"/>
                <w:rtl/>
              </w:rPr>
              <w:t>אבראהים עראבי</w:t>
            </w:r>
          </w:p>
        </w:tc>
      </w:tr>
    </w:tbl>
    <w:p w14:paraId="53C52443" w14:textId="77777777" w:rsidR="00850D76" w:rsidRPr="00E03B76" w:rsidRDefault="00850D76">
      <w:pPr>
        <w:spacing w:line="360" w:lineRule="auto"/>
        <w:jc w:val="both"/>
        <w:rPr>
          <w:rtl/>
        </w:rPr>
      </w:pPr>
    </w:p>
    <w:p w14:paraId="4D0D0D9C" w14:textId="77777777" w:rsidR="00850D76" w:rsidRPr="00E03B76" w:rsidRDefault="00E03B76">
      <w:pPr>
        <w:pStyle w:val="12"/>
        <w:rPr>
          <w:u w:val="none"/>
          <w:rtl/>
        </w:rPr>
      </w:pPr>
      <w:r w:rsidRPr="00E03B76">
        <w:rPr>
          <w:rFonts w:hint="cs"/>
          <w:u w:val="none"/>
          <w:rtl/>
        </w:rPr>
        <w:t>נוכחים:</w:t>
      </w:r>
    </w:p>
    <w:p w14:paraId="08CFE966" w14:textId="77777777" w:rsidR="00850D76" w:rsidRPr="00E03B76" w:rsidRDefault="00E03B76">
      <w:pPr>
        <w:pStyle w:val="12"/>
        <w:rPr>
          <w:b w:val="0"/>
          <w:bCs w:val="0"/>
          <w:u w:val="none"/>
          <w:rtl/>
        </w:rPr>
      </w:pPr>
      <w:bookmarkStart w:id="2" w:name="FirstLawyer"/>
      <w:r w:rsidRPr="00E03B76">
        <w:rPr>
          <w:rFonts w:hint="cs"/>
          <w:b w:val="0"/>
          <w:bCs w:val="0"/>
          <w:u w:val="none"/>
          <w:rtl/>
        </w:rPr>
        <w:t>ב"כ</w:t>
      </w:r>
      <w:bookmarkEnd w:id="2"/>
      <w:r w:rsidRPr="00E03B76">
        <w:rPr>
          <w:rFonts w:hint="cs"/>
          <w:b w:val="0"/>
          <w:bCs w:val="0"/>
          <w:u w:val="none"/>
          <w:rtl/>
        </w:rPr>
        <w:t xml:space="preserve"> המאשימה: עו"ד רון קופר</w:t>
      </w:r>
    </w:p>
    <w:p w14:paraId="2B39ABB9" w14:textId="77777777" w:rsidR="00850D76" w:rsidRPr="00E03B76" w:rsidRDefault="00E03B76">
      <w:pPr>
        <w:pStyle w:val="12"/>
        <w:rPr>
          <w:b w:val="0"/>
          <w:bCs w:val="0"/>
          <w:u w:val="none"/>
          <w:rtl/>
        </w:rPr>
      </w:pPr>
      <w:r w:rsidRPr="00E03B76">
        <w:rPr>
          <w:rFonts w:hint="cs"/>
          <w:b w:val="0"/>
          <w:bCs w:val="0"/>
          <w:u w:val="none"/>
          <w:rtl/>
        </w:rPr>
        <w:t>הנאשם: נוכח</w:t>
      </w:r>
    </w:p>
    <w:p w14:paraId="5E7D9E7D" w14:textId="77777777" w:rsidR="00E44073" w:rsidRDefault="00E03B76">
      <w:pPr>
        <w:pStyle w:val="12"/>
        <w:rPr>
          <w:b w:val="0"/>
          <w:bCs w:val="0"/>
          <w:u w:val="none"/>
          <w:rtl/>
        </w:rPr>
      </w:pPr>
      <w:r w:rsidRPr="00E03B76">
        <w:rPr>
          <w:rFonts w:hint="cs"/>
          <w:b w:val="0"/>
          <w:bCs w:val="0"/>
          <w:u w:val="none"/>
          <w:rtl/>
        </w:rPr>
        <w:t>הסניגור: עו"ד יניב אביטן, מטעם הסניגוריה הציבורית</w:t>
      </w:r>
      <w:bookmarkStart w:id="3" w:name="LawTable"/>
      <w:bookmarkEnd w:id="3"/>
    </w:p>
    <w:p w14:paraId="143609CA" w14:textId="77777777" w:rsidR="00E44073" w:rsidRPr="00E44073" w:rsidRDefault="00E44073" w:rsidP="00E44073">
      <w:pPr>
        <w:pStyle w:val="12"/>
        <w:spacing w:after="120" w:line="240" w:lineRule="exact"/>
        <w:ind w:left="283" w:hanging="283"/>
        <w:jc w:val="both"/>
        <w:rPr>
          <w:rFonts w:ascii="FrankRuehl" w:hAnsi="FrankRuehl" w:cs="FrankRuehl"/>
          <w:b w:val="0"/>
          <w:bCs w:val="0"/>
          <w:u w:val="none"/>
          <w:rtl/>
        </w:rPr>
      </w:pPr>
    </w:p>
    <w:p w14:paraId="78223ED4" w14:textId="77777777" w:rsidR="00E44073" w:rsidRPr="00E44073" w:rsidRDefault="00E44073" w:rsidP="00E44073">
      <w:pPr>
        <w:pStyle w:val="12"/>
        <w:spacing w:after="120" w:line="240" w:lineRule="exact"/>
        <w:ind w:left="283" w:hanging="283"/>
        <w:jc w:val="both"/>
        <w:rPr>
          <w:rFonts w:ascii="FrankRuehl" w:hAnsi="FrankRuehl" w:cs="FrankRuehl"/>
          <w:b w:val="0"/>
          <w:bCs w:val="0"/>
          <w:u w:val="none"/>
          <w:rtl/>
        </w:rPr>
      </w:pPr>
      <w:r w:rsidRPr="00E44073">
        <w:rPr>
          <w:rFonts w:ascii="FrankRuehl" w:hAnsi="FrankRuehl" w:cs="FrankRuehl"/>
          <w:b w:val="0"/>
          <w:bCs w:val="0"/>
          <w:u w:val="none"/>
          <w:rtl/>
        </w:rPr>
        <w:t xml:space="preserve">חקיקה שאוזכרה: </w:t>
      </w:r>
    </w:p>
    <w:p w14:paraId="54D150E9" w14:textId="77777777" w:rsidR="00E44073" w:rsidRPr="00E44073" w:rsidRDefault="00E44073" w:rsidP="00E44073">
      <w:pPr>
        <w:pStyle w:val="12"/>
        <w:spacing w:after="120" w:line="240" w:lineRule="exact"/>
        <w:ind w:left="283" w:hanging="283"/>
        <w:jc w:val="both"/>
        <w:rPr>
          <w:rFonts w:ascii="FrankRuehl" w:hAnsi="FrankRuehl" w:cs="FrankRuehl"/>
          <w:b w:val="0"/>
          <w:bCs w:val="0"/>
          <w:u w:val="none"/>
          <w:rtl/>
        </w:rPr>
      </w:pPr>
      <w:hyperlink r:id="rId7" w:history="1">
        <w:r w:rsidRPr="00E44073">
          <w:rPr>
            <w:rFonts w:ascii="FrankRuehl" w:hAnsi="FrankRuehl" w:cs="FrankRuehl"/>
            <w:b w:val="0"/>
            <w:bCs w:val="0"/>
            <w:color w:val="0000FF"/>
            <w:rtl/>
          </w:rPr>
          <w:t>פקודת הסמים המסוכנים [נוסח חדש], תשל"ג-1973</w:t>
        </w:r>
      </w:hyperlink>
      <w:r w:rsidRPr="00E44073">
        <w:rPr>
          <w:rFonts w:ascii="FrankRuehl" w:hAnsi="FrankRuehl" w:cs="FrankRuehl"/>
          <w:b w:val="0"/>
          <w:bCs w:val="0"/>
          <w:u w:val="none"/>
          <w:rtl/>
        </w:rPr>
        <w:t xml:space="preserve">: סע'  </w:t>
      </w:r>
      <w:hyperlink r:id="rId8" w:history="1">
        <w:r w:rsidRPr="00E44073">
          <w:rPr>
            <w:rFonts w:ascii="FrankRuehl" w:hAnsi="FrankRuehl" w:cs="FrankRuehl"/>
            <w:b w:val="0"/>
            <w:bCs w:val="0"/>
            <w:color w:val="0000FF"/>
            <w:rtl/>
          </w:rPr>
          <w:t>7.א.</w:t>
        </w:r>
      </w:hyperlink>
      <w:r w:rsidRPr="00E44073">
        <w:rPr>
          <w:rFonts w:ascii="FrankRuehl" w:hAnsi="FrankRuehl" w:cs="FrankRuehl"/>
          <w:b w:val="0"/>
          <w:bCs w:val="0"/>
          <w:u w:val="none"/>
          <w:rtl/>
        </w:rPr>
        <w:t xml:space="preserve">, </w:t>
      </w:r>
      <w:hyperlink r:id="rId9" w:history="1">
        <w:r w:rsidRPr="00E44073">
          <w:rPr>
            <w:rFonts w:ascii="FrankRuehl" w:hAnsi="FrankRuehl" w:cs="FrankRuehl"/>
            <w:b w:val="0"/>
            <w:bCs w:val="0"/>
            <w:color w:val="0000FF"/>
            <w:rtl/>
          </w:rPr>
          <w:t>7.ג</w:t>
        </w:r>
      </w:hyperlink>
      <w:r w:rsidRPr="00E44073">
        <w:rPr>
          <w:rFonts w:ascii="FrankRuehl" w:hAnsi="FrankRuehl" w:cs="FrankRuehl"/>
          <w:b w:val="0"/>
          <w:bCs w:val="0"/>
          <w:u w:val="none"/>
          <w:rtl/>
        </w:rPr>
        <w:t xml:space="preserve">, </w:t>
      </w:r>
      <w:hyperlink r:id="rId10" w:history="1">
        <w:r w:rsidRPr="00E44073">
          <w:rPr>
            <w:rFonts w:ascii="FrankRuehl" w:hAnsi="FrankRuehl" w:cs="FrankRuehl"/>
            <w:b w:val="0"/>
            <w:bCs w:val="0"/>
            <w:color w:val="0000FF"/>
            <w:rtl/>
          </w:rPr>
          <w:t>13</w:t>
        </w:r>
      </w:hyperlink>
      <w:r w:rsidRPr="00E44073">
        <w:rPr>
          <w:rFonts w:ascii="FrankRuehl" w:hAnsi="FrankRuehl" w:cs="FrankRuehl"/>
          <w:b w:val="0"/>
          <w:bCs w:val="0"/>
          <w:u w:val="none"/>
          <w:rtl/>
        </w:rPr>
        <w:t xml:space="preserve">, </w:t>
      </w:r>
      <w:hyperlink r:id="rId11" w:history="1">
        <w:r w:rsidRPr="00E44073">
          <w:rPr>
            <w:rFonts w:ascii="FrankRuehl" w:hAnsi="FrankRuehl" w:cs="FrankRuehl"/>
            <w:b w:val="0"/>
            <w:bCs w:val="0"/>
            <w:color w:val="0000FF"/>
            <w:rtl/>
          </w:rPr>
          <w:t>14</w:t>
        </w:r>
      </w:hyperlink>
      <w:r w:rsidRPr="00E44073">
        <w:rPr>
          <w:rFonts w:ascii="FrankRuehl" w:hAnsi="FrankRuehl" w:cs="FrankRuehl"/>
          <w:b w:val="0"/>
          <w:bCs w:val="0"/>
          <w:u w:val="none"/>
          <w:rtl/>
        </w:rPr>
        <w:t xml:space="preserve">, </w:t>
      </w:r>
      <w:hyperlink r:id="rId12" w:history="1">
        <w:r w:rsidRPr="00E44073">
          <w:rPr>
            <w:rFonts w:ascii="FrankRuehl" w:hAnsi="FrankRuehl" w:cs="FrankRuehl"/>
            <w:b w:val="0"/>
            <w:bCs w:val="0"/>
            <w:color w:val="0000FF"/>
            <w:rtl/>
          </w:rPr>
          <w:t>31(3)</w:t>
        </w:r>
      </w:hyperlink>
      <w:r w:rsidRPr="00E44073">
        <w:rPr>
          <w:rFonts w:ascii="FrankRuehl" w:hAnsi="FrankRuehl" w:cs="FrankRuehl"/>
          <w:b w:val="0"/>
          <w:bCs w:val="0"/>
          <w:u w:val="none"/>
          <w:rtl/>
        </w:rPr>
        <w:t xml:space="preserve">, </w:t>
      </w:r>
      <w:hyperlink r:id="rId13" w:history="1">
        <w:r w:rsidRPr="00E44073">
          <w:rPr>
            <w:rFonts w:ascii="FrankRuehl" w:hAnsi="FrankRuehl" w:cs="FrankRuehl"/>
            <w:b w:val="0"/>
            <w:bCs w:val="0"/>
            <w:color w:val="0000FF"/>
            <w:rtl/>
          </w:rPr>
          <w:t>37א(א)</w:t>
        </w:r>
      </w:hyperlink>
      <w:r w:rsidRPr="00E44073">
        <w:rPr>
          <w:rFonts w:ascii="FrankRuehl" w:hAnsi="FrankRuehl" w:cs="FrankRuehl"/>
          <w:b w:val="0"/>
          <w:bCs w:val="0"/>
          <w:u w:val="none"/>
          <w:rtl/>
        </w:rPr>
        <w:t xml:space="preserve">, </w:t>
      </w:r>
      <w:hyperlink r:id="rId14" w:history="1">
        <w:r w:rsidRPr="00E44073">
          <w:rPr>
            <w:rFonts w:ascii="FrankRuehl" w:hAnsi="FrankRuehl" w:cs="FrankRuehl"/>
            <w:b w:val="0"/>
            <w:bCs w:val="0"/>
            <w:color w:val="0000FF"/>
            <w:rtl/>
          </w:rPr>
          <w:t>37א(א)(1)</w:t>
        </w:r>
      </w:hyperlink>
    </w:p>
    <w:p w14:paraId="7D19EB42" w14:textId="77777777" w:rsidR="00E44073" w:rsidRPr="00E44073" w:rsidRDefault="00E44073" w:rsidP="00E44073">
      <w:pPr>
        <w:pStyle w:val="12"/>
        <w:spacing w:after="120" w:line="240" w:lineRule="exact"/>
        <w:ind w:left="283" w:hanging="283"/>
        <w:jc w:val="both"/>
        <w:rPr>
          <w:rFonts w:ascii="FrankRuehl" w:hAnsi="FrankRuehl" w:cs="FrankRuehl"/>
          <w:b w:val="0"/>
          <w:bCs w:val="0"/>
          <w:u w:val="none"/>
          <w:rtl/>
        </w:rPr>
      </w:pPr>
      <w:hyperlink r:id="rId15" w:history="1">
        <w:r w:rsidRPr="00E44073">
          <w:rPr>
            <w:rFonts w:ascii="FrankRuehl" w:hAnsi="FrankRuehl" w:cs="FrankRuehl"/>
            <w:b w:val="0"/>
            <w:bCs w:val="0"/>
            <w:color w:val="0000FF"/>
            <w:rtl/>
          </w:rPr>
          <w:t>חוק העונשין, תשל"ז-1977</w:t>
        </w:r>
      </w:hyperlink>
      <w:r w:rsidRPr="00E44073">
        <w:rPr>
          <w:rFonts w:ascii="FrankRuehl" w:hAnsi="FrankRuehl" w:cs="FrankRuehl"/>
          <w:b w:val="0"/>
          <w:bCs w:val="0"/>
          <w:u w:val="none"/>
          <w:rtl/>
        </w:rPr>
        <w:t xml:space="preserve">: סע'  </w:t>
      </w:r>
      <w:hyperlink r:id="rId16" w:history="1">
        <w:r w:rsidRPr="00E44073">
          <w:rPr>
            <w:rFonts w:ascii="FrankRuehl" w:hAnsi="FrankRuehl" w:cs="FrankRuehl"/>
            <w:b w:val="0"/>
            <w:bCs w:val="0"/>
            <w:color w:val="0000FF"/>
            <w:rtl/>
          </w:rPr>
          <w:t>40ג(א)</w:t>
        </w:r>
      </w:hyperlink>
      <w:r w:rsidRPr="00E44073">
        <w:rPr>
          <w:rFonts w:ascii="FrankRuehl" w:hAnsi="FrankRuehl" w:cs="FrankRuehl"/>
          <w:b w:val="0"/>
          <w:bCs w:val="0"/>
          <w:u w:val="none"/>
          <w:rtl/>
        </w:rPr>
        <w:t xml:space="preserve">, </w:t>
      </w:r>
      <w:hyperlink r:id="rId17" w:history="1">
        <w:r w:rsidRPr="00E44073">
          <w:rPr>
            <w:rFonts w:ascii="FrankRuehl" w:hAnsi="FrankRuehl" w:cs="FrankRuehl"/>
            <w:b w:val="0"/>
            <w:bCs w:val="0"/>
            <w:color w:val="0000FF"/>
            <w:rtl/>
          </w:rPr>
          <w:t>40ג(ב)</w:t>
        </w:r>
      </w:hyperlink>
      <w:r w:rsidRPr="00E44073">
        <w:rPr>
          <w:rFonts w:ascii="FrankRuehl" w:hAnsi="FrankRuehl" w:cs="FrankRuehl"/>
          <w:b w:val="0"/>
          <w:bCs w:val="0"/>
          <w:u w:val="none"/>
          <w:rtl/>
        </w:rPr>
        <w:t xml:space="preserve">, </w:t>
      </w:r>
      <w:hyperlink r:id="rId18" w:history="1">
        <w:r w:rsidRPr="00E44073">
          <w:rPr>
            <w:rFonts w:ascii="FrankRuehl" w:hAnsi="FrankRuehl" w:cs="FrankRuehl"/>
            <w:b w:val="0"/>
            <w:bCs w:val="0"/>
            <w:color w:val="0000FF"/>
            <w:rtl/>
          </w:rPr>
          <w:t>40ד(א)</w:t>
        </w:r>
      </w:hyperlink>
      <w:r w:rsidRPr="00E44073">
        <w:rPr>
          <w:rFonts w:ascii="FrankRuehl" w:hAnsi="FrankRuehl" w:cs="FrankRuehl"/>
          <w:b w:val="0"/>
          <w:bCs w:val="0"/>
          <w:u w:val="none"/>
          <w:rtl/>
        </w:rPr>
        <w:t xml:space="preserve">, </w:t>
      </w:r>
      <w:hyperlink r:id="rId19" w:history="1">
        <w:r w:rsidRPr="00E44073">
          <w:rPr>
            <w:rFonts w:ascii="FrankRuehl" w:hAnsi="FrankRuehl" w:cs="FrankRuehl"/>
            <w:b w:val="0"/>
            <w:bCs w:val="0"/>
            <w:color w:val="0000FF"/>
            <w:rtl/>
          </w:rPr>
          <w:t>40ה'</w:t>
        </w:r>
      </w:hyperlink>
      <w:r w:rsidRPr="00E44073">
        <w:rPr>
          <w:rFonts w:ascii="FrankRuehl" w:hAnsi="FrankRuehl" w:cs="FrankRuehl"/>
          <w:b w:val="0"/>
          <w:bCs w:val="0"/>
          <w:u w:val="none"/>
          <w:rtl/>
        </w:rPr>
        <w:t xml:space="preserve">, </w:t>
      </w:r>
      <w:hyperlink r:id="rId20" w:history="1">
        <w:r w:rsidRPr="00E44073">
          <w:rPr>
            <w:rFonts w:ascii="FrankRuehl" w:hAnsi="FrankRuehl" w:cs="FrankRuehl"/>
            <w:b w:val="0"/>
            <w:bCs w:val="0"/>
            <w:color w:val="0000FF"/>
            <w:rtl/>
          </w:rPr>
          <w:t>א' 1 לפרק ו'</w:t>
        </w:r>
      </w:hyperlink>
    </w:p>
    <w:p w14:paraId="66634367" w14:textId="77777777" w:rsidR="00E44073" w:rsidRPr="00E44073" w:rsidRDefault="00E44073" w:rsidP="00E44073">
      <w:pPr>
        <w:pStyle w:val="12"/>
        <w:spacing w:after="120" w:line="240" w:lineRule="exact"/>
        <w:ind w:left="283" w:hanging="283"/>
        <w:jc w:val="both"/>
        <w:rPr>
          <w:rFonts w:ascii="FrankRuehl" w:hAnsi="FrankRuehl" w:cs="FrankRuehl"/>
          <w:b w:val="0"/>
          <w:bCs w:val="0"/>
          <w:u w:val="none"/>
          <w:rtl/>
        </w:rPr>
      </w:pPr>
    </w:p>
    <w:p w14:paraId="091DAD26" w14:textId="77777777" w:rsidR="00E44073" w:rsidRPr="00E44073" w:rsidRDefault="00E44073">
      <w:pPr>
        <w:pStyle w:val="12"/>
        <w:rPr>
          <w:b w:val="0"/>
          <w:bCs w:val="0"/>
          <w:u w:val="none"/>
          <w:rtl/>
        </w:rPr>
      </w:pPr>
      <w:bookmarkStart w:id="4" w:name="LawTable_End"/>
      <w:bookmarkEnd w:id="4"/>
    </w:p>
    <w:p w14:paraId="52883F67" w14:textId="77777777" w:rsidR="00E44073" w:rsidRPr="00E44073" w:rsidRDefault="00E44073">
      <w:pPr>
        <w:pStyle w:val="12"/>
        <w:rPr>
          <w:b w:val="0"/>
          <w:bCs w:val="0"/>
          <w:u w:val="none"/>
          <w:rtl/>
        </w:rPr>
      </w:pPr>
    </w:p>
    <w:p w14:paraId="4FF53FE3" w14:textId="77777777" w:rsidR="00850D76" w:rsidRPr="00E44073" w:rsidRDefault="00850D76">
      <w:pPr>
        <w:pStyle w:val="12"/>
        <w:rPr>
          <w:b w:val="0"/>
          <w:bCs w:val="0"/>
          <w:u w:val="none"/>
          <w:rtl/>
        </w:rPr>
      </w:pPr>
    </w:p>
    <w:p w14:paraId="0EA0CFC5" w14:textId="77777777" w:rsidR="002A524F" w:rsidRPr="002A524F" w:rsidRDefault="002A524F">
      <w:pPr>
        <w:spacing w:line="360" w:lineRule="auto"/>
        <w:jc w:val="both"/>
        <w:rPr>
          <w:rFonts w:ascii="Arial" w:hAnsi="Arial"/>
          <w:rtl/>
        </w:rPr>
      </w:pPr>
    </w:p>
    <w:p w14:paraId="4A4F660C" w14:textId="77777777" w:rsidR="002A524F" w:rsidRPr="002A524F" w:rsidRDefault="002A524F">
      <w:pPr>
        <w:spacing w:line="360" w:lineRule="auto"/>
        <w:jc w:val="both"/>
        <w:rPr>
          <w:rFonts w:ascii="Arial" w:hAnsi="Arial"/>
          <w:rtl/>
        </w:rPr>
      </w:pPr>
    </w:p>
    <w:p w14:paraId="630ABE03" w14:textId="77777777" w:rsidR="00850D76" w:rsidRPr="002A524F" w:rsidRDefault="00850D76">
      <w:pPr>
        <w:spacing w:line="360" w:lineRule="auto"/>
        <w:jc w:val="both"/>
        <w:rPr>
          <w:rFonts w:ascii="Arial" w:hAnsi="Arial"/>
          <w:rtl/>
        </w:rPr>
      </w:pPr>
    </w:p>
    <w:p w14:paraId="2E286942" w14:textId="77777777" w:rsidR="00E03B76" w:rsidRPr="00E03B76" w:rsidRDefault="00E03B76" w:rsidP="00E03B76">
      <w:pPr>
        <w:spacing w:line="360" w:lineRule="auto"/>
        <w:jc w:val="center"/>
        <w:rPr>
          <w:rFonts w:ascii="Arial" w:hAnsi="Arial"/>
          <w:b/>
          <w:bCs/>
          <w:sz w:val="28"/>
          <w:szCs w:val="28"/>
          <w:u w:val="single"/>
          <w:rtl/>
        </w:rPr>
      </w:pPr>
      <w:bookmarkStart w:id="5" w:name="PsakDin"/>
      <w:r w:rsidRPr="00E03B76">
        <w:rPr>
          <w:rFonts w:ascii="Arial" w:hAnsi="Arial"/>
          <w:b/>
          <w:bCs/>
          <w:sz w:val="28"/>
          <w:szCs w:val="28"/>
          <w:u w:val="single"/>
          <w:rtl/>
        </w:rPr>
        <w:t>גזר דין</w:t>
      </w:r>
    </w:p>
    <w:bookmarkEnd w:id="5"/>
    <w:p w14:paraId="5F5ADF98" w14:textId="77777777" w:rsidR="00850D76" w:rsidRDefault="00850D76">
      <w:pPr>
        <w:spacing w:line="360" w:lineRule="auto"/>
        <w:jc w:val="both"/>
        <w:rPr>
          <w:rtl/>
        </w:rPr>
      </w:pPr>
    </w:p>
    <w:p w14:paraId="3C40A329" w14:textId="77777777" w:rsidR="00850D76" w:rsidRDefault="00E03B76">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בתאריך 14/7/11 החזיק הנאשם 2.347 גרם נטו של סם מסוכן מסוג הרואין, כשהוא מחולק לחמש אריזות סגורות בחום (להלן: "הסם"), אותן הוא הטמין באדמה, ליד הרפת שבמתחם  המגורים של משפחת עבאס, בכפר מכר. לכן הוגש נגדו כתב אישום, בתיק שבפניי, בו </w:t>
      </w:r>
      <w:r w:rsidR="00E44073">
        <w:rPr>
          <w:rFonts w:ascii="Arial" w:hAnsi="Arial" w:hint="cs"/>
          <w:rtl/>
        </w:rPr>
        <w:t xml:space="preserve">יוחס לו ביצוע עבירה  לפי סעיף </w:t>
      </w:r>
      <w:hyperlink r:id="rId21" w:history="1">
        <w:r w:rsidR="00E44073" w:rsidRPr="00E44073">
          <w:rPr>
            <w:rFonts w:ascii="Arial" w:hAnsi="Arial"/>
            <w:color w:val="0000FF"/>
            <w:u w:val="single"/>
            <w:rtl/>
          </w:rPr>
          <w:t xml:space="preserve">7(א) + (ג) </w:t>
        </w:r>
      </w:hyperlink>
      <w:r>
        <w:rPr>
          <w:rFonts w:ascii="Arial" w:hAnsi="Arial" w:hint="cs"/>
          <w:rtl/>
        </w:rPr>
        <w:t xml:space="preserve">  ריישא ל</w:t>
      </w:r>
      <w:hyperlink r:id="rId22" w:history="1">
        <w:r w:rsidR="002A524F" w:rsidRPr="002A524F">
          <w:rPr>
            <w:rStyle w:val="Hyperlink"/>
            <w:rFonts w:ascii="Arial" w:hAnsi="Arial"/>
            <w:rtl/>
          </w:rPr>
          <w:t>פקודת  הסמים המסוכנים</w:t>
        </w:r>
      </w:hyperlink>
      <w:r>
        <w:rPr>
          <w:rFonts w:ascii="Arial" w:hAnsi="Arial" w:hint="cs"/>
          <w:rtl/>
        </w:rPr>
        <w:t xml:space="preserve"> [נוסח חדש], תשל"ג – 1973 (להלן: "פקודת הסמים"). </w:t>
      </w:r>
      <w:bookmarkStart w:id="7" w:name="ABSTRACT_END"/>
      <w:bookmarkEnd w:id="7"/>
    </w:p>
    <w:p w14:paraId="16C026AD" w14:textId="77777777" w:rsidR="00850D76" w:rsidRDefault="00850D76">
      <w:pPr>
        <w:spacing w:line="360" w:lineRule="auto"/>
        <w:ind w:left="720" w:hanging="720"/>
        <w:jc w:val="both"/>
        <w:rPr>
          <w:rFonts w:ascii="Arial" w:hAnsi="Arial"/>
          <w:rtl/>
        </w:rPr>
      </w:pPr>
    </w:p>
    <w:p w14:paraId="649878F6" w14:textId="77777777" w:rsidR="00850D76" w:rsidRDefault="00E03B76">
      <w:pPr>
        <w:spacing w:line="360" w:lineRule="auto"/>
        <w:ind w:left="720" w:hanging="720"/>
        <w:jc w:val="both"/>
        <w:rPr>
          <w:rFonts w:ascii="Arial" w:hAnsi="Arial"/>
          <w:rtl/>
        </w:rPr>
      </w:pPr>
      <w:r>
        <w:rPr>
          <w:rFonts w:ascii="Arial" w:hAnsi="Arial" w:hint="cs"/>
          <w:rtl/>
        </w:rPr>
        <w:t>2.</w:t>
      </w:r>
      <w:r>
        <w:rPr>
          <w:rFonts w:ascii="Arial" w:hAnsi="Arial" w:hint="cs"/>
          <w:rtl/>
        </w:rPr>
        <w:tab/>
        <w:t xml:space="preserve">בישיבת ההקראה הודה הנאשם בהחזקת הסם במועד, במקום ובכמויות שצויינו בכתב האישום, אולם טען כי החזיק  בסם לצריכתו העצמית בלבד.  לכן נקבע התיק להוכחות. </w:t>
      </w:r>
    </w:p>
    <w:p w14:paraId="48656576" w14:textId="77777777" w:rsidR="00850D76" w:rsidRDefault="00850D76">
      <w:pPr>
        <w:spacing w:line="360" w:lineRule="auto"/>
        <w:ind w:left="720" w:hanging="720"/>
        <w:jc w:val="both"/>
        <w:rPr>
          <w:rFonts w:ascii="Arial" w:hAnsi="Arial"/>
          <w:rtl/>
        </w:rPr>
      </w:pPr>
    </w:p>
    <w:p w14:paraId="74F22F83" w14:textId="77777777" w:rsidR="00850D76" w:rsidRDefault="00E03B76">
      <w:pPr>
        <w:spacing w:line="360" w:lineRule="auto"/>
        <w:ind w:left="720" w:hanging="720"/>
        <w:jc w:val="both"/>
        <w:rPr>
          <w:rFonts w:ascii="Arial" w:hAnsi="Arial"/>
          <w:rtl/>
        </w:rPr>
      </w:pPr>
      <w:r>
        <w:rPr>
          <w:rFonts w:ascii="Arial" w:hAnsi="Arial" w:hint="cs"/>
          <w:rtl/>
        </w:rPr>
        <w:t>88</w:t>
      </w:r>
      <w:r>
        <w:rPr>
          <w:rFonts w:ascii="Arial" w:hAnsi="Arial" w:hint="cs"/>
          <w:rtl/>
        </w:rPr>
        <w:tab/>
        <w:t>לאור משקל ה</w:t>
      </w:r>
      <w:r w:rsidR="00E44073">
        <w:rPr>
          <w:rFonts w:ascii="Arial" w:hAnsi="Arial" w:hint="cs"/>
          <w:rtl/>
        </w:rPr>
        <w:t xml:space="preserve">סם  ולאור החזקה שנקבעה בסעיף </w:t>
      </w:r>
      <w:hyperlink r:id="rId23" w:history="1">
        <w:r w:rsidR="00E44073" w:rsidRPr="00E44073">
          <w:rPr>
            <w:rFonts w:ascii="Arial" w:hAnsi="Arial"/>
            <w:color w:val="0000FF"/>
            <w:u w:val="single"/>
            <w:rtl/>
          </w:rPr>
          <w:t>31(3)</w:t>
        </w:r>
      </w:hyperlink>
      <w:r>
        <w:rPr>
          <w:rFonts w:ascii="Arial" w:hAnsi="Arial" w:hint="cs"/>
          <w:rtl/>
        </w:rPr>
        <w:t xml:space="preserve"> לפקודת הסמים, על הנאשם היה להוכיח את טענתו כי החזיק בסם לצריכה עצמית בלבד. בהכרעת הדין, שניתנה ביום </w:t>
      </w:r>
      <w:r>
        <w:rPr>
          <w:rFonts w:ascii="Arial" w:hAnsi="Arial" w:hint="cs"/>
          <w:rtl/>
        </w:rPr>
        <w:lastRenderedPageBreak/>
        <w:t>17/1/13, קבעתי כי לא עלה בידי הנאשם להוכיח את טענתו הנ"ל ולכן הרשעתי אותו בביצוע העבירה שיוחסה לו בכתב האישום.</w:t>
      </w:r>
    </w:p>
    <w:p w14:paraId="0A15B805" w14:textId="77777777" w:rsidR="00850D76" w:rsidRDefault="00850D76">
      <w:pPr>
        <w:spacing w:line="360" w:lineRule="auto"/>
        <w:ind w:left="720" w:hanging="720"/>
        <w:jc w:val="both"/>
        <w:rPr>
          <w:rFonts w:ascii="Arial" w:hAnsi="Arial"/>
          <w:rtl/>
        </w:rPr>
      </w:pPr>
    </w:p>
    <w:p w14:paraId="7E413C01" w14:textId="77777777" w:rsidR="00850D76" w:rsidRDefault="00E03B76">
      <w:pPr>
        <w:spacing w:line="360" w:lineRule="auto"/>
        <w:ind w:left="720" w:hanging="720"/>
        <w:jc w:val="both"/>
        <w:rPr>
          <w:rFonts w:ascii="Arial" w:hAnsi="Arial"/>
          <w:rtl/>
        </w:rPr>
      </w:pPr>
      <w:r>
        <w:rPr>
          <w:rFonts w:ascii="Arial" w:hAnsi="Arial" w:hint="cs"/>
          <w:rtl/>
        </w:rPr>
        <w:t>3.</w:t>
      </w:r>
      <w:r>
        <w:rPr>
          <w:rFonts w:ascii="Arial" w:hAnsi="Arial" w:hint="cs"/>
          <w:rtl/>
        </w:rPr>
        <w:tab/>
        <w:t>בישיבת יום 27/2/13 טענו הצדדים לעונש.</w:t>
      </w:r>
    </w:p>
    <w:p w14:paraId="27A7E84D" w14:textId="77777777" w:rsidR="00850D76" w:rsidRDefault="00850D76">
      <w:pPr>
        <w:spacing w:line="360" w:lineRule="auto"/>
        <w:ind w:left="720" w:hanging="720"/>
        <w:jc w:val="both"/>
        <w:rPr>
          <w:rFonts w:ascii="Arial" w:hAnsi="Arial"/>
          <w:rtl/>
        </w:rPr>
      </w:pPr>
    </w:p>
    <w:p w14:paraId="6F87A836" w14:textId="77777777" w:rsidR="00850D76" w:rsidRDefault="00E44073">
      <w:pPr>
        <w:overflowPunct w:val="0"/>
        <w:autoSpaceDE w:val="0"/>
        <w:autoSpaceDN w:val="0"/>
        <w:adjustRightInd w:val="0"/>
        <w:spacing w:line="360" w:lineRule="auto"/>
        <w:ind w:left="720"/>
        <w:jc w:val="both"/>
        <w:rPr>
          <w:rFonts w:ascii="Times New Roman" w:hAnsi="Times New Roman"/>
          <w:rtl/>
        </w:rPr>
      </w:pPr>
      <w:r>
        <w:rPr>
          <w:rFonts w:hint="cs"/>
          <w:rtl/>
        </w:rPr>
        <w:t xml:space="preserve">לאור הוראות סעיף </w:t>
      </w:r>
      <w:hyperlink r:id="rId24" w:history="1">
        <w:r w:rsidRPr="00E44073">
          <w:rPr>
            <w:color w:val="0000FF"/>
            <w:u w:val="single"/>
            <w:rtl/>
          </w:rPr>
          <w:t>40ג(א)</w:t>
        </w:r>
      </w:hyperlink>
      <w:r w:rsidR="00E03B76">
        <w:rPr>
          <w:rFonts w:hint="cs"/>
          <w:rtl/>
        </w:rPr>
        <w:t xml:space="preserve"> ל</w:t>
      </w:r>
      <w:hyperlink r:id="rId25" w:history="1">
        <w:r w:rsidR="002A524F" w:rsidRPr="002A524F">
          <w:rPr>
            <w:rStyle w:val="Hyperlink"/>
            <w:rtl/>
          </w:rPr>
          <w:t>חוק העונשין</w:t>
        </w:r>
      </w:hyperlink>
      <w:r w:rsidR="00E03B76">
        <w:rPr>
          <w:rFonts w:hint="cs"/>
          <w:rtl/>
        </w:rPr>
        <w:t>, תשל"ז – 1977 (להלן: "חוק העונשין"), הכלול ב</w:t>
      </w:r>
      <w:hyperlink r:id="rId26" w:history="1">
        <w:r w:rsidRPr="00E44073">
          <w:rPr>
            <w:color w:val="0000FF"/>
            <w:u w:val="single"/>
            <w:rtl/>
          </w:rPr>
          <w:t>סימן א' 1 לפרק ו'</w:t>
        </w:r>
      </w:hyperlink>
      <w:r w:rsidR="00E03B76">
        <w:rPr>
          <w:rFonts w:hint="cs"/>
          <w:rtl/>
        </w:rPr>
        <w:t xml:space="preserve"> לחוק העונשין, שהוסף לחוק העונשין בתיקון מס' 113,  שומה על בימ"ש הגוזר את דינו  של נאשם שעניינו נדון בפניו, לקבוע תחילה את מתחם העונש ההולם למעשה העבירה שבביצועה הורשע הנאשם (להלן: "המתחם"), בשים לב לעקרון  המנחה (היינו, קיומו של יחס  הולם בין חומרת  מעשה העבירה בנסיבותיו ומידת אשמו של  הנאשם ובין סוג ומידת העונש המוטל על הנאשם) ובהתחשב בערך החברתי שנפגע מביצוע העבירה, במידת  הפגיעה בערך החברתי, במדיניות הענישה  הנהוגה בסוג זה של עבירות ובנסיבות הקשורות בביצוע העבירה,</w:t>
      </w:r>
      <w:r w:rsidR="00E03B76">
        <w:rPr>
          <w:rFonts w:ascii="Arial" w:hAnsi="Arial" w:hint="cs"/>
          <w:rtl/>
        </w:rPr>
        <w:t xml:space="preserve"> </w:t>
      </w:r>
      <w:r w:rsidR="00E03B76">
        <w:rPr>
          <w:rFonts w:hint="cs"/>
          <w:rtl/>
        </w:rPr>
        <w:t>ככל שביהמ"ש סבור שנסיבות אלה משפיעות על חומרת מעשה העבירה ועל אשמו של הנאשם, שאת דינו גוזר בית המשפט.</w:t>
      </w:r>
    </w:p>
    <w:p w14:paraId="424D2271" w14:textId="77777777" w:rsidR="00850D76" w:rsidRDefault="00850D76">
      <w:pPr>
        <w:spacing w:line="360" w:lineRule="auto"/>
        <w:ind w:left="720" w:hanging="720"/>
        <w:jc w:val="both"/>
        <w:rPr>
          <w:rFonts w:ascii="Arial" w:hAnsi="Arial"/>
        </w:rPr>
      </w:pPr>
    </w:p>
    <w:p w14:paraId="242F2896" w14:textId="77777777" w:rsidR="00850D76" w:rsidRDefault="00E03B76">
      <w:pPr>
        <w:spacing w:line="360" w:lineRule="auto"/>
        <w:ind w:left="720" w:hanging="720"/>
        <w:jc w:val="both"/>
        <w:rPr>
          <w:rFonts w:ascii="Arial" w:hAnsi="Arial"/>
          <w:rtl/>
        </w:rPr>
      </w:pPr>
      <w:r>
        <w:rPr>
          <w:rFonts w:ascii="Arial" w:hAnsi="Arial" w:hint="cs"/>
          <w:rtl/>
        </w:rPr>
        <w:tab/>
        <w:t xml:space="preserve">במסגרת טיעוניו לעונש, שהוגשו שבכתב,  טען ב"כ המאשימה כי המתחם, בנסיבות תיק זה, נע בין 6 ל- 12 חודשי מאסר בפועל + מאסר על תנאי + קנס + פסילת רשיון נהיגה. זאת מהטעמים אותם פירט בהרחבה. </w:t>
      </w:r>
    </w:p>
    <w:p w14:paraId="4034CCAC" w14:textId="77777777" w:rsidR="00850D76" w:rsidRDefault="00850D76">
      <w:pPr>
        <w:spacing w:line="360" w:lineRule="auto"/>
        <w:ind w:left="720" w:hanging="720"/>
        <w:jc w:val="both"/>
        <w:rPr>
          <w:rFonts w:ascii="Arial" w:hAnsi="Arial"/>
          <w:rtl/>
        </w:rPr>
      </w:pPr>
    </w:p>
    <w:p w14:paraId="449CB594" w14:textId="77777777" w:rsidR="00850D76" w:rsidRDefault="00E03B76">
      <w:pPr>
        <w:spacing w:line="360" w:lineRule="auto"/>
        <w:ind w:left="720" w:hanging="720"/>
        <w:jc w:val="both"/>
        <w:rPr>
          <w:rFonts w:ascii="Arial" w:hAnsi="Arial"/>
          <w:rtl/>
        </w:rPr>
      </w:pPr>
      <w:r>
        <w:rPr>
          <w:rFonts w:ascii="Arial" w:hAnsi="Arial" w:hint="cs"/>
          <w:rtl/>
        </w:rPr>
        <w:tab/>
        <w:t xml:space="preserve">הסניגור, לעומתו, טען כי המתחם נע בין מאסר על תנאי למאסר בפועל של מספר חודשים, מבלי שטרח לנמק מדוע. </w:t>
      </w:r>
    </w:p>
    <w:p w14:paraId="4AEED977" w14:textId="77777777" w:rsidR="00850D76" w:rsidRDefault="00850D76">
      <w:pPr>
        <w:spacing w:line="360" w:lineRule="auto"/>
        <w:ind w:left="720" w:hanging="720"/>
        <w:jc w:val="both"/>
        <w:rPr>
          <w:rFonts w:ascii="Arial" w:hAnsi="Arial"/>
          <w:rtl/>
        </w:rPr>
      </w:pPr>
    </w:p>
    <w:p w14:paraId="481976E2" w14:textId="77777777" w:rsidR="00850D76" w:rsidRDefault="00E03B76">
      <w:pPr>
        <w:spacing w:line="360" w:lineRule="auto"/>
        <w:ind w:left="720" w:hanging="720"/>
        <w:jc w:val="both"/>
        <w:rPr>
          <w:rFonts w:ascii="Arial" w:hAnsi="Arial"/>
          <w:rtl/>
        </w:rPr>
      </w:pPr>
      <w:r>
        <w:rPr>
          <w:rFonts w:ascii="Arial" w:hAnsi="Arial" w:hint="cs"/>
          <w:rtl/>
        </w:rPr>
        <w:tab/>
        <w:t>אין חולקין באשר לחומרת העבירה בה הורשע הנאשם ובאשר  לצורך בענישה  מחמירה כדי להילחם בנגע הסמים, שפשט ופשה במקומותינו והפוגע בכל חלקה  טובה. יפים לעניין זה דברי כב' השופט מר סלים ג'ובראן ב</w:t>
      </w:r>
      <w:hyperlink r:id="rId27" w:history="1">
        <w:r w:rsidR="002A524F" w:rsidRPr="002A524F">
          <w:rPr>
            <w:rStyle w:val="Hyperlink"/>
            <w:rFonts w:ascii="Arial" w:hAnsi="Arial"/>
            <w:rtl/>
          </w:rPr>
          <w:t>ע"פ 9482/09</w:t>
        </w:r>
      </w:hyperlink>
      <w:r>
        <w:rPr>
          <w:rFonts w:ascii="Arial" w:hAnsi="Arial" w:hint="cs"/>
          <w:rtl/>
        </w:rPr>
        <w:t xml:space="preserve"> שמעון ביטון נ. מדינת ישראל, סעיף 24, (פורסם בנבו), לפיהם,</w:t>
      </w:r>
    </w:p>
    <w:p w14:paraId="13F28EFA" w14:textId="77777777" w:rsidR="00850D76" w:rsidRDefault="00E03B76">
      <w:pPr>
        <w:spacing w:line="360" w:lineRule="auto"/>
        <w:ind w:left="1440"/>
        <w:jc w:val="both"/>
        <w:rPr>
          <w:rFonts w:ascii="Arial" w:hAnsi="Arial"/>
          <w:rtl/>
        </w:rPr>
      </w:pPr>
      <w:r>
        <w:rPr>
          <w:rFonts w:ascii="Arial" w:hAnsi="Arial" w:hint="cs"/>
          <w:rtl/>
        </w:rPr>
        <w:t>"...נגע הסמים הפוגע קשות בחברתנו מחייב מלחמת חורמה והעונשים שייגזרו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היתרה שאנו מייחסים להפצת הסמים, ולהרתיע עבריינים בכח מלשלוח ידם בפעילות ההפצה. שתי תכליות מרכזיות אלו ניתן להשיג רק על ידי הטלת עונשים חמורים (</w:t>
      </w:r>
      <w:hyperlink r:id="rId28" w:history="1">
        <w:r w:rsidR="002A524F" w:rsidRPr="002A524F">
          <w:rPr>
            <w:rStyle w:val="Hyperlink"/>
            <w:rFonts w:ascii="Arial" w:hAnsi="Arial"/>
            <w:rtl/>
          </w:rPr>
          <w:t>ע"פ 966/94</w:t>
        </w:r>
      </w:hyperlink>
      <w:r>
        <w:rPr>
          <w:rFonts w:ascii="Arial" w:hAnsi="Arial" w:hint="cs"/>
          <w:rtl/>
        </w:rPr>
        <w:t>, אמזלג נ. מדינת ישראל...)' ".</w:t>
      </w:r>
    </w:p>
    <w:p w14:paraId="5B63BC40" w14:textId="77777777" w:rsidR="00850D76" w:rsidRDefault="00850D76">
      <w:pPr>
        <w:spacing w:line="360" w:lineRule="auto"/>
        <w:jc w:val="both"/>
        <w:rPr>
          <w:rFonts w:ascii="Arial" w:hAnsi="Arial"/>
          <w:rtl/>
        </w:rPr>
      </w:pPr>
    </w:p>
    <w:p w14:paraId="1C39BC44" w14:textId="77777777" w:rsidR="00850D76" w:rsidRDefault="00E03B76">
      <w:pPr>
        <w:spacing w:line="360" w:lineRule="auto"/>
        <w:ind w:left="720"/>
        <w:jc w:val="both"/>
        <w:rPr>
          <w:rFonts w:ascii="Arial" w:hAnsi="Arial"/>
          <w:rtl/>
        </w:rPr>
      </w:pPr>
      <w:r>
        <w:rPr>
          <w:rFonts w:ascii="Arial" w:hAnsi="Arial" w:hint="cs"/>
          <w:rtl/>
        </w:rPr>
        <w:t xml:space="preserve">בהתחשב בחומרת העבירה, נסיבות ביצועה כעולה מהכרעת הדין, סוג הסם, משקלו היחסית נמוך, הנזק שהיה עלול להיגרם לציבור הרחב אם הסם היה מופץ ע"י הנאשם </w:t>
      </w:r>
      <w:r>
        <w:rPr>
          <w:rFonts w:ascii="Arial" w:hAnsi="Arial" w:hint="cs"/>
          <w:rtl/>
        </w:rPr>
        <w:lastRenderedPageBreak/>
        <w:t>ומדיניות הענישה הנהוגה בסוג זה של עבירות, חסד עשה ב"כ המאשימה עת טען כי המתחם נע בין 6 ל- 12 חודשי מאסר בפועל בלבד, שכן לטעמי הרף העליון של המתחם אמור להיות הרבה יותר גבוה מ- 12 חודשים. מאחר שאין זו דרכו של ביהמ"ש להחמיר מעבר לנדרש ע"י התביעה, אני מאמץ את המתחם לו טען ב"כ המאשימה.</w:t>
      </w:r>
    </w:p>
    <w:p w14:paraId="6DF84E73" w14:textId="77777777" w:rsidR="00850D76" w:rsidRDefault="00850D76">
      <w:pPr>
        <w:spacing w:line="360" w:lineRule="auto"/>
        <w:jc w:val="both"/>
        <w:rPr>
          <w:rFonts w:ascii="Arial" w:hAnsi="Arial"/>
          <w:rtl/>
        </w:rPr>
      </w:pPr>
    </w:p>
    <w:p w14:paraId="69E67222" w14:textId="77777777" w:rsidR="00850D76" w:rsidRDefault="00E03B76">
      <w:pPr>
        <w:spacing w:line="360" w:lineRule="auto"/>
        <w:ind w:left="720" w:hanging="720"/>
        <w:jc w:val="both"/>
        <w:rPr>
          <w:rFonts w:ascii="Arial" w:hAnsi="Arial"/>
          <w:rtl/>
        </w:rPr>
      </w:pPr>
      <w:r>
        <w:rPr>
          <w:rFonts w:ascii="Arial" w:hAnsi="Arial" w:hint="cs"/>
          <w:rtl/>
        </w:rPr>
        <w:t>4.</w:t>
      </w:r>
      <w:r>
        <w:rPr>
          <w:rFonts w:ascii="Arial" w:hAnsi="Arial" w:hint="cs"/>
          <w:rtl/>
        </w:rPr>
        <w:tab/>
        <w:t>בטיעוניו לעונש עתר ב"כ המאשימה להטיל על הנאשם עונש שיהיה ברף הגבוה של המתחם לו טען, קרי: מאסר בפועל לתקופה של 12 חודשים + מאסר על תנאי + קנס + פסילת רשיון נהיגה. זאת לאור חומרת העבירה, כמצויין לעיל ועברו של הנאשם.</w:t>
      </w:r>
    </w:p>
    <w:p w14:paraId="48B572F8" w14:textId="77777777" w:rsidR="00850D76" w:rsidRDefault="00850D76">
      <w:pPr>
        <w:spacing w:line="360" w:lineRule="auto"/>
        <w:ind w:left="720" w:hanging="720"/>
        <w:jc w:val="both"/>
        <w:rPr>
          <w:rFonts w:ascii="Arial" w:hAnsi="Arial"/>
          <w:rtl/>
        </w:rPr>
      </w:pPr>
    </w:p>
    <w:p w14:paraId="74086E28" w14:textId="77777777" w:rsidR="00850D76" w:rsidRDefault="00E03B76">
      <w:pPr>
        <w:spacing w:line="360" w:lineRule="auto"/>
        <w:ind w:left="720" w:hanging="720"/>
        <w:jc w:val="both"/>
        <w:rPr>
          <w:rFonts w:ascii="Arial" w:hAnsi="Arial"/>
          <w:rtl/>
        </w:rPr>
      </w:pPr>
      <w:r>
        <w:rPr>
          <w:rFonts w:ascii="Arial" w:hAnsi="Arial" w:hint="cs"/>
          <w:rtl/>
        </w:rPr>
        <w:tab/>
        <w:t>הסניגור, לעומתו, ביקש להסתפק בעונש מותנה. זאת לאור נסיבותיו האישיות של הנאשם, שהחיים לא האירו לו פנים, היותו מכור במשך שנים ארוכות לסמים קשים, שחייו "סובבים את הדרך והאופן בו הוא יכול להשיג כסף כלשהו על מנת לרכוש את מנת הסם הבאה שהוא זקוק לה".</w:t>
      </w:r>
    </w:p>
    <w:p w14:paraId="0276DB1D" w14:textId="77777777" w:rsidR="00850D76" w:rsidRDefault="00850D76">
      <w:pPr>
        <w:spacing w:line="360" w:lineRule="auto"/>
        <w:ind w:left="720" w:hanging="720"/>
        <w:jc w:val="both"/>
        <w:rPr>
          <w:rFonts w:ascii="Arial" w:hAnsi="Arial"/>
          <w:rtl/>
        </w:rPr>
      </w:pPr>
    </w:p>
    <w:p w14:paraId="24C08E46" w14:textId="77777777" w:rsidR="00850D76" w:rsidRDefault="00E03B76">
      <w:pPr>
        <w:pStyle w:val="a7"/>
        <w:spacing w:line="360" w:lineRule="auto"/>
        <w:rPr>
          <w:rtl/>
        </w:rPr>
      </w:pPr>
      <w:r>
        <w:rPr>
          <w:rFonts w:hint="cs"/>
          <w:rtl/>
        </w:rPr>
        <w:tab/>
        <w:t xml:space="preserve">שמעתי גם את הנאשם עצמו, שציין כי הוא אב ל- 5 ילדים, כי הוא כל הזמן בסמים וכי לא ראה בחייו יום לבן. הכל שחור. הוא הביע רצון לצאת מעולם הסמים תוך שציין כי אינו יודע איך לעשות זאת.  הנאשם ביקש כי יינתן לו צ'אנס ואז הוא יעזור לעצמו. </w:t>
      </w:r>
    </w:p>
    <w:p w14:paraId="0A1EE9C1" w14:textId="77777777" w:rsidR="00850D76" w:rsidRDefault="00850D76">
      <w:pPr>
        <w:spacing w:line="360" w:lineRule="auto"/>
        <w:ind w:left="720" w:hanging="720"/>
        <w:jc w:val="both"/>
        <w:rPr>
          <w:rFonts w:ascii="Arial" w:hAnsi="Arial"/>
          <w:rtl/>
        </w:rPr>
      </w:pPr>
    </w:p>
    <w:p w14:paraId="5EFA3ED1" w14:textId="77777777" w:rsidR="00850D76" w:rsidRDefault="00E44073">
      <w:pPr>
        <w:spacing w:line="360" w:lineRule="auto"/>
        <w:ind w:left="720"/>
        <w:jc w:val="both"/>
        <w:rPr>
          <w:rFonts w:ascii="Times New Roman" w:hAnsi="Times New Roman"/>
          <w:rtl/>
        </w:rPr>
      </w:pPr>
      <w:r>
        <w:rPr>
          <w:rFonts w:hint="cs"/>
          <w:rtl/>
        </w:rPr>
        <w:t xml:space="preserve">בהתאם להוראות סעיף </w:t>
      </w:r>
      <w:hyperlink r:id="rId29" w:history="1">
        <w:r w:rsidRPr="00E44073">
          <w:rPr>
            <w:color w:val="0000FF"/>
            <w:u w:val="single"/>
            <w:rtl/>
          </w:rPr>
          <w:t>40ג(ב)</w:t>
        </w:r>
      </w:hyperlink>
      <w:r w:rsidR="00E03B76">
        <w:rPr>
          <w:rFonts w:hint="cs"/>
          <w:rtl/>
        </w:rPr>
        <w:t xml:space="preserve"> ל</w:t>
      </w:r>
      <w:hyperlink r:id="rId30" w:history="1">
        <w:r w:rsidR="002A524F" w:rsidRPr="002A524F">
          <w:rPr>
            <w:rStyle w:val="Hyperlink"/>
            <w:rtl/>
          </w:rPr>
          <w:t>חוק העונשין</w:t>
        </w:r>
      </w:hyperlink>
      <w:r w:rsidR="00E03B76">
        <w:rPr>
          <w:rFonts w:hint="cs"/>
          <w:rtl/>
        </w:rPr>
        <w:t>, יש לגזור על הנאשם הספציפי שאת דינו גוזר בית המשפט, עונש המצוי במתחם אותו קבע ביהמ"ש - עם אפשרות לחרוג ממנו לקולא,  בהת</w:t>
      </w:r>
      <w:r>
        <w:rPr>
          <w:rFonts w:hint="cs"/>
          <w:rtl/>
        </w:rPr>
        <w:t xml:space="preserve">קיים הנסיבות המפורטות </w:t>
      </w:r>
      <w:hyperlink r:id="rId31" w:history="1">
        <w:r w:rsidRPr="00E44073">
          <w:rPr>
            <w:color w:val="0000FF"/>
            <w:u w:val="single"/>
            <w:rtl/>
          </w:rPr>
          <w:t xml:space="preserve">בסעיף  40ד(א) </w:t>
        </w:r>
      </w:hyperlink>
      <w:r w:rsidR="00E03B76">
        <w:rPr>
          <w:rFonts w:hint="cs"/>
          <w:rtl/>
        </w:rPr>
        <w:t xml:space="preserve">  לחוק העונשין, או לחומרה, בהת</w:t>
      </w:r>
      <w:r>
        <w:rPr>
          <w:rFonts w:hint="cs"/>
          <w:rtl/>
        </w:rPr>
        <w:t xml:space="preserve">קיים  הנסיבות המפורטות בסעיף </w:t>
      </w:r>
      <w:hyperlink r:id="rId32" w:history="1">
        <w:r w:rsidRPr="00E44073">
          <w:rPr>
            <w:rStyle w:val="Hyperlink"/>
            <w:rtl/>
          </w:rPr>
          <w:t>40ה'</w:t>
        </w:r>
      </w:hyperlink>
      <w:r w:rsidR="00E03B76">
        <w:rPr>
          <w:rFonts w:hint="cs"/>
          <w:rtl/>
        </w:rPr>
        <w:t xml:space="preserve"> לחוק העונשין - בהתחשב  בנסיבות שאינן קשורות  לביצוע העבירה (לרבות הפגיעה של העונש בנאשם, גילו, הפגיעה של העונש במשפחת הנאשם, נטילת אחריות ע"י הנאשם, מאמציו לתקן את תוצאות העבירה, שיתוף הפעולה  של הנאשם עם רשויות אכיפת החוק, התנהגותו החיובית של הנאשם ותרומתו לחברה בדרך כלל, נסיבות חיים קשות של הנאשם שהיתה להן השפעה  על ביצוע העבירה, התנהגות רשויות אכיפת החוק, חלוף הזמן מעת ביצוע העבירה, עברו הפלילי של הנאשם או העדרו ועוד).</w:t>
      </w:r>
    </w:p>
    <w:p w14:paraId="4148D07C" w14:textId="77777777" w:rsidR="00850D76" w:rsidRDefault="00850D76">
      <w:pPr>
        <w:overflowPunct w:val="0"/>
        <w:autoSpaceDE w:val="0"/>
        <w:autoSpaceDN w:val="0"/>
        <w:adjustRightInd w:val="0"/>
        <w:spacing w:line="360" w:lineRule="auto"/>
        <w:ind w:right="993"/>
        <w:jc w:val="both"/>
      </w:pPr>
    </w:p>
    <w:p w14:paraId="217308DB" w14:textId="77777777" w:rsidR="00850D76" w:rsidRDefault="00E03B76">
      <w:pPr>
        <w:overflowPunct w:val="0"/>
        <w:autoSpaceDE w:val="0"/>
        <w:autoSpaceDN w:val="0"/>
        <w:adjustRightInd w:val="0"/>
        <w:spacing w:line="360" w:lineRule="auto"/>
        <w:ind w:left="720"/>
        <w:jc w:val="both"/>
        <w:rPr>
          <w:rtl/>
        </w:rPr>
      </w:pPr>
      <w:r>
        <w:rPr>
          <w:rFonts w:hint="cs"/>
          <w:rtl/>
        </w:rPr>
        <w:t xml:space="preserve">לאחר ששקלתי בעניין, תוך שנתתי את דעתי, מצד אחד, לחומרת העבירה ולנסיבות ביצועה, כאמור לעיל ולעברו הפלילי של הנאשם, ממנו עולה כי אין זו הפעם הראשונה שהוא מורשע בעבירת פשע לפי פקודת הסמים, לרבות בעבירות לפי </w:t>
      </w:r>
      <w:hyperlink r:id="rId33" w:history="1">
        <w:r w:rsidR="00E44073" w:rsidRPr="00E44073">
          <w:rPr>
            <w:rStyle w:val="Hyperlink"/>
            <w:rFonts w:hint="eastAsia"/>
            <w:rtl/>
          </w:rPr>
          <w:t>סעיפים</w:t>
        </w:r>
        <w:r w:rsidR="00E44073" w:rsidRPr="00E44073">
          <w:rPr>
            <w:rStyle w:val="Hyperlink"/>
            <w:rtl/>
          </w:rPr>
          <w:t xml:space="preserve"> 13</w:t>
        </w:r>
      </w:hyperlink>
      <w:r>
        <w:rPr>
          <w:rFonts w:hint="cs"/>
          <w:rtl/>
        </w:rPr>
        <w:t xml:space="preserve"> ו- </w:t>
      </w:r>
      <w:hyperlink r:id="rId34" w:history="1">
        <w:r w:rsidR="00E44073" w:rsidRPr="00E44073">
          <w:rPr>
            <w:color w:val="0000FF"/>
            <w:u w:val="single"/>
            <w:rtl/>
          </w:rPr>
          <w:t>14</w:t>
        </w:r>
      </w:hyperlink>
      <w:r>
        <w:rPr>
          <w:rFonts w:hint="cs"/>
          <w:rtl/>
        </w:rPr>
        <w:t xml:space="preserve"> לפקודת הסמים, מה שמלמד כי הנאשם, שאין חולקין כי הינו מכור וכי אין לו מקורות כספיים חוקיים למימון רכישת הסם, עוסק, לכאורה, במכירת סמים ו/או בתיווך בעסקאות סמים, כדי להשיג את הכסף למימון הרכישות לצריכתו העצמית, ומצד שני לגילו (בן 46), למצבו המשפחתי ולנסיבותיו האישיות, אני סבור שאין מנוס מהרחקתו של הנאשם מהציבור לתקופה ממושכת, שכן סביר להניח כי כל עוד לא ייגמל מהשימוש בסמים וישתקם – ובמצב הנוכחי אינני רואה כיצד יוכל לעשות זאת – הוא ימשיך להשתמש בסמים ולעבור עבירות למימון רכישות הסמים. ראוי לזכור שהעונשים שהוטלו עליו בעבר,  לרבות עונשי מאסר בפועל ועונשי  מאסר על תנאי, לא היה בהם כדי להרתיעו. </w:t>
      </w:r>
    </w:p>
    <w:p w14:paraId="55276AEF" w14:textId="77777777" w:rsidR="00850D76" w:rsidRDefault="00850D76">
      <w:pPr>
        <w:overflowPunct w:val="0"/>
        <w:autoSpaceDE w:val="0"/>
        <w:autoSpaceDN w:val="0"/>
        <w:adjustRightInd w:val="0"/>
        <w:spacing w:line="360" w:lineRule="auto"/>
        <w:ind w:left="720"/>
        <w:jc w:val="both"/>
        <w:rPr>
          <w:rtl/>
        </w:rPr>
      </w:pPr>
    </w:p>
    <w:p w14:paraId="643E4790" w14:textId="77777777" w:rsidR="00850D76" w:rsidRDefault="00E03B76">
      <w:pPr>
        <w:overflowPunct w:val="0"/>
        <w:autoSpaceDE w:val="0"/>
        <w:autoSpaceDN w:val="0"/>
        <w:adjustRightInd w:val="0"/>
        <w:spacing w:line="360" w:lineRule="auto"/>
        <w:ind w:left="720"/>
        <w:jc w:val="both"/>
        <w:rPr>
          <w:rtl/>
        </w:rPr>
      </w:pPr>
      <w:r>
        <w:rPr>
          <w:rFonts w:hint="cs"/>
          <w:rtl/>
        </w:rPr>
        <w:t>סיכומו של דבר ומאחר שאין ביהמ"ש מטיל עונשים  חמורים מאלה אותם מבקשת המאשימה – הגם שלדעתי היה מקום בנסיבות מקרה זה להרחיק את  הנאשם מהציבור  לתקופה ממושכת יותר מ- 12 חודשים – מוטל על הנאשם עונש כדלקמן:</w:t>
      </w:r>
    </w:p>
    <w:p w14:paraId="444C3900" w14:textId="77777777" w:rsidR="00850D76" w:rsidRDefault="00E03B76">
      <w:pPr>
        <w:pStyle w:val="ListParagraph"/>
        <w:numPr>
          <w:ilvl w:val="0"/>
          <w:numId w:val="1"/>
        </w:numPr>
        <w:overflowPunct w:val="0"/>
        <w:autoSpaceDE w:val="0"/>
        <w:autoSpaceDN w:val="0"/>
        <w:adjustRightInd w:val="0"/>
        <w:spacing w:line="360" w:lineRule="auto"/>
        <w:jc w:val="both"/>
        <w:rPr>
          <w:rtl/>
        </w:rPr>
      </w:pPr>
      <w:r>
        <w:rPr>
          <w:rFonts w:hint="cs"/>
          <w:rtl/>
        </w:rPr>
        <w:t xml:space="preserve">מאסר לתקופה של 12 חודשים. </w:t>
      </w:r>
    </w:p>
    <w:p w14:paraId="3B339F19" w14:textId="77777777" w:rsidR="00850D76" w:rsidRDefault="00E03B76">
      <w:pPr>
        <w:pStyle w:val="ListParagraph"/>
        <w:numPr>
          <w:ilvl w:val="0"/>
          <w:numId w:val="1"/>
        </w:numPr>
        <w:overflowPunct w:val="0"/>
        <w:autoSpaceDE w:val="0"/>
        <w:autoSpaceDN w:val="0"/>
        <w:adjustRightInd w:val="0"/>
        <w:spacing w:line="360" w:lineRule="auto"/>
        <w:jc w:val="both"/>
      </w:pPr>
      <w:r>
        <w:rPr>
          <w:rFonts w:hint="cs"/>
          <w:rtl/>
        </w:rPr>
        <w:t xml:space="preserve">מאסר על תנאי לתקופה של  12 חודשים והתנאי הוא כי הנאשם לא יעבור תוך 3 שנים מיום שחרורו מהמאסר כל עבירה מסוג פשע  לפי פקודת הסמים ויורשע עליה. </w:t>
      </w:r>
    </w:p>
    <w:p w14:paraId="466B63B7" w14:textId="77777777" w:rsidR="00850D76" w:rsidRDefault="00E03B76" w:rsidP="00E44073">
      <w:pPr>
        <w:pStyle w:val="ListParagraph"/>
        <w:numPr>
          <w:ilvl w:val="0"/>
          <w:numId w:val="1"/>
        </w:numPr>
        <w:overflowPunct w:val="0"/>
        <w:autoSpaceDE w:val="0"/>
        <w:autoSpaceDN w:val="0"/>
        <w:adjustRightInd w:val="0"/>
        <w:spacing w:line="360" w:lineRule="auto"/>
        <w:jc w:val="both"/>
      </w:pPr>
      <w:r>
        <w:rPr>
          <w:rFonts w:hint="cs"/>
          <w:rtl/>
        </w:rPr>
        <w:t>הגם שהנ</w:t>
      </w:r>
      <w:r w:rsidR="00E44073">
        <w:rPr>
          <w:rFonts w:hint="cs"/>
          <w:rtl/>
        </w:rPr>
        <w:t xml:space="preserve">אשם לא הורשע בעבירה לפי סעיף  </w:t>
      </w:r>
      <w:hyperlink r:id="rId35" w:history="1">
        <w:r w:rsidR="00E44073" w:rsidRPr="00E44073">
          <w:rPr>
            <w:color w:val="0000FF"/>
            <w:u w:val="single"/>
            <w:rtl/>
          </w:rPr>
          <w:t>7(א) + (ג)</w:t>
        </w:r>
      </w:hyperlink>
      <w:r>
        <w:rPr>
          <w:rFonts w:hint="cs"/>
          <w:rtl/>
        </w:rPr>
        <w:t xml:space="preserve"> סייפא לפקודת  הסמים ולכן אין, לכאורה, </w:t>
      </w:r>
      <w:r w:rsidR="00E44073">
        <w:rPr>
          <w:rFonts w:hint="cs"/>
          <w:rtl/>
        </w:rPr>
        <w:t xml:space="preserve">חובת פסילה מכח הוראות, </w:t>
      </w:r>
      <w:hyperlink r:id="rId36" w:history="1">
        <w:r w:rsidR="00E44073" w:rsidRPr="00E44073">
          <w:rPr>
            <w:rStyle w:val="Hyperlink"/>
            <w:rFonts w:hint="eastAsia"/>
            <w:rtl/>
          </w:rPr>
          <w:t>סעיף</w:t>
        </w:r>
        <w:r w:rsidR="00E44073" w:rsidRPr="00E44073">
          <w:rPr>
            <w:rStyle w:val="Hyperlink"/>
            <w:rtl/>
          </w:rPr>
          <w:t xml:space="preserve">  37א(א)(1)</w:t>
        </w:r>
      </w:hyperlink>
      <w:r>
        <w:rPr>
          <w:rFonts w:hint="cs"/>
          <w:rtl/>
        </w:rPr>
        <w:t xml:space="preserve"> לפקודת הסמים, הרי שלאור העובדה כי הנאשם מכור לסמים ולטענתו עודנו משתמש</w:t>
      </w:r>
      <w:r w:rsidR="00E44073">
        <w:rPr>
          <w:rFonts w:hint="cs"/>
          <w:rtl/>
        </w:rPr>
        <w:t xml:space="preserve"> בסמים ומכח סמכותי  לפי סעיף </w:t>
      </w:r>
      <w:hyperlink r:id="rId37" w:history="1">
        <w:r w:rsidR="00E44073" w:rsidRPr="00E44073">
          <w:rPr>
            <w:color w:val="0000FF"/>
            <w:u w:val="single"/>
            <w:rtl/>
          </w:rPr>
          <w:t>37א(א)</w:t>
        </w:r>
      </w:hyperlink>
      <w:r>
        <w:rPr>
          <w:rFonts w:hint="cs"/>
          <w:rtl/>
        </w:rPr>
        <w:t xml:space="preserve"> לפקודת הסמים, אני פוסל את הנאשם מלקבל או להחזיק רשיון נהיגה לתקופה של 36 חודשים. תוקף הפסילה מהיום, אלא אם כן תלוי ועומד נגד הנאשם עונש  פסילה קודם, שאז תהיה הפסילה במצטבר. </w:t>
      </w:r>
    </w:p>
    <w:p w14:paraId="20DD30F5" w14:textId="77777777" w:rsidR="00850D76" w:rsidRDefault="00E03B76">
      <w:pPr>
        <w:overflowPunct w:val="0"/>
        <w:autoSpaceDE w:val="0"/>
        <w:autoSpaceDN w:val="0"/>
        <w:adjustRightInd w:val="0"/>
        <w:spacing w:line="360" w:lineRule="auto"/>
        <w:ind w:left="720" w:firstLine="360"/>
        <w:jc w:val="both"/>
        <w:rPr>
          <w:rtl/>
        </w:rPr>
      </w:pPr>
      <w:r>
        <w:rPr>
          <w:rFonts w:hint="cs"/>
          <w:rtl/>
        </w:rPr>
        <w:t>מאחר שאין לנאשם רשיון נהיגה תקף, אין צורך בהפקדת רשיון.</w:t>
      </w:r>
    </w:p>
    <w:p w14:paraId="60ABF9CC" w14:textId="77777777" w:rsidR="00850D76" w:rsidRDefault="00850D76">
      <w:pPr>
        <w:overflowPunct w:val="0"/>
        <w:autoSpaceDE w:val="0"/>
        <w:autoSpaceDN w:val="0"/>
        <w:adjustRightInd w:val="0"/>
        <w:spacing w:line="360" w:lineRule="auto"/>
        <w:ind w:left="720"/>
        <w:jc w:val="both"/>
        <w:rPr>
          <w:rtl/>
        </w:rPr>
      </w:pPr>
    </w:p>
    <w:p w14:paraId="409AFC4C" w14:textId="77777777" w:rsidR="00850D76" w:rsidRDefault="00E03B76">
      <w:pPr>
        <w:spacing w:line="360" w:lineRule="auto"/>
        <w:ind w:left="720"/>
        <w:jc w:val="both"/>
        <w:rPr>
          <w:rtl/>
        </w:rPr>
      </w:pPr>
      <w:r>
        <w:rPr>
          <w:rFonts w:hint="cs"/>
          <w:rtl/>
        </w:rPr>
        <w:t xml:space="preserve">בנסיבות המקרה ולאור מצבו הכלכלי הקשה של הנאשם לא מצאתי לנכון להטיל עליו קנס, אותו ממילא לא יוכל לשלם. </w:t>
      </w:r>
    </w:p>
    <w:p w14:paraId="14CDCCC0" w14:textId="77777777" w:rsidR="00850D76" w:rsidRDefault="00850D76">
      <w:pPr>
        <w:overflowPunct w:val="0"/>
        <w:autoSpaceDE w:val="0"/>
        <w:autoSpaceDN w:val="0"/>
        <w:adjustRightInd w:val="0"/>
        <w:spacing w:line="360" w:lineRule="auto"/>
        <w:ind w:left="720"/>
        <w:jc w:val="both"/>
        <w:rPr>
          <w:rtl/>
        </w:rPr>
      </w:pPr>
    </w:p>
    <w:p w14:paraId="36348CC3" w14:textId="77777777" w:rsidR="00850D76" w:rsidRDefault="00E03B76">
      <w:pPr>
        <w:overflowPunct w:val="0"/>
        <w:autoSpaceDE w:val="0"/>
        <w:autoSpaceDN w:val="0"/>
        <w:adjustRightInd w:val="0"/>
        <w:spacing w:line="360" w:lineRule="auto"/>
        <w:ind w:left="720"/>
        <w:jc w:val="both"/>
        <w:rPr>
          <w:rtl/>
        </w:rPr>
      </w:pPr>
      <w:r>
        <w:rPr>
          <w:rFonts w:hint="cs"/>
          <w:rtl/>
        </w:rPr>
        <w:t>אני מורה על השמדת המוצג.</w:t>
      </w:r>
    </w:p>
    <w:p w14:paraId="1908D25C" w14:textId="77777777" w:rsidR="00850D76" w:rsidRDefault="00E03B76">
      <w:pPr>
        <w:spacing w:line="360" w:lineRule="auto"/>
        <w:ind w:left="720" w:hanging="720"/>
        <w:jc w:val="both"/>
        <w:rPr>
          <w:rFonts w:ascii="Arial" w:hAnsi="Arial"/>
          <w:rtl/>
        </w:rPr>
      </w:pPr>
      <w:r>
        <w:rPr>
          <w:rFonts w:ascii="Arial" w:hAnsi="Arial" w:hint="cs"/>
          <w:rtl/>
        </w:rPr>
        <w:tab/>
      </w:r>
    </w:p>
    <w:p w14:paraId="027ACBC6" w14:textId="77777777" w:rsidR="00850D76" w:rsidRDefault="00E03B76">
      <w:pPr>
        <w:spacing w:line="360" w:lineRule="auto"/>
        <w:ind w:left="720" w:hanging="720"/>
        <w:jc w:val="both"/>
        <w:rPr>
          <w:rFonts w:ascii="Arial" w:hAnsi="Arial"/>
          <w:rtl/>
        </w:rPr>
      </w:pPr>
      <w:r>
        <w:rPr>
          <w:rFonts w:ascii="Arial" w:hAnsi="Arial" w:hint="cs"/>
          <w:rtl/>
        </w:rPr>
        <w:tab/>
        <w:t xml:space="preserve">הודע כי לצדדים זכות ערעור תוך 45 יום מהיום. </w:t>
      </w:r>
    </w:p>
    <w:p w14:paraId="3BE80ED2" w14:textId="77777777" w:rsidR="00850D76" w:rsidRDefault="00850D76">
      <w:pPr>
        <w:spacing w:line="360" w:lineRule="auto"/>
        <w:jc w:val="both"/>
        <w:rPr>
          <w:rFonts w:ascii="Arial" w:hAnsi="Arial"/>
          <w:rtl/>
        </w:rPr>
      </w:pPr>
    </w:p>
    <w:p w14:paraId="508D685B" w14:textId="77777777" w:rsidR="00850D76" w:rsidRDefault="00E03B76">
      <w:pPr>
        <w:spacing w:line="360" w:lineRule="auto"/>
        <w:jc w:val="both"/>
        <w:rPr>
          <w:sz w:val="6"/>
          <w:szCs w:val="6"/>
          <w:rtl/>
        </w:rPr>
      </w:pPr>
      <w:r>
        <w:rPr>
          <w:sz w:val="6"/>
          <w:szCs w:val="6"/>
          <w:rtl/>
        </w:rPr>
        <w:t>&lt;#4#&gt;</w:t>
      </w:r>
    </w:p>
    <w:p w14:paraId="5BE94246" w14:textId="77777777" w:rsidR="00850D76" w:rsidRDefault="00850D76">
      <w:pPr>
        <w:jc w:val="right"/>
        <w:rPr>
          <w:rtl/>
        </w:rPr>
      </w:pPr>
    </w:p>
    <w:p w14:paraId="1EA061C1" w14:textId="77777777" w:rsidR="00850D76" w:rsidRDefault="00E03B76">
      <w:pPr>
        <w:spacing w:line="360" w:lineRule="auto"/>
        <w:rPr>
          <w:rtl/>
        </w:rPr>
      </w:pPr>
      <w:r>
        <w:rPr>
          <w:rFonts w:hint="cs"/>
          <w:b/>
          <w:bCs/>
          <w:rtl/>
        </w:rPr>
        <w:t xml:space="preserve">ניתנה והודעה היום </w:t>
      </w:r>
      <w:r>
        <w:rPr>
          <w:rFonts w:hint="cs"/>
          <w:rtl/>
        </w:rPr>
        <w:t>י"ג אייר תשע"ג</w:t>
      </w:r>
      <w:r>
        <w:rPr>
          <w:rFonts w:hint="cs"/>
          <w:b/>
          <w:bCs/>
          <w:rtl/>
        </w:rPr>
        <w:t xml:space="preserve">, </w:t>
      </w:r>
      <w:r>
        <w:rPr>
          <w:rFonts w:hint="cs"/>
          <w:rtl/>
        </w:rPr>
        <w:t>23/04/2013</w:t>
      </w:r>
      <w:r>
        <w:rPr>
          <w:rFonts w:hint="cs"/>
          <w:b/>
          <w:bCs/>
          <w:rtl/>
        </w:rPr>
        <w:t xml:space="preserve"> במעמד הנוכחים.</w:t>
      </w:r>
    </w:p>
    <w:p w14:paraId="09D2F94A" w14:textId="77777777" w:rsidR="00850D76" w:rsidRDefault="00850D76">
      <w:pPr>
        <w:jc w:val="right"/>
        <w:rPr>
          <w:rtl/>
        </w:rPr>
      </w:pPr>
    </w:p>
    <w:p w14:paraId="7DB24CFE" w14:textId="77777777" w:rsidR="00850D76" w:rsidRDefault="00850D7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50D76" w14:paraId="6D3D5D4C" w14:textId="77777777">
        <w:trPr>
          <w:trHeight w:val="364"/>
          <w:jc w:val="right"/>
        </w:trPr>
        <w:tc>
          <w:tcPr>
            <w:tcW w:w="3708" w:type="dxa"/>
            <w:shd w:val="clear" w:color="auto" w:fill="auto"/>
          </w:tcPr>
          <w:p w14:paraId="3C40A68F" w14:textId="77777777" w:rsidR="00850D76" w:rsidRDefault="00850D76">
            <w:pPr>
              <w:jc w:val="center"/>
              <w:rPr>
                <w:rFonts w:ascii="Times New Roman" w:eastAsia="Times New Roman" w:hAnsi="Times New Roman" w:cs="Times New Roman"/>
              </w:rPr>
            </w:pPr>
          </w:p>
          <w:p w14:paraId="17428036" w14:textId="77777777" w:rsidR="00850D76" w:rsidRDefault="00850D76">
            <w:pPr>
              <w:jc w:val="center"/>
              <w:rPr>
                <w:rFonts w:ascii="Times New Roman" w:eastAsia="Times New Roman" w:hAnsi="Times New Roman" w:cs="Times New Roman"/>
                <w:rtl/>
              </w:rPr>
            </w:pPr>
          </w:p>
        </w:tc>
      </w:tr>
      <w:tr w:rsidR="00850D76" w14:paraId="0723BE3A" w14:textId="77777777">
        <w:trPr>
          <w:trHeight w:val="415"/>
          <w:jc w:val="right"/>
        </w:trPr>
        <w:tc>
          <w:tcPr>
            <w:tcW w:w="3708" w:type="dxa"/>
            <w:shd w:val="clear" w:color="auto" w:fill="auto"/>
          </w:tcPr>
          <w:p w14:paraId="663129F6" w14:textId="77777777" w:rsidR="00850D76" w:rsidRDefault="00E03B76">
            <w:pPr>
              <w:jc w:val="center"/>
              <w:rPr>
                <w:rFonts w:ascii="Times New Roman" w:eastAsia="Times New Roman" w:hAnsi="Times New Roman"/>
                <w:b/>
                <w:bCs/>
                <w:rtl/>
              </w:rPr>
            </w:pPr>
            <w:r>
              <w:rPr>
                <w:rFonts w:ascii="Times New Roman" w:eastAsia="Times New Roman" w:hAnsi="Times New Roman" w:hint="cs"/>
                <w:rtl/>
              </w:rPr>
              <w:t>משה</w:t>
            </w:r>
            <w:r>
              <w:rPr>
                <w:rFonts w:ascii="Times New Roman" w:eastAsia="Times New Roman" w:hAnsi="Times New Roman" w:hint="cs"/>
                <w:b/>
                <w:bCs/>
                <w:rtl/>
              </w:rPr>
              <w:t xml:space="preserve"> </w:t>
            </w:r>
            <w:r>
              <w:rPr>
                <w:rFonts w:ascii="Times New Roman" w:eastAsia="Times New Roman" w:hAnsi="Times New Roman" w:hint="cs"/>
                <w:rtl/>
              </w:rPr>
              <w:t>אלטר</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01457437" w14:textId="77777777" w:rsidR="00850D76" w:rsidRDefault="00850D76">
      <w:pPr>
        <w:jc w:val="right"/>
        <w:rPr>
          <w:rtl/>
        </w:rPr>
      </w:pPr>
    </w:p>
    <w:p w14:paraId="60881DD9" w14:textId="77777777" w:rsidR="00850D76" w:rsidRDefault="00850D76">
      <w:pPr>
        <w:jc w:val="center"/>
        <w:rPr>
          <w:rtl/>
        </w:rPr>
      </w:pPr>
    </w:p>
    <w:p w14:paraId="60EDECB1" w14:textId="77777777" w:rsidR="00850D76" w:rsidRDefault="00850D76">
      <w:pPr>
        <w:spacing w:line="360" w:lineRule="auto"/>
        <w:jc w:val="both"/>
        <w:rPr>
          <w:rtl/>
        </w:rPr>
      </w:pPr>
    </w:p>
    <w:p w14:paraId="229E25F5" w14:textId="77777777" w:rsidR="00850D76" w:rsidRDefault="00E03B76">
      <w:pPr>
        <w:spacing w:line="360" w:lineRule="auto"/>
        <w:jc w:val="both"/>
        <w:rPr>
          <w:sz w:val="6"/>
          <w:szCs w:val="6"/>
          <w:rtl/>
        </w:rPr>
      </w:pPr>
      <w:r>
        <w:rPr>
          <w:sz w:val="6"/>
          <w:szCs w:val="6"/>
          <w:rtl/>
        </w:rPr>
        <w:t>&lt;#5#&gt;</w:t>
      </w:r>
    </w:p>
    <w:p w14:paraId="2822F1CF" w14:textId="77777777" w:rsidR="00850D76" w:rsidRDefault="00E03B7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FA368D1" w14:textId="77777777" w:rsidR="00850D76" w:rsidRDefault="00E03B76">
      <w:pPr>
        <w:spacing w:line="360" w:lineRule="auto"/>
        <w:jc w:val="both"/>
        <w:rPr>
          <w:rtl/>
        </w:rPr>
      </w:pPr>
      <w:r>
        <w:rPr>
          <w:rFonts w:hint="cs"/>
          <w:rtl/>
        </w:rPr>
        <w:t>זכותו של הסניגור לחשוב שביהמ"ש טעה וכפועל יוצא מזה זכותו של הנאשם להגיש ערעור. קטונתי מלהעריך את סיכויי הערעור, אם יוגש. כדי לסבר את האוזן של ב"כ המאשימה, אציין כי גם כאשר ערכאה ראשונה נותנת פסקי דין מנומקים, קורה שערכאת הערעור משנה אותם.</w:t>
      </w:r>
    </w:p>
    <w:p w14:paraId="1AF8F2DE" w14:textId="77777777" w:rsidR="00850D76" w:rsidRDefault="00850D76">
      <w:pPr>
        <w:spacing w:line="360" w:lineRule="auto"/>
        <w:jc w:val="both"/>
        <w:rPr>
          <w:rtl/>
        </w:rPr>
      </w:pPr>
    </w:p>
    <w:p w14:paraId="5B89F96D" w14:textId="77777777" w:rsidR="00850D76" w:rsidRDefault="00E03B76">
      <w:pPr>
        <w:spacing w:line="360" w:lineRule="auto"/>
        <w:jc w:val="both"/>
        <w:rPr>
          <w:rtl/>
        </w:rPr>
      </w:pPr>
      <w:r>
        <w:rPr>
          <w:rFonts w:hint="cs"/>
          <w:rtl/>
        </w:rPr>
        <w:t xml:space="preserve">אני סבור שלא יגרם שום נזק אם יתאפשר לנאשם להגיש ערעור כאשר הוא משוחרר. לכן, אני מורה כי הנאשם יחל לרצות את עונש המאסר ביום 19/5/13. </w:t>
      </w:r>
    </w:p>
    <w:p w14:paraId="5732AF13" w14:textId="77777777" w:rsidR="00850D76" w:rsidRDefault="00E03B76">
      <w:pPr>
        <w:spacing w:line="360" w:lineRule="auto"/>
        <w:jc w:val="both"/>
        <w:rPr>
          <w:rtl/>
        </w:rPr>
      </w:pPr>
      <w:r>
        <w:rPr>
          <w:rFonts w:hint="cs"/>
          <w:rtl/>
        </w:rPr>
        <w:t xml:space="preserve">הנאשם יתייצב ביום 19/5/13, שעה 10.00, בבית מעצר קישון לצורך תחילת ריצוי עונש המאסר, אלא אם כן יוגש ערעור וערכאת הערעור תורה על עיכוב ביצוע נוסף. </w:t>
      </w:r>
    </w:p>
    <w:p w14:paraId="4E735BFF" w14:textId="77777777" w:rsidR="00850D76" w:rsidRDefault="00850D76">
      <w:pPr>
        <w:spacing w:line="360" w:lineRule="auto"/>
        <w:jc w:val="both"/>
        <w:rPr>
          <w:rtl/>
        </w:rPr>
      </w:pPr>
    </w:p>
    <w:p w14:paraId="3A9D1549" w14:textId="77777777" w:rsidR="00850D76" w:rsidRDefault="00E03B76">
      <w:pPr>
        <w:spacing w:line="360" w:lineRule="auto"/>
        <w:jc w:val="both"/>
        <w:rPr>
          <w:rtl/>
        </w:rPr>
      </w:pPr>
      <w:r>
        <w:rPr>
          <w:rFonts w:hint="cs"/>
          <w:rtl/>
        </w:rPr>
        <w:t xml:space="preserve">להבטחת התייצבותו של הנאשם לריצוי עונש המאסר, יופקדו התחייבות עצמית של הנאשם + ערבות צד ג' על סך 20,000 ₪ כל אחת, עד מחר, 24/4/13 שעה 14.00 . </w:t>
      </w:r>
    </w:p>
    <w:p w14:paraId="37466E95" w14:textId="77777777" w:rsidR="00850D76" w:rsidRDefault="00850D76">
      <w:pPr>
        <w:spacing w:line="360" w:lineRule="auto"/>
        <w:jc w:val="both"/>
        <w:rPr>
          <w:rtl/>
        </w:rPr>
      </w:pPr>
    </w:p>
    <w:p w14:paraId="240D1489" w14:textId="77777777" w:rsidR="00850D76" w:rsidRDefault="00E03B76">
      <w:pPr>
        <w:spacing w:line="360" w:lineRule="auto"/>
        <w:jc w:val="both"/>
        <w:rPr>
          <w:rtl/>
        </w:rPr>
      </w:pPr>
      <w:r>
        <w:rPr>
          <w:rFonts w:hint="cs"/>
          <w:rtl/>
        </w:rPr>
        <w:t xml:space="preserve">ניתן בזה צו לעיכוב יציאת הנאשם מן הארץ עד תום ריצוי עונש המאסר, או עד למתן פסק דין של ערכאת הערעור, אם ערכאת הערעור תבטל את עונש המאסר שהוטל על הנאשם. </w:t>
      </w:r>
    </w:p>
    <w:p w14:paraId="24D98D69" w14:textId="77777777" w:rsidR="00850D76" w:rsidRDefault="00850D76">
      <w:pPr>
        <w:spacing w:line="360" w:lineRule="auto"/>
        <w:jc w:val="both"/>
        <w:rPr>
          <w:rtl/>
        </w:rPr>
      </w:pPr>
    </w:p>
    <w:p w14:paraId="4912AD1E" w14:textId="77777777" w:rsidR="00850D76" w:rsidRDefault="00850D76">
      <w:pPr>
        <w:spacing w:line="360" w:lineRule="auto"/>
        <w:jc w:val="both"/>
        <w:rPr>
          <w:rtl/>
        </w:rPr>
      </w:pPr>
    </w:p>
    <w:p w14:paraId="6C8825AC" w14:textId="77777777" w:rsidR="00850D76" w:rsidRDefault="00E03B76">
      <w:pPr>
        <w:spacing w:line="360" w:lineRule="auto"/>
        <w:jc w:val="both"/>
        <w:rPr>
          <w:sz w:val="6"/>
          <w:szCs w:val="6"/>
          <w:rtl/>
        </w:rPr>
      </w:pPr>
      <w:r>
        <w:rPr>
          <w:sz w:val="6"/>
          <w:szCs w:val="6"/>
          <w:rtl/>
        </w:rPr>
        <w:t>&lt;#6#&gt;</w:t>
      </w:r>
    </w:p>
    <w:p w14:paraId="3E1A2627" w14:textId="77777777" w:rsidR="00850D76" w:rsidRDefault="00850D76">
      <w:pPr>
        <w:jc w:val="right"/>
        <w:rPr>
          <w:rtl/>
        </w:rPr>
      </w:pPr>
    </w:p>
    <w:p w14:paraId="0C368AF3" w14:textId="77777777" w:rsidR="00850D76" w:rsidRDefault="00E03B76">
      <w:pPr>
        <w:jc w:val="right"/>
        <w:rPr>
          <w:rtl/>
        </w:rPr>
      </w:pPr>
      <w:r>
        <w:rPr>
          <w:b/>
          <w:bCs/>
          <w:rtl/>
        </w:rPr>
        <w:t xml:space="preserve">ניתנה והודעה היום י"ג אייר תשע"ג, 23/04/2013 במעמד הנוכחים. </w:t>
      </w:r>
    </w:p>
    <w:p w14:paraId="237D4B85" w14:textId="77777777" w:rsidR="00E03B76" w:rsidRPr="00E03B76" w:rsidRDefault="00E03B76" w:rsidP="00E03B76">
      <w:pPr>
        <w:keepNext/>
        <w:rPr>
          <w:color w:val="000000"/>
          <w:sz w:val="22"/>
          <w:szCs w:val="22"/>
          <w:rtl/>
        </w:rPr>
      </w:pPr>
    </w:p>
    <w:p w14:paraId="18C6EC7C" w14:textId="77777777" w:rsidR="00A64A2F" w:rsidRPr="00A64A2F" w:rsidRDefault="00A64A2F" w:rsidP="00A64A2F">
      <w:pPr>
        <w:keepNext/>
        <w:rPr>
          <w:rFonts w:hint="cs"/>
          <w:color w:val="000000"/>
          <w:sz w:val="22"/>
          <w:szCs w:val="22"/>
          <w:rtl/>
        </w:rPr>
      </w:pPr>
    </w:p>
    <w:p w14:paraId="226B093F" w14:textId="77777777" w:rsidR="00A64A2F" w:rsidRPr="00A64A2F" w:rsidRDefault="00A64A2F" w:rsidP="00A64A2F">
      <w:pPr>
        <w:keepNext/>
        <w:rPr>
          <w:color w:val="000000"/>
          <w:sz w:val="22"/>
          <w:szCs w:val="22"/>
          <w:rtl/>
        </w:rPr>
      </w:pPr>
      <w:r w:rsidRPr="00A64A2F">
        <w:rPr>
          <w:color w:val="000000"/>
          <w:sz w:val="22"/>
          <w:szCs w:val="22"/>
          <w:rtl/>
        </w:rPr>
        <w:t>משה אלטר 54678313-/</w:t>
      </w:r>
    </w:p>
    <w:p w14:paraId="7F4E7233" w14:textId="77777777" w:rsidR="00850D76" w:rsidRPr="00E03B76" w:rsidRDefault="00A64A2F">
      <w:pPr>
        <w:jc w:val="center"/>
        <w:rPr>
          <w:color w:val="FFFFFF"/>
          <w:sz w:val="2"/>
          <w:szCs w:val="2"/>
          <w:rtl/>
        </w:rPr>
      </w:pPr>
      <w:r w:rsidRPr="00A64A2F">
        <w:rPr>
          <w:color w:val="FFFFFF"/>
          <w:sz w:val="2"/>
          <w:szCs w:val="2"/>
          <w:rtl/>
        </w:rPr>
        <w:t>5129371</w:t>
      </w:r>
      <w:r w:rsidR="00E03B76" w:rsidRPr="00E03B7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50D76" w14:paraId="4DD9EA6B" w14:textId="77777777">
        <w:trPr>
          <w:trHeight w:val="364"/>
          <w:jc w:val="right"/>
        </w:trPr>
        <w:tc>
          <w:tcPr>
            <w:tcW w:w="3708" w:type="dxa"/>
            <w:shd w:val="clear" w:color="auto" w:fill="auto"/>
          </w:tcPr>
          <w:p w14:paraId="7F801731" w14:textId="77777777" w:rsidR="00850D76" w:rsidRPr="00E03B76" w:rsidRDefault="00A64A2F">
            <w:pPr>
              <w:jc w:val="center"/>
              <w:rPr>
                <w:rFonts w:ascii="Times New Roman" w:eastAsia="Times New Roman" w:hAnsi="Times New Roman" w:cs="Times New Roman"/>
                <w:color w:val="FFFFFF"/>
                <w:sz w:val="2"/>
                <w:szCs w:val="2"/>
              </w:rPr>
            </w:pPr>
            <w:r w:rsidRPr="00A64A2F">
              <w:rPr>
                <w:rFonts w:ascii="Times New Roman" w:eastAsia="Times New Roman" w:hAnsi="Times New Roman" w:cs="Times New Roman"/>
                <w:color w:val="FFFFFF"/>
                <w:sz w:val="2"/>
                <w:szCs w:val="2"/>
                <w:rtl/>
              </w:rPr>
              <w:t>54678313</w:t>
            </w:r>
            <w:r w:rsidR="00E03B76" w:rsidRPr="00E03B76">
              <w:rPr>
                <w:rFonts w:ascii="Times New Roman" w:eastAsia="Times New Roman" w:hAnsi="Times New Roman" w:cs="Times New Roman"/>
                <w:color w:val="FFFFFF"/>
                <w:sz w:val="2"/>
                <w:szCs w:val="2"/>
                <w:rtl/>
              </w:rPr>
              <w:t>54678313</w:t>
            </w:r>
          </w:p>
          <w:p w14:paraId="7006BEFD" w14:textId="77777777" w:rsidR="00850D76" w:rsidRDefault="00850D76">
            <w:pPr>
              <w:jc w:val="center"/>
              <w:rPr>
                <w:rFonts w:ascii="Times New Roman" w:eastAsia="Times New Roman" w:hAnsi="Times New Roman" w:cs="Times New Roman"/>
                <w:rtl/>
              </w:rPr>
            </w:pPr>
          </w:p>
        </w:tc>
      </w:tr>
      <w:tr w:rsidR="00850D76" w14:paraId="55F5ECD3" w14:textId="77777777">
        <w:trPr>
          <w:trHeight w:val="415"/>
          <w:jc w:val="right"/>
        </w:trPr>
        <w:tc>
          <w:tcPr>
            <w:tcW w:w="3708" w:type="dxa"/>
            <w:shd w:val="clear" w:color="auto" w:fill="auto"/>
          </w:tcPr>
          <w:p w14:paraId="3C02E41C" w14:textId="77777777" w:rsidR="00850D76" w:rsidRDefault="00E03B76">
            <w:pPr>
              <w:jc w:val="center"/>
              <w:rPr>
                <w:rFonts w:ascii="Times New Roman" w:eastAsia="Times New Roman" w:hAnsi="Times New Roman"/>
                <w:b/>
                <w:bCs/>
                <w:rtl/>
              </w:rPr>
            </w:pPr>
            <w:r>
              <w:rPr>
                <w:rFonts w:ascii="Times New Roman" w:eastAsia="Times New Roman" w:hAnsi="Times New Roman" w:hint="cs"/>
                <w:rtl/>
              </w:rPr>
              <w:t>משה</w:t>
            </w:r>
            <w:r>
              <w:rPr>
                <w:rFonts w:ascii="Times New Roman" w:eastAsia="Times New Roman" w:hAnsi="Times New Roman" w:hint="cs"/>
                <w:b/>
                <w:bCs/>
                <w:rtl/>
              </w:rPr>
              <w:t xml:space="preserve"> </w:t>
            </w:r>
            <w:r>
              <w:rPr>
                <w:rFonts w:ascii="Times New Roman" w:eastAsia="Times New Roman" w:hAnsi="Times New Roman" w:hint="cs"/>
                <w:rtl/>
              </w:rPr>
              <w:t>אלטר</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568B2EA5" w14:textId="77777777" w:rsidR="00E03B76" w:rsidRDefault="00E03B76" w:rsidP="00E03B76">
      <w:r w:rsidRPr="00E03B76">
        <w:rPr>
          <w:color w:val="000000"/>
          <w:rtl/>
        </w:rPr>
        <w:t>נוסח מסמך זה כפוף לשינויי ניסוח ועריכה</w:t>
      </w:r>
    </w:p>
    <w:p w14:paraId="34896189" w14:textId="77777777" w:rsidR="00E03B76" w:rsidRDefault="00E03B76" w:rsidP="00E03B76">
      <w:pPr>
        <w:rPr>
          <w:rtl/>
        </w:rPr>
      </w:pPr>
    </w:p>
    <w:p w14:paraId="156F8656" w14:textId="77777777" w:rsidR="00E03B76" w:rsidRDefault="00E03B76" w:rsidP="00E03B76">
      <w:pPr>
        <w:jc w:val="center"/>
        <w:rPr>
          <w:color w:val="0000FF"/>
          <w:u w:val="single"/>
        </w:rPr>
      </w:pPr>
      <w:r w:rsidRPr="008C2375">
        <w:rPr>
          <w:color w:val="000000"/>
          <w:rtl/>
        </w:rPr>
        <w:t>בעניין עריכה ושינויים במסמכי פסיקה, חקיקה ועוד באתר נבו – הקש כאן</w:t>
      </w:r>
    </w:p>
    <w:sectPr w:rsidR="00E03B76" w:rsidSect="00A64A2F">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D63A3" w14:textId="77777777" w:rsidR="001C2037" w:rsidRPr="00DD5BE7" w:rsidRDefault="001C2037">
      <w:pPr>
        <w:rPr>
          <w:rFonts w:cs="Arial"/>
          <w:szCs w:val="20"/>
        </w:rPr>
      </w:pPr>
      <w:r>
        <w:separator/>
      </w:r>
    </w:p>
  </w:endnote>
  <w:endnote w:type="continuationSeparator" w:id="0">
    <w:p w14:paraId="122090F2" w14:textId="77777777" w:rsidR="001C2037" w:rsidRPr="00DD5BE7" w:rsidRDefault="001C203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62B87" w14:textId="77777777" w:rsidR="00B53433" w:rsidRDefault="00B53433" w:rsidP="00A64A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750BDB2" w14:textId="77777777" w:rsidR="00B53433" w:rsidRPr="00A64A2F" w:rsidRDefault="00B53433" w:rsidP="00A64A2F">
    <w:pPr>
      <w:pStyle w:val="a5"/>
      <w:pBdr>
        <w:top w:val="single" w:sz="4" w:space="1" w:color="auto"/>
        <w:between w:val="single" w:sz="4" w:space="0" w:color="auto"/>
      </w:pBdr>
      <w:spacing w:after="60"/>
      <w:jc w:val="center"/>
      <w:rPr>
        <w:rFonts w:ascii="FrankRuehl" w:hAnsi="FrankRuehl" w:cs="FrankRuehl"/>
        <w:color w:val="000000"/>
      </w:rPr>
    </w:pPr>
    <w:r w:rsidRPr="00A64A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B92BE" w14:textId="77777777" w:rsidR="00B53433" w:rsidRDefault="00B53433" w:rsidP="00A64A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59ED">
      <w:rPr>
        <w:rFonts w:ascii="FrankRuehl" w:hAnsi="FrankRuehl" w:cs="FrankRuehl"/>
        <w:noProof/>
        <w:rtl/>
      </w:rPr>
      <w:t>1</w:t>
    </w:r>
    <w:r>
      <w:rPr>
        <w:rFonts w:ascii="FrankRuehl" w:hAnsi="FrankRuehl" w:cs="FrankRuehl"/>
        <w:rtl/>
      </w:rPr>
      <w:fldChar w:fldCharType="end"/>
    </w:r>
  </w:p>
  <w:p w14:paraId="7F292D5B" w14:textId="77777777" w:rsidR="00B53433" w:rsidRPr="00A64A2F" w:rsidRDefault="00B53433" w:rsidP="00A64A2F">
    <w:pPr>
      <w:pStyle w:val="a5"/>
      <w:pBdr>
        <w:top w:val="single" w:sz="4" w:space="1" w:color="auto"/>
        <w:between w:val="single" w:sz="4" w:space="0" w:color="auto"/>
      </w:pBdr>
      <w:spacing w:after="60"/>
      <w:jc w:val="center"/>
      <w:rPr>
        <w:rFonts w:ascii="FrankRuehl" w:hAnsi="FrankRuehl" w:cs="FrankRuehl"/>
        <w:color w:val="000000"/>
      </w:rPr>
    </w:pPr>
    <w:r w:rsidRPr="00A64A2F">
      <w:rPr>
        <w:rFonts w:ascii="FrankRuehl" w:hAnsi="FrankRuehl" w:cs="FrankRuehl"/>
        <w:color w:val="000000"/>
      </w:rPr>
      <w:pict w14:anchorId="5DB11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73CC8" w14:textId="77777777" w:rsidR="001C2037" w:rsidRPr="00DD5BE7" w:rsidRDefault="001C2037">
      <w:pPr>
        <w:rPr>
          <w:rFonts w:cs="Arial"/>
          <w:szCs w:val="20"/>
        </w:rPr>
      </w:pPr>
      <w:r>
        <w:separator/>
      </w:r>
    </w:p>
  </w:footnote>
  <w:footnote w:type="continuationSeparator" w:id="0">
    <w:p w14:paraId="6737DC5F" w14:textId="77777777" w:rsidR="001C2037" w:rsidRPr="00DD5BE7" w:rsidRDefault="001C203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C73C0" w14:textId="77777777" w:rsidR="00B53433" w:rsidRPr="00A64A2F" w:rsidRDefault="00B53433" w:rsidP="00A64A2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9056-06-12</w:t>
    </w:r>
    <w:r>
      <w:rPr>
        <w:color w:val="000000"/>
        <w:sz w:val="22"/>
        <w:szCs w:val="22"/>
        <w:rtl/>
      </w:rPr>
      <w:tab/>
      <w:t xml:space="preserve"> מדינת ישראל נ' אבראהים עראבי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3FB06" w14:textId="77777777" w:rsidR="00B53433" w:rsidRPr="00A64A2F" w:rsidRDefault="00B53433" w:rsidP="00A64A2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9056-06-12</w:t>
    </w:r>
    <w:r>
      <w:rPr>
        <w:color w:val="000000"/>
        <w:sz w:val="22"/>
        <w:szCs w:val="22"/>
        <w:rtl/>
      </w:rPr>
      <w:tab/>
      <w:t xml:space="preserve"> מדינת ישראל נ' אבראהים עראבי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11D22"/>
    <w:multiLevelType w:val="hybridMultilevel"/>
    <w:tmpl w:val="0860B4BA"/>
    <w:lvl w:ilvl="0" w:tplc="57DE4AFC">
      <w:start w:val="4"/>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04790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0D76"/>
    <w:rsid w:val="000459ED"/>
    <w:rsid w:val="00103B2E"/>
    <w:rsid w:val="001C2037"/>
    <w:rsid w:val="002A524F"/>
    <w:rsid w:val="0069774A"/>
    <w:rsid w:val="00850D76"/>
    <w:rsid w:val="008C2375"/>
    <w:rsid w:val="00A64A2F"/>
    <w:rsid w:val="00B53433"/>
    <w:rsid w:val="00BC2A32"/>
    <w:rsid w:val="00D831F5"/>
    <w:rsid w:val="00DE2922"/>
    <w:rsid w:val="00E03B76"/>
    <w:rsid w:val="00E13F18"/>
    <w:rsid w:val="00E440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CD86EB"/>
  <w15:chartTrackingRefBased/>
  <w15:docId w15:val="{9F4164A2-A997-4C45-A536-2547BD76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0D7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50D76"/>
  </w:style>
  <w:style w:type="paragraph" w:styleId="a4">
    <w:name w:val="header"/>
    <w:basedOn w:val="a"/>
    <w:rsid w:val="00850D76"/>
    <w:pPr>
      <w:tabs>
        <w:tab w:val="center" w:pos="4153"/>
        <w:tab w:val="right" w:pos="8306"/>
      </w:tabs>
    </w:pPr>
  </w:style>
  <w:style w:type="paragraph" w:styleId="a5">
    <w:name w:val="footer"/>
    <w:basedOn w:val="a"/>
    <w:rsid w:val="00850D76"/>
    <w:pPr>
      <w:tabs>
        <w:tab w:val="center" w:pos="4153"/>
        <w:tab w:val="right" w:pos="8306"/>
      </w:tabs>
    </w:pPr>
  </w:style>
  <w:style w:type="character" w:styleId="a6">
    <w:name w:val="page number"/>
    <w:basedOn w:val="a0"/>
    <w:rsid w:val="00850D76"/>
  </w:style>
  <w:style w:type="paragraph" w:customStyle="1" w:styleId="12">
    <w:name w:val="רגיל + ‏12 נק'"/>
    <w:aliases w:val="מיושר לשני הצדדים,מרווח בין שורות:  שורה וחצי"/>
    <w:basedOn w:val="a"/>
    <w:rsid w:val="00850D76"/>
    <w:rPr>
      <w:rFonts w:ascii="Times New Roman" w:eastAsia="Times New Roman" w:hAnsi="Times New Roman"/>
      <w:b/>
      <w:bCs/>
      <w:u w:val="single"/>
    </w:rPr>
  </w:style>
  <w:style w:type="paragraph" w:styleId="a7">
    <w:name w:val="Body Text Indent"/>
    <w:basedOn w:val="a"/>
    <w:link w:val="a8"/>
    <w:rsid w:val="00850D76"/>
    <w:pPr>
      <w:spacing w:line="720" w:lineRule="auto"/>
      <w:ind w:left="720" w:hanging="720"/>
      <w:jc w:val="both"/>
    </w:pPr>
    <w:rPr>
      <w:rFonts w:ascii="Arial" w:eastAsia="Times New Roman" w:hAnsi="Arial"/>
    </w:rPr>
  </w:style>
  <w:style w:type="character" w:customStyle="1" w:styleId="a8">
    <w:name w:val="כניסה בגוף טקסט תו"/>
    <w:link w:val="a7"/>
    <w:rsid w:val="00850D76"/>
    <w:rPr>
      <w:rFonts w:ascii="Arial" w:hAnsi="Arial" w:cs="David"/>
      <w:sz w:val="24"/>
      <w:szCs w:val="24"/>
      <w:lang w:val="en-US" w:eastAsia="en-US" w:bidi="he-IL"/>
    </w:rPr>
  </w:style>
  <w:style w:type="paragraph" w:customStyle="1" w:styleId="ListParagraph">
    <w:name w:val="List Paragraph"/>
    <w:basedOn w:val="a"/>
    <w:rsid w:val="00850D76"/>
    <w:pPr>
      <w:ind w:left="720"/>
      <w:contextualSpacing/>
    </w:pPr>
    <w:rPr>
      <w:rFonts w:ascii="Times New Roman" w:eastAsia="Times New Roman" w:hAnsi="Times New Roman"/>
    </w:rPr>
  </w:style>
  <w:style w:type="character" w:styleId="Hyperlink">
    <w:name w:val="Hyperlink"/>
    <w:rsid w:val="00E03B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 TargetMode="External"/><Relationship Id="rId18" Type="http://schemas.openxmlformats.org/officeDocument/2006/relationships/hyperlink" Target="http://www.nevo.co.il/law/70301/40d.a" TargetMode="External"/><Relationship Id="rId26" Type="http://schemas.openxmlformats.org/officeDocument/2006/relationships/hyperlink" Target="http://www.nevo.co.il/law/70301/fCa1S" TargetMode="External"/><Relationship Id="rId39" Type="http://schemas.openxmlformats.org/officeDocument/2006/relationships/header" Target="header2.xml"/><Relationship Id="rId21" Type="http://schemas.openxmlformats.org/officeDocument/2006/relationships/hyperlink" Target="http://www.nevo.co.il/law/4216/7.a.;7.c" TargetMode="External"/><Relationship Id="rId34" Type="http://schemas.openxmlformats.org/officeDocument/2006/relationships/hyperlink" Target="http://www.nevo.co.il/law/4216/14"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0" Type="http://schemas.openxmlformats.org/officeDocument/2006/relationships/hyperlink" Target="http://www.nevo.co.il/law/70301/fCa1S" TargetMode="External"/><Relationship Id="rId29" Type="http://schemas.openxmlformats.org/officeDocument/2006/relationships/hyperlink" Target="http://www.nevo.co.il/law/70301/40c.b"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4"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law/70301/40e" TargetMode="External"/><Relationship Id="rId37" Type="http://schemas.openxmlformats.org/officeDocument/2006/relationships/hyperlink" Target="http://www.nevo.co.il/law/4216/37a.a"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216/31.3" TargetMode="External"/><Relationship Id="rId28" Type="http://schemas.openxmlformats.org/officeDocument/2006/relationships/hyperlink" Target="http://www.nevo.co.il/case/17932979" TargetMode="External"/><Relationship Id="rId36" Type="http://schemas.openxmlformats.org/officeDocument/2006/relationships/hyperlink" Target="http://www.nevo.co.il/law/4216/37a.a.1"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40e" TargetMode="External"/><Relationship Id="rId31" Type="http://schemas.openxmlformats.org/officeDocument/2006/relationships/hyperlink" Target="http://www.nevo.co.il/law/70301/40d.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37a.a.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26579"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7.a.;7.c"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1.3" TargetMode="External"/><Relationship Id="rId17" Type="http://schemas.openxmlformats.org/officeDocument/2006/relationships/hyperlink" Target="http://www.nevo.co.il/law/70301/40c.b"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13"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1581</Words>
  <Characters>7910</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9473</CharactersWithSpaces>
  <SharedDoc>false</SharedDoc>
  <HLinks>
    <vt:vector size="186" baseType="variant">
      <vt:variant>
        <vt:i4>5046355</vt:i4>
      </vt:variant>
      <vt:variant>
        <vt:i4>90</vt:i4>
      </vt:variant>
      <vt:variant>
        <vt:i4>0</vt:i4>
      </vt:variant>
      <vt:variant>
        <vt:i4>5</vt:i4>
      </vt:variant>
      <vt:variant>
        <vt:lpwstr>http://www.nevo.co.il/law/4216/37a.a</vt:lpwstr>
      </vt:variant>
      <vt:variant>
        <vt:lpwstr/>
      </vt:variant>
      <vt:variant>
        <vt:i4>8126589</vt:i4>
      </vt:variant>
      <vt:variant>
        <vt:i4>87</vt:i4>
      </vt:variant>
      <vt:variant>
        <vt:i4>0</vt:i4>
      </vt:variant>
      <vt:variant>
        <vt:i4>5</vt:i4>
      </vt:variant>
      <vt:variant>
        <vt:lpwstr>http://www.nevo.co.il/law/4216/37a.a.1</vt:lpwstr>
      </vt:variant>
      <vt:variant>
        <vt:lpwstr/>
      </vt:variant>
      <vt:variant>
        <vt:i4>3997821</vt:i4>
      </vt:variant>
      <vt:variant>
        <vt:i4>84</vt:i4>
      </vt:variant>
      <vt:variant>
        <vt:i4>0</vt:i4>
      </vt:variant>
      <vt:variant>
        <vt:i4>5</vt:i4>
      </vt:variant>
      <vt:variant>
        <vt:lpwstr>http://www.nevo.co.il/law/4216/7.a.;7.c</vt:lpwstr>
      </vt:variant>
      <vt:variant>
        <vt:lpwstr/>
      </vt:variant>
      <vt:variant>
        <vt:i4>5177418</vt:i4>
      </vt:variant>
      <vt:variant>
        <vt:i4>81</vt:i4>
      </vt:variant>
      <vt:variant>
        <vt:i4>0</vt:i4>
      </vt:variant>
      <vt:variant>
        <vt:i4>5</vt:i4>
      </vt:variant>
      <vt:variant>
        <vt:lpwstr>http://www.nevo.co.il/law/4216/14</vt:lpwstr>
      </vt:variant>
      <vt:variant>
        <vt:lpwstr/>
      </vt:variant>
      <vt:variant>
        <vt:i4>5177418</vt:i4>
      </vt:variant>
      <vt:variant>
        <vt:i4>78</vt:i4>
      </vt:variant>
      <vt:variant>
        <vt:i4>0</vt:i4>
      </vt:variant>
      <vt:variant>
        <vt:i4>5</vt:i4>
      </vt:variant>
      <vt:variant>
        <vt:lpwstr>http://www.nevo.co.il/law/4216/13</vt:lpwstr>
      </vt:variant>
      <vt:variant>
        <vt:lpwstr/>
      </vt:variant>
      <vt:variant>
        <vt:i4>6619233</vt:i4>
      </vt:variant>
      <vt:variant>
        <vt:i4>75</vt:i4>
      </vt:variant>
      <vt:variant>
        <vt:i4>0</vt:i4>
      </vt:variant>
      <vt:variant>
        <vt:i4>5</vt:i4>
      </vt:variant>
      <vt:variant>
        <vt:lpwstr>http://www.nevo.co.il/law/70301/40e</vt:lpwstr>
      </vt:variant>
      <vt:variant>
        <vt:lpwstr/>
      </vt:variant>
      <vt:variant>
        <vt:i4>4915205</vt:i4>
      </vt:variant>
      <vt:variant>
        <vt:i4>72</vt:i4>
      </vt:variant>
      <vt:variant>
        <vt:i4>0</vt:i4>
      </vt:variant>
      <vt:variant>
        <vt:i4>5</vt:i4>
      </vt:variant>
      <vt:variant>
        <vt:lpwstr>http://www.nevo.co.il/law/70301/40d.a</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http://www.nevo.co.il/law/70301/40c.b</vt:lpwstr>
      </vt:variant>
      <vt:variant>
        <vt:lpwstr/>
      </vt:variant>
      <vt:variant>
        <vt:i4>3997817</vt:i4>
      </vt:variant>
      <vt:variant>
        <vt:i4>63</vt:i4>
      </vt:variant>
      <vt:variant>
        <vt:i4>0</vt:i4>
      </vt:variant>
      <vt:variant>
        <vt:i4>5</vt:i4>
      </vt:variant>
      <vt:variant>
        <vt:lpwstr>http://www.nevo.co.il/case/17932979</vt:lpwstr>
      </vt:variant>
      <vt:variant>
        <vt:lpwstr/>
      </vt:variant>
      <vt:variant>
        <vt:i4>3866738</vt:i4>
      </vt:variant>
      <vt:variant>
        <vt:i4>60</vt:i4>
      </vt:variant>
      <vt:variant>
        <vt:i4>0</vt:i4>
      </vt:variant>
      <vt:variant>
        <vt:i4>5</vt:i4>
      </vt:variant>
      <vt:variant>
        <vt:lpwstr>http://www.nevo.co.il/case/5726579</vt:lpwstr>
      </vt:variant>
      <vt:variant>
        <vt:lpwstr/>
      </vt:variant>
      <vt:variant>
        <vt:i4>458834</vt:i4>
      </vt:variant>
      <vt:variant>
        <vt:i4>57</vt:i4>
      </vt:variant>
      <vt:variant>
        <vt:i4>0</vt:i4>
      </vt:variant>
      <vt:variant>
        <vt:i4>5</vt:i4>
      </vt:variant>
      <vt:variant>
        <vt:lpwstr>http://www.nevo.co.il/law/70301/fCa1S</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6488187</vt:i4>
      </vt:variant>
      <vt:variant>
        <vt:i4>48</vt:i4>
      </vt:variant>
      <vt:variant>
        <vt:i4>0</vt:i4>
      </vt:variant>
      <vt:variant>
        <vt:i4>5</vt:i4>
      </vt:variant>
      <vt:variant>
        <vt:lpwstr>http://www.nevo.co.il/law/4216/31.3</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458834</vt:i4>
      </vt:variant>
      <vt:variant>
        <vt:i4>39</vt:i4>
      </vt:variant>
      <vt:variant>
        <vt:i4>0</vt:i4>
      </vt:variant>
      <vt:variant>
        <vt:i4>5</vt:i4>
      </vt:variant>
      <vt:variant>
        <vt:lpwstr>http://www.nevo.co.il/law/70301/fCa1S</vt:lpwstr>
      </vt:variant>
      <vt:variant>
        <vt:lpwstr/>
      </vt:variant>
      <vt:variant>
        <vt:i4>6619233</vt:i4>
      </vt:variant>
      <vt:variant>
        <vt:i4>36</vt:i4>
      </vt:variant>
      <vt:variant>
        <vt:i4>0</vt:i4>
      </vt:variant>
      <vt:variant>
        <vt:i4>5</vt:i4>
      </vt:variant>
      <vt:variant>
        <vt:lpwstr>http://www.nevo.co.il/law/70301/40e</vt:lpwstr>
      </vt:variant>
      <vt:variant>
        <vt:lpwstr/>
      </vt:variant>
      <vt:variant>
        <vt:i4>4915205</vt:i4>
      </vt:variant>
      <vt:variant>
        <vt:i4>33</vt:i4>
      </vt:variant>
      <vt:variant>
        <vt:i4>0</vt:i4>
      </vt:variant>
      <vt:variant>
        <vt:i4>5</vt:i4>
      </vt:variant>
      <vt:variant>
        <vt:lpwstr>http://www.nevo.co.il/law/70301/40d.a</vt:lpwstr>
      </vt:variant>
      <vt:variant>
        <vt:lpwstr/>
      </vt:variant>
      <vt:variant>
        <vt:i4>4915202</vt:i4>
      </vt:variant>
      <vt:variant>
        <vt:i4>30</vt:i4>
      </vt:variant>
      <vt:variant>
        <vt:i4>0</vt:i4>
      </vt:variant>
      <vt:variant>
        <vt:i4>5</vt:i4>
      </vt:variant>
      <vt:variant>
        <vt:lpwstr>http://www.nevo.co.il/law/70301/40c.b</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8126589</vt:i4>
      </vt:variant>
      <vt:variant>
        <vt:i4>21</vt:i4>
      </vt:variant>
      <vt:variant>
        <vt:i4>0</vt:i4>
      </vt:variant>
      <vt:variant>
        <vt:i4>5</vt:i4>
      </vt:variant>
      <vt:variant>
        <vt:lpwstr>http://www.nevo.co.il/law/4216/37a.a.1</vt:lpwstr>
      </vt:variant>
      <vt:variant>
        <vt:lpwstr/>
      </vt:variant>
      <vt:variant>
        <vt:i4>5046355</vt:i4>
      </vt:variant>
      <vt:variant>
        <vt:i4>18</vt:i4>
      </vt:variant>
      <vt:variant>
        <vt:i4>0</vt:i4>
      </vt:variant>
      <vt:variant>
        <vt:i4>5</vt:i4>
      </vt:variant>
      <vt:variant>
        <vt:lpwstr>http://www.nevo.co.il/law/4216/37a.a</vt:lpwstr>
      </vt:variant>
      <vt:variant>
        <vt:lpwstr/>
      </vt:variant>
      <vt:variant>
        <vt:i4>6488187</vt:i4>
      </vt:variant>
      <vt:variant>
        <vt:i4>15</vt:i4>
      </vt:variant>
      <vt:variant>
        <vt:i4>0</vt:i4>
      </vt:variant>
      <vt:variant>
        <vt:i4>5</vt:i4>
      </vt:variant>
      <vt:variant>
        <vt:lpwstr>http://www.nevo.co.il/law/4216/31.3</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2025-04-22T21:46:00Z</dcterms:created>
  <dcterms:modified xsi:type="dcterms:W3CDTF">2025-04-22T21:46:00Z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9056</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אבראהים עראבי</vt:lpwstr>
  </property>
  <property fmtid="{D5CDD505-2E9C-101B-9397-08002B2CF9AE}" pid="10" name="LAWYER">
    <vt:lpwstr>רון קופר;יניב אביטן</vt:lpwstr>
  </property>
  <property fmtid="{D5CDD505-2E9C-101B-9397-08002B2CF9AE}" pid="11" name="JUDGE">
    <vt:lpwstr>משה אלטר</vt:lpwstr>
  </property>
  <property fmtid="{D5CDD505-2E9C-101B-9397-08002B2CF9AE}" pid="12" name="CITY">
    <vt:lpwstr>עכו</vt:lpwstr>
  </property>
  <property fmtid="{D5CDD505-2E9C-101B-9397-08002B2CF9AE}" pid="13" name="DATE">
    <vt:lpwstr>20130423</vt:lpwstr>
  </property>
  <property fmtid="{D5CDD505-2E9C-101B-9397-08002B2CF9AE}" pid="14" name="TYPE_N_DATE">
    <vt:lpwstr>38020130423</vt:lpwstr>
  </property>
  <property fmtid="{D5CDD505-2E9C-101B-9397-08002B2CF9AE}" pid="15" name="WORDNUMPAGES">
    <vt:lpwstr>6</vt:lpwstr>
  </property>
  <property fmtid="{D5CDD505-2E9C-101B-9397-08002B2CF9AE}" pid="16" name="TYPE_ABS_DATE">
    <vt:lpwstr>380020130423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5726579;17932979</vt:lpwstr>
  </property>
  <property fmtid="{D5CDD505-2E9C-101B-9397-08002B2CF9AE}" pid="36" name="LAWLISTTMP1">
    <vt:lpwstr>4216/007.a:2;007.c:2;031.3;013;014;037a.a.1;037a.a</vt:lpwstr>
  </property>
  <property fmtid="{D5CDD505-2E9C-101B-9397-08002B2CF9AE}" pid="37" name="LAWLISTTMP2">
    <vt:lpwstr>70301/040c.a;fCa1S;040c.b;040d.a;040e</vt:lpwstr>
  </property>
</Properties>
</file>