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2"/>
        <w:gridCol w:w="3669"/>
      </w:tblGrid>
      <w:tr w:rsidR="00097756" w:rsidRPr="006942B9" w14:paraId="3AE2CE5F" w14:textId="77777777">
        <w:trPr>
          <w:trHeight w:hRule="exact" w:val="418"/>
          <w:jc w:val="center"/>
        </w:trPr>
        <w:tc>
          <w:tcPr>
            <w:tcW w:w="8721" w:type="dxa"/>
            <w:gridSpan w:val="2"/>
          </w:tcPr>
          <w:p w14:paraId="63A48DDA" w14:textId="77777777" w:rsidR="00097756" w:rsidRPr="006942B9" w:rsidRDefault="006942B9">
            <w:pPr>
              <w:pStyle w:val="a3"/>
              <w:jc w:val="center"/>
              <w:rPr>
                <w:rFonts w:ascii="Tahoma" w:hAnsi="Tahoma" w:cs="Tahoma"/>
                <w:color w:val="000080"/>
                <w:rtl/>
              </w:rPr>
            </w:pPr>
            <w:bookmarkStart w:id="0" w:name="FirstLawyer"/>
            <w:bookmarkStart w:id="1" w:name="LastJudge"/>
            <w:r w:rsidRPr="006942B9">
              <w:rPr>
                <w:rFonts w:ascii="Tahoma" w:hAnsi="Tahoma" w:cs="Tahoma"/>
                <w:b/>
                <w:bCs/>
                <w:color w:val="000080"/>
                <w:rtl/>
              </w:rPr>
              <w:t>בית משפט השלום ברמלה</w:t>
            </w:r>
          </w:p>
        </w:tc>
      </w:tr>
      <w:tr w:rsidR="00097756" w:rsidRPr="006942B9" w14:paraId="307E797D" w14:textId="77777777">
        <w:trPr>
          <w:trHeight w:val="337"/>
          <w:jc w:val="center"/>
        </w:trPr>
        <w:tc>
          <w:tcPr>
            <w:tcW w:w="5052" w:type="dxa"/>
          </w:tcPr>
          <w:p w14:paraId="2A13D4C0" w14:textId="77777777" w:rsidR="00097756" w:rsidRPr="006942B9" w:rsidRDefault="006942B9">
            <w:pPr>
              <w:rPr>
                <w:rFonts w:cs="FrankRuehl"/>
                <w:sz w:val="28"/>
                <w:szCs w:val="28"/>
                <w:rtl/>
              </w:rPr>
            </w:pPr>
            <w:r w:rsidRPr="006942B9">
              <w:rPr>
                <w:rFonts w:cs="FrankRuehl"/>
                <w:sz w:val="28"/>
                <w:szCs w:val="28"/>
                <w:rtl/>
              </w:rPr>
              <w:t>ת"פ</w:t>
            </w:r>
            <w:r w:rsidRPr="006942B9">
              <w:rPr>
                <w:rFonts w:cs="FrankRuehl" w:hint="cs"/>
                <w:sz w:val="28"/>
                <w:szCs w:val="28"/>
                <w:rtl/>
              </w:rPr>
              <w:t xml:space="preserve"> </w:t>
            </w:r>
            <w:r w:rsidRPr="006942B9">
              <w:rPr>
                <w:rFonts w:cs="FrankRuehl"/>
                <w:sz w:val="28"/>
                <w:szCs w:val="28"/>
                <w:rtl/>
              </w:rPr>
              <w:t>20928-07-12</w:t>
            </w:r>
            <w:r w:rsidRPr="006942B9">
              <w:rPr>
                <w:rFonts w:cs="FrankRuehl" w:hint="cs"/>
                <w:sz w:val="28"/>
                <w:szCs w:val="28"/>
                <w:rtl/>
              </w:rPr>
              <w:t xml:space="preserve"> </w:t>
            </w:r>
            <w:r w:rsidRPr="006942B9">
              <w:rPr>
                <w:rFonts w:cs="FrankRuehl"/>
                <w:sz w:val="28"/>
                <w:szCs w:val="28"/>
                <w:rtl/>
              </w:rPr>
              <w:t>מדינת ישראל נ' אתן</w:t>
            </w:r>
            <w:r w:rsidR="002017D1">
              <w:rPr>
                <w:rFonts w:cs="FrankRuehl" w:hint="cs"/>
                <w:sz w:val="28"/>
                <w:szCs w:val="28"/>
                <w:rtl/>
              </w:rPr>
              <w:t xml:space="preserve"> </w:t>
            </w:r>
            <w:r w:rsidRPr="006942B9">
              <w:rPr>
                <w:rFonts w:cs="FrankRuehl"/>
                <w:sz w:val="28"/>
                <w:szCs w:val="28"/>
                <w:rtl/>
              </w:rPr>
              <w:t>(עציר)</w:t>
            </w:r>
          </w:p>
          <w:p w14:paraId="55D5931B" w14:textId="77777777" w:rsidR="00097756" w:rsidRPr="006942B9" w:rsidRDefault="00097756">
            <w:pPr>
              <w:rPr>
                <w:rFonts w:hint="cs"/>
              </w:rPr>
            </w:pPr>
          </w:p>
        </w:tc>
        <w:tc>
          <w:tcPr>
            <w:tcW w:w="3669" w:type="dxa"/>
          </w:tcPr>
          <w:p w14:paraId="7D7945FA" w14:textId="77777777" w:rsidR="00097756" w:rsidRPr="006942B9" w:rsidRDefault="006942B9">
            <w:pPr>
              <w:pStyle w:val="a3"/>
              <w:jc w:val="right"/>
              <w:rPr>
                <w:rFonts w:cs="FrankRuehl"/>
                <w:sz w:val="28"/>
                <w:szCs w:val="28"/>
                <w:rtl/>
              </w:rPr>
            </w:pPr>
            <w:r w:rsidRPr="006942B9">
              <w:rPr>
                <w:rFonts w:cs="FrankRuehl" w:hint="cs"/>
                <w:sz w:val="28"/>
                <w:szCs w:val="28"/>
                <w:rtl/>
              </w:rPr>
              <w:t>09 מאי 2013</w:t>
            </w:r>
            <w:r w:rsidRPr="006942B9">
              <w:rPr>
                <w:rFonts w:cs="FrankRuehl"/>
                <w:sz w:val="28"/>
                <w:szCs w:val="28"/>
                <w:rtl/>
              </w:rPr>
              <w:t xml:space="preserve"> 2013</w:t>
            </w:r>
          </w:p>
        </w:tc>
      </w:tr>
    </w:tbl>
    <w:p w14:paraId="7F077903" w14:textId="77777777" w:rsidR="00097756" w:rsidRPr="006942B9" w:rsidRDefault="006942B9">
      <w:pPr>
        <w:pStyle w:val="a3"/>
        <w:rPr>
          <w:rtl/>
        </w:rPr>
      </w:pPr>
      <w:r w:rsidRPr="006942B9">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97756" w:rsidRPr="006942B9" w14:paraId="519A6E3A" w14:textId="77777777">
        <w:trPr>
          <w:trHeight w:val="295"/>
          <w:jc w:val="center"/>
        </w:trPr>
        <w:tc>
          <w:tcPr>
            <w:tcW w:w="923" w:type="dxa"/>
            <w:tcBorders>
              <w:top w:val="nil"/>
              <w:left w:val="nil"/>
              <w:bottom w:val="nil"/>
              <w:right w:val="nil"/>
            </w:tcBorders>
          </w:tcPr>
          <w:p w14:paraId="5CBA68AA" w14:textId="77777777" w:rsidR="00097756" w:rsidRPr="006942B9" w:rsidRDefault="006942B9">
            <w:pPr>
              <w:jc w:val="both"/>
              <w:rPr>
                <w:rFonts w:ascii="Arial" w:hAnsi="Arial"/>
                <w:sz w:val="28"/>
                <w:szCs w:val="28"/>
                <w:rtl/>
              </w:rPr>
            </w:pPr>
            <w:r w:rsidRPr="006942B9">
              <w:rPr>
                <w:rFonts w:ascii="Arial" w:hAnsi="Arial" w:hint="cs"/>
                <w:sz w:val="28"/>
                <w:szCs w:val="28"/>
                <w:rtl/>
              </w:rPr>
              <w:t>ב</w:t>
            </w:r>
            <w:r w:rsidRPr="006942B9">
              <w:rPr>
                <w:rFonts w:ascii="Arial" w:hAnsi="Arial"/>
                <w:sz w:val="28"/>
                <w:szCs w:val="28"/>
                <w:rtl/>
              </w:rPr>
              <w:t xml:space="preserve">פני </w:t>
            </w:r>
          </w:p>
        </w:tc>
        <w:tc>
          <w:tcPr>
            <w:tcW w:w="7897" w:type="dxa"/>
            <w:gridSpan w:val="2"/>
            <w:tcBorders>
              <w:top w:val="nil"/>
              <w:left w:val="nil"/>
              <w:bottom w:val="nil"/>
              <w:right w:val="nil"/>
            </w:tcBorders>
          </w:tcPr>
          <w:p w14:paraId="764E3645" w14:textId="77777777" w:rsidR="00097756" w:rsidRPr="006942B9" w:rsidRDefault="006942B9">
            <w:pPr>
              <w:rPr>
                <w:rFonts w:ascii="Arial" w:hAnsi="Arial"/>
                <w:b/>
                <w:bCs/>
                <w:sz w:val="28"/>
                <w:szCs w:val="28"/>
                <w:rtl/>
              </w:rPr>
            </w:pPr>
            <w:r w:rsidRPr="006942B9">
              <w:rPr>
                <w:rFonts w:ascii="Arial" w:hAnsi="Arial" w:hint="cs"/>
                <w:b/>
                <w:bCs/>
                <w:sz w:val="28"/>
                <w:szCs w:val="28"/>
                <w:rtl/>
              </w:rPr>
              <w:t>כב' ה</w:t>
            </w:r>
            <w:r w:rsidRPr="006942B9">
              <w:rPr>
                <w:rFonts w:hint="cs"/>
                <w:sz w:val="28"/>
                <w:szCs w:val="28"/>
                <w:rtl/>
              </w:rPr>
              <w:t>שופט</w:t>
            </w:r>
            <w:r w:rsidRPr="006942B9">
              <w:rPr>
                <w:rFonts w:ascii="Arial" w:hAnsi="Arial" w:hint="cs"/>
                <w:b/>
                <w:bCs/>
                <w:sz w:val="28"/>
                <w:szCs w:val="28"/>
                <w:rtl/>
              </w:rPr>
              <w:t xml:space="preserve">  </w:t>
            </w:r>
            <w:r w:rsidRPr="006942B9">
              <w:rPr>
                <w:rFonts w:hint="cs"/>
                <w:sz w:val="28"/>
                <w:szCs w:val="28"/>
                <w:rtl/>
              </w:rPr>
              <w:t>הישאם  אבו שחאדה</w:t>
            </w:r>
          </w:p>
          <w:p w14:paraId="3184E037" w14:textId="77777777" w:rsidR="00097756" w:rsidRPr="006942B9" w:rsidRDefault="00097756">
            <w:pPr>
              <w:jc w:val="both"/>
              <w:rPr>
                <w:rFonts w:ascii="Arial" w:hAnsi="Arial"/>
                <w:sz w:val="28"/>
                <w:szCs w:val="28"/>
              </w:rPr>
            </w:pPr>
          </w:p>
        </w:tc>
      </w:tr>
      <w:tr w:rsidR="00097756" w:rsidRPr="006942B9" w14:paraId="68F5A664" w14:textId="77777777">
        <w:trPr>
          <w:trHeight w:val="355"/>
          <w:jc w:val="center"/>
        </w:trPr>
        <w:tc>
          <w:tcPr>
            <w:tcW w:w="923" w:type="dxa"/>
            <w:tcBorders>
              <w:top w:val="nil"/>
              <w:left w:val="nil"/>
              <w:bottom w:val="nil"/>
              <w:right w:val="nil"/>
            </w:tcBorders>
          </w:tcPr>
          <w:p w14:paraId="2C839584" w14:textId="77777777" w:rsidR="00097756" w:rsidRPr="006942B9" w:rsidRDefault="00097756">
            <w:pPr>
              <w:jc w:val="both"/>
              <w:rPr>
                <w:rFonts w:ascii="Arial" w:hAnsi="Arial"/>
                <w:sz w:val="28"/>
                <w:szCs w:val="28"/>
                <w:rtl/>
              </w:rPr>
            </w:pPr>
            <w:bookmarkStart w:id="2" w:name="FirstAppellant"/>
          </w:p>
          <w:p w14:paraId="4F0BB8C0" w14:textId="77777777" w:rsidR="00097756" w:rsidRPr="006942B9" w:rsidRDefault="006942B9">
            <w:pPr>
              <w:jc w:val="both"/>
              <w:rPr>
                <w:rFonts w:ascii="Arial" w:hAnsi="Arial"/>
                <w:sz w:val="28"/>
                <w:szCs w:val="28"/>
              </w:rPr>
            </w:pPr>
            <w:r w:rsidRPr="006942B9">
              <w:rPr>
                <w:rFonts w:ascii="Arial" w:hAnsi="Arial" w:hint="cs"/>
                <w:sz w:val="28"/>
                <w:szCs w:val="28"/>
                <w:rtl/>
              </w:rPr>
              <w:t>בעניין:</w:t>
            </w:r>
          </w:p>
        </w:tc>
        <w:tc>
          <w:tcPr>
            <w:tcW w:w="4126" w:type="dxa"/>
            <w:tcBorders>
              <w:top w:val="nil"/>
              <w:left w:val="nil"/>
              <w:bottom w:val="nil"/>
              <w:right w:val="nil"/>
            </w:tcBorders>
          </w:tcPr>
          <w:p w14:paraId="0FBB88C0" w14:textId="77777777" w:rsidR="00097756" w:rsidRPr="006942B9" w:rsidRDefault="006942B9">
            <w:pPr>
              <w:rPr>
                <w:sz w:val="28"/>
                <w:szCs w:val="28"/>
              </w:rPr>
            </w:pPr>
            <w:r w:rsidRPr="006942B9">
              <w:rPr>
                <w:rFonts w:hint="cs"/>
                <w:b/>
                <w:bCs/>
                <w:sz w:val="28"/>
                <w:szCs w:val="28"/>
                <w:rtl/>
              </w:rPr>
              <w:br/>
              <w:t xml:space="preserve">המאשימה - מדינת ישראל </w:t>
            </w:r>
            <w:r w:rsidRPr="006942B9">
              <w:rPr>
                <w:rFonts w:hint="cs"/>
                <w:b/>
                <w:bCs/>
                <w:sz w:val="28"/>
                <w:szCs w:val="28"/>
                <w:rtl/>
              </w:rPr>
              <w:br/>
              <w:t xml:space="preserve">ע"י פרקליטות מחוז מרכז </w:t>
            </w:r>
            <w:r w:rsidRPr="006942B9">
              <w:rPr>
                <w:rFonts w:hint="cs"/>
                <w:b/>
                <w:bCs/>
                <w:sz w:val="28"/>
                <w:szCs w:val="28"/>
                <w:rtl/>
              </w:rPr>
              <w:br/>
              <w:t>באמצעות המתמחה מר דניאל אשכנזי</w:t>
            </w:r>
          </w:p>
        </w:tc>
        <w:tc>
          <w:tcPr>
            <w:tcW w:w="3771" w:type="dxa"/>
            <w:tcBorders>
              <w:top w:val="nil"/>
              <w:left w:val="nil"/>
              <w:bottom w:val="nil"/>
              <w:right w:val="nil"/>
            </w:tcBorders>
          </w:tcPr>
          <w:p w14:paraId="2879EFEA" w14:textId="77777777" w:rsidR="00097756" w:rsidRPr="006942B9" w:rsidRDefault="00097756">
            <w:pPr>
              <w:jc w:val="both"/>
              <w:rPr>
                <w:rFonts w:ascii="Arial" w:hAnsi="Arial"/>
                <w:sz w:val="28"/>
                <w:szCs w:val="28"/>
              </w:rPr>
            </w:pPr>
          </w:p>
        </w:tc>
      </w:tr>
      <w:bookmarkEnd w:id="2"/>
      <w:tr w:rsidR="00097756" w:rsidRPr="006942B9" w14:paraId="39BF597A" w14:textId="77777777">
        <w:trPr>
          <w:gridAfter w:val="2"/>
          <w:wAfter w:w="7897" w:type="dxa"/>
          <w:trHeight w:val="355"/>
          <w:jc w:val="center"/>
        </w:trPr>
        <w:tc>
          <w:tcPr>
            <w:tcW w:w="923" w:type="dxa"/>
            <w:tcBorders>
              <w:top w:val="nil"/>
              <w:left w:val="nil"/>
              <w:bottom w:val="nil"/>
              <w:right w:val="nil"/>
            </w:tcBorders>
          </w:tcPr>
          <w:p w14:paraId="32FD47FC" w14:textId="77777777" w:rsidR="00097756" w:rsidRPr="006942B9" w:rsidRDefault="00097756">
            <w:pPr>
              <w:jc w:val="both"/>
              <w:rPr>
                <w:rFonts w:ascii="Arial" w:hAnsi="Arial"/>
                <w:sz w:val="28"/>
                <w:szCs w:val="28"/>
                <w:rtl/>
              </w:rPr>
            </w:pPr>
          </w:p>
        </w:tc>
      </w:tr>
      <w:tr w:rsidR="00097756" w:rsidRPr="006942B9" w14:paraId="0F911E0F" w14:textId="77777777">
        <w:trPr>
          <w:trHeight w:val="355"/>
          <w:jc w:val="center"/>
        </w:trPr>
        <w:tc>
          <w:tcPr>
            <w:tcW w:w="923" w:type="dxa"/>
            <w:tcBorders>
              <w:top w:val="nil"/>
              <w:left w:val="nil"/>
              <w:bottom w:val="nil"/>
              <w:right w:val="nil"/>
            </w:tcBorders>
          </w:tcPr>
          <w:p w14:paraId="7CD8695F" w14:textId="77777777" w:rsidR="00097756" w:rsidRPr="006942B9" w:rsidRDefault="00097756">
            <w:pPr>
              <w:jc w:val="center"/>
              <w:rPr>
                <w:rFonts w:ascii="Arial" w:hAnsi="Arial"/>
                <w:sz w:val="28"/>
                <w:szCs w:val="28"/>
                <w:rtl/>
              </w:rPr>
            </w:pPr>
          </w:p>
        </w:tc>
        <w:tc>
          <w:tcPr>
            <w:tcW w:w="7897" w:type="dxa"/>
            <w:gridSpan w:val="2"/>
            <w:tcBorders>
              <w:top w:val="nil"/>
              <w:left w:val="nil"/>
              <w:bottom w:val="nil"/>
              <w:right w:val="nil"/>
            </w:tcBorders>
          </w:tcPr>
          <w:p w14:paraId="154F495E" w14:textId="77777777" w:rsidR="00097756" w:rsidRPr="006942B9" w:rsidRDefault="00097756">
            <w:pPr>
              <w:jc w:val="center"/>
              <w:rPr>
                <w:rFonts w:ascii="Arial" w:hAnsi="Arial"/>
                <w:b/>
                <w:bCs/>
                <w:sz w:val="28"/>
                <w:szCs w:val="28"/>
                <w:rtl/>
              </w:rPr>
            </w:pPr>
          </w:p>
          <w:p w14:paraId="1DBE4556" w14:textId="77777777" w:rsidR="00097756" w:rsidRPr="006942B9" w:rsidRDefault="006942B9">
            <w:pPr>
              <w:jc w:val="center"/>
              <w:rPr>
                <w:rFonts w:ascii="Arial" w:hAnsi="Arial"/>
                <w:b/>
                <w:bCs/>
                <w:sz w:val="28"/>
                <w:szCs w:val="28"/>
                <w:rtl/>
              </w:rPr>
            </w:pPr>
            <w:r w:rsidRPr="006942B9">
              <w:rPr>
                <w:rFonts w:ascii="Arial" w:hAnsi="Arial"/>
                <w:b/>
                <w:bCs/>
                <w:sz w:val="28"/>
                <w:szCs w:val="28"/>
                <w:rtl/>
              </w:rPr>
              <w:t>נגד</w:t>
            </w:r>
          </w:p>
          <w:p w14:paraId="2776B1D6" w14:textId="77777777" w:rsidR="00097756" w:rsidRPr="006942B9" w:rsidRDefault="00097756">
            <w:pPr>
              <w:jc w:val="center"/>
              <w:rPr>
                <w:rFonts w:ascii="Arial" w:hAnsi="Arial"/>
                <w:sz w:val="28"/>
                <w:szCs w:val="28"/>
              </w:rPr>
            </w:pPr>
          </w:p>
        </w:tc>
      </w:tr>
      <w:tr w:rsidR="00097756" w:rsidRPr="006942B9" w14:paraId="1DB1E81F" w14:textId="77777777">
        <w:trPr>
          <w:trHeight w:val="355"/>
          <w:jc w:val="center"/>
        </w:trPr>
        <w:tc>
          <w:tcPr>
            <w:tcW w:w="923" w:type="dxa"/>
            <w:tcBorders>
              <w:top w:val="nil"/>
              <w:left w:val="nil"/>
              <w:bottom w:val="nil"/>
              <w:right w:val="nil"/>
            </w:tcBorders>
          </w:tcPr>
          <w:p w14:paraId="4D3AEB95" w14:textId="77777777" w:rsidR="00097756" w:rsidRPr="006942B9" w:rsidRDefault="00097756">
            <w:pPr>
              <w:rPr>
                <w:rFonts w:ascii="Arial" w:hAnsi="Arial"/>
                <w:b/>
                <w:bCs/>
                <w:sz w:val="28"/>
                <w:szCs w:val="28"/>
                <w:rtl/>
              </w:rPr>
            </w:pPr>
          </w:p>
          <w:p w14:paraId="686C8D91" w14:textId="77777777" w:rsidR="00097756" w:rsidRPr="006942B9" w:rsidRDefault="00097756">
            <w:pPr>
              <w:rPr>
                <w:rFonts w:ascii="Arial" w:hAnsi="Arial"/>
                <w:b/>
                <w:bCs/>
                <w:sz w:val="28"/>
                <w:szCs w:val="28"/>
                <w:rtl/>
              </w:rPr>
            </w:pPr>
          </w:p>
          <w:p w14:paraId="277FD6BC" w14:textId="77777777" w:rsidR="00097756" w:rsidRPr="006942B9" w:rsidRDefault="00097756">
            <w:pPr>
              <w:rPr>
                <w:rFonts w:ascii="Arial" w:hAnsi="Arial"/>
                <w:b/>
                <w:bCs/>
                <w:sz w:val="28"/>
                <w:szCs w:val="28"/>
                <w:rtl/>
              </w:rPr>
            </w:pPr>
          </w:p>
        </w:tc>
        <w:tc>
          <w:tcPr>
            <w:tcW w:w="4126" w:type="dxa"/>
            <w:tcBorders>
              <w:top w:val="nil"/>
              <w:left w:val="nil"/>
              <w:bottom w:val="nil"/>
              <w:right w:val="nil"/>
            </w:tcBorders>
          </w:tcPr>
          <w:p w14:paraId="6E5DA2B7" w14:textId="77777777" w:rsidR="00097756" w:rsidRPr="006942B9" w:rsidRDefault="006942B9">
            <w:pPr>
              <w:rPr>
                <w:b/>
                <w:bCs/>
                <w:sz w:val="28"/>
                <w:szCs w:val="28"/>
                <w:rtl/>
              </w:rPr>
            </w:pPr>
            <w:r w:rsidRPr="006942B9">
              <w:rPr>
                <w:rFonts w:hint="cs"/>
                <w:b/>
                <w:bCs/>
                <w:sz w:val="28"/>
                <w:szCs w:val="28"/>
                <w:rtl/>
              </w:rPr>
              <w:t xml:space="preserve">הנאשם - וארי איני אתן – הובא ע"י שב"ס </w:t>
            </w:r>
            <w:r w:rsidRPr="006942B9">
              <w:rPr>
                <w:rFonts w:hint="cs"/>
                <w:b/>
                <w:bCs/>
                <w:sz w:val="28"/>
                <w:szCs w:val="28"/>
                <w:rtl/>
              </w:rPr>
              <w:br/>
              <w:t>באת כוח הנאשם עו"ד קטי צווטקוב.</w:t>
            </w:r>
            <w:r w:rsidRPr="006942B9">
              <w:rPr>
                <w:rFonts w:hint="cs"/>
                <w:b/>
                <w:bCs/>
                <w:sz w:val="28"/>
                <w:szCs w:val="28"/>
                <w:rtl/>
              </w:rPr>
              <w:br/>
              <w:t xml:space="preserve">נוכח מתורגמן לשפה התאית מר דורון שריזלי </w:t>
            </w:r>
          </w:p>
        </w:tc>
        <w:tc>
          <w:tcPr>
            <w:tcW w:w="3771" w:type="dxa"/>
            <w:tcBorders>
              <w:top w:val="nil"/>
              <w:left w:val="nil"/>
              <w:bottom w:val="nil"/>
              <w:right w:val="nil"/>
            </w:tcBorders>
          </w:tcPr>
          <w:p w14:paraId="19383E12" w14:textId="77777777" w:rsidR="00097756" w:rsidRPr="006942B9" w:rsidRDefault="00097756">
            <w:pPr>
              <w:jc w:val="right"/>
              <w:rPr>
                <w:rFonts w:ascii="Arial" w:hAnsi="Arial"/>
                <w:sz w:val="28"/>
                <w:szCs w:val="28"/>
              </w:rPr>
            </w:pPr>
          </w:p>
        </w:tc>
      </w:tr>
      <w:tr w:rsidR="00097756" w:rsidRPr="006942B9" w14:paraId="46744DB3" w14:textId="77777777">
        <w:trPr>
          <w:gridAfter w:val="2"/>
          <w:wAfter w:w="7897" w:type="dxa"/>
          <w:trHeight w:val="355"/>
          <w:jc w:val="center"/>
        </w:trPr>
        <w:tc>
          <w:tcPr>
            <w:tcW w:w="923" w:type="dxa"/>
            <w:tcBorders>
              <w:top w:val="nil"/>
              <w:left w:val="nil"/>
              <w:bottom w:val="nil"/>
              <w:right w:val="nil"/>
            </w:tcBorders>
          </w:tcPr>
          <w:p w14:paraId="4D22ADD9" w14:textId="77777777" w:rsidR="00097756" w:rsidRPr="006942B9" w:rsidRDefault="00097756">
            <w:pPr>
              <w:jc w:val="both"/>
              <w:rPr>
                <w:rFonts w:ascii="Arial" w:hAnsi="Arial"/>
                <w:sz w:val="28"/>
                <w:szCs w:val="28"/>
                <w:rtl/>
              </w:rPr>
            </w:pPr>
          </w:p>
        </w:tc>
      </w:tr>
      <w:tr w:rsidR="00097756" w:rsidRPr="006942B9" w14:paraId="5F3E7360" w14:textId="77777777">
        <w:trPr>
          <w:trHeight w:val="355"/>
          <w:jc w:val="center"/>
        </w:trPr>
        <w:tc>
          <w:tcPr>
            <w:tcW w:w="8820" w:type="dxa"/>
            <w:gridSpan w:val="3"/>
            <w:tcBorders>
              <w:top w:val="nil"/>
              <w:left w:val="nil"/>
              <w:bottom w:val="nil"/>
              <w:right w:val="nil"/>
            </w:tcBorders>
          </w:tcPr>
          <w:p w14:paraId="76D5AD22" w14:textId="77777777" w:rsidR="00C90DCC" w:rsidRDefault="00C90DCC" w:rsidP="00C90DCC">
            <w:pPr>
              <w:jc w:val="center"/>
              <w:rPr>
                <w:rFonts w:ascii="Arial" w:hAnsi="Arial" w:cs="FrankRuehl"/>
                <w:sz w:val="32"/>
                <w:szCs w:val="32"/>
                <w:rtl/>
              </w:rPr>
            </w:pPr>
            <w:bookmarkStart w:id="3" w:name="PsakDin"/>
            <w:bookmarkStart w:id="4" w:name="LawTable"/>
            <w:bookmarkEnd w:id="4"/>
          </w:p>
          <w:p w14:paraId="7E5FDAC6" w14:textId="77777777" w:rsidR="00C90DCC" w:rsidRPr="00C90DCC" w:rsidRDefault="00C90DCC" w:rsidP="00C90DCC">
            <w:pPr>
              <w:spacing w:before="120" w:after="120" w:line="240" w:lineRule="exact"/>
              <w:ind w:left="283" w:hanging="283"/>
              <w:jc w:val="both"/>
              <w:rPr>
                <w:rFonts w:ascii="FrankRuehl" w:hAnsi="FrankRuehl" w:cs="FrankRuehl"/>
                <w:rtl/>
              </w:rPr>
            </w:pPr>
          </w:p>
          <w:p w14:paraId="3E58CDA6" w14:textId="77777777" w:rsidR="00C90DCC" w:rsidRPr="00C90DCC" w:rsidRDefault="00C90DCC" w:rsidP="00C90DCC">
            <w:pPr>
              <w:spacing w:before="120" w:after="120" w:line="240" w:lineRule="exact"/>
              <w:ind w:left="283" w:hanging="283"/>
              <w:jc w:val="both"/>
              <w:rPr>
                <w:rFonts w:ascii="FrankRuehl" w:hAnsi="FrankRuehl" w:cs="FrankRuehl"/>
                <w:rtl/>
              </w:rPr>
            </w:pPr>
          </w:p>
          <w:p w14:paraId="6FD62C8C" w14:textId="77777777" w:rsidR="00C90DCC" w:rsidRPr="00C90DCC" w:rsidRDefault="00C90DCC" w:rsidP="00C90DCC">
            <w:pPr>
              <w:spacing w:before="120" w:after="120" w:line="240" w:lineRule="exact"/>
              <w:ind w:left="283" w:hanging="283"/>
              <w:jc w:val="both"/>
              <w:rPr>
                <w:rFonts w:ascii="FrankRuehl" w:hAnsi="FrankRuehl" w:cs="FrankRuehl"/>
                <w:rtl/>
              </w:rPr>
            </w:pPr>
            <w:r w:rsidRPr="00C90DCC">
              <w:rPr>
                <w:rFonts w:ascii="FrankRuehl" w:hAnsi="FrankRuehl" w:cs="FrankRuehl"/>
                <w:rtl/>
              </w:rPr>
              <w:t xml:space="preserve">חקיקה שאוזכרה: </w:t>
            </w:r>
          </w:p>
          <w:p w14:paraId="0677EF7F" w14:textId="77777777" w:rsidR="00C90DCC" w:rsidRPr="00C90DCC" w:rsidRDefault="00C90DCC" w:rsidP="00C90DCC">
            <w:pPr>
              <w:spacing w:before="120" w:after="120" w:line="240" w:lineRule="exact"/>
              <w:ind w:left="283" w:hanging="283"/>
              <w:jc w:val="both"/>
              <w:rPr>
                <w:rFonts w:ascii="FrankRuehl" w:hAnsi="FrankRuehl" w:cs="FrankRuehl"/>
                <w:color w:val="0000FF"/>
                <w:rtl/>
              </w:rPr>
            </w:pPr>
            <w:hyperlink r:id="rId7" w:history="1">
              <w:r w:rsidRPr="00C90DCC">
                <w:rPr>
                  <w:rStyle w:val="Hyperlink"/>
                  <w:rFonts w:ascii="FrankRuehl" w:hAnsi="FrankRuehl" w:cs="FrankRuehl"/>
                  <w:u w:val="none"/>
                  <w:rtl/>
                </w:rPr>
                <w:t>פקודת הסמים המסוכנים [נוסח חדש], תשל"ג-1973</w:t>
              </w:r>
            </w:hyperlink>
          </w:p>
          <w:p w14:paraId="422B9FB2" w14:textId="77777777" w:rsidR="00C90DCC" w:rsidRPr="00C90DCC" w:rsidRDefault="00C90DCC" w:rsidP="00C90DCC">
            <w:pPr>
              <w:spacing w:before="120" w:after="120" w:line="240" w:lineRule="exact"/>
              <w:ind w:left="283" w:hanging="283"/>
              <w:jc w:val="both"/>
              <w:rPr>
                <w:rFonts w:ascii="FrankRuehl" w:hAnsi="FrankRuehl" w:cs="FrankRuehl"/>
                <w:color w:val="0000FF"/>
                <w:rtl/>
              </w:rPr>
            </w:pPr>
            <w:hyperlink r:id="rId8" w:history="1">
              <w:r w:rsidRPr="00C90DCC">
                <w:rPr>
                  <w:rStyle w:val="Hyperlink"/>
                  <w:rFonts w:ascii="FrankRuehl" w:hAnsi="FrankRuehl" w:cs="FrankRuehl"/>
                  <w:u w:val="none"/>
                  <w:rtl/>
                </w:rPr>
                <w:t>חוק העונשין, תשל"ז-1977</w:t>
              </w:r>
            </w:hyperlink>
          </w:p>
          <w:p w14:paraId="1E9A5139" w14:textId="77777777" w:rsidR="00C23558" w:rsidRPr="00C90DCC" w:rsidRDefault="00C23558" w:rsidP="00C90DCC">
            <w:pPr>
              <w:jc w:val="center"/>
              <w:rPr>
                <w:rFonts w:ascii="Arial" w:hAnsi="Arial" w:cs="FrankRuehl"/>
                <w:sz w:val="32"/>
                <w:szCs w:val="32"/>
                <w:rtl/>
              </w:rPr>
            </w:pPr>
            <w:bookmarkStart w:id="5" w:name="LawTable_End"/>
            <w:bookmarkEnd w:id="5"/>
          </w:p>
          <w:p w14:paraId="212ABE37" w14:textId="77777777" w:rsidR="00C23558" w:rsidRPr="00C23558" w:rsidRDefault="00C23558" w:rsidP="00C23558">
            <w:pPr>
              <w:spacing w:after="120" w:line="240" w:lineRule="exact"/>
              <w:ind w:left="283" w:hanging="283"/>
              <w:jc w:val="both"/>
              <w:rPr>
                <w:rFonts w:ascii="FrankRuehl" w:hAnsi="FrankRuehl" w:cs="FrankRuehl"/>
                <w:rtl/>
              </w:rPr>
            </w:pPr>
          </w:p>
          <w:p w14:paraId="7FD01AE5" w14:textId="77777777" w:rsidR="00C23558" w:rsidRPr="00C23558" w:rsidRDefault="00C23558" w:rsidP="00C23558">
            <w:pPr>
              <w:spacing w:after="120" w:line="240" w:lineRule="exact"/>
              <w:ind w:left="283" w:hanging="283"/>
              <w:jc w:val="both"/>
              <w:rPr>
                <w:rFonts w:ascii="FrankRuehl" w:hAnsi="FrankRuehl" w:cs="FrankRuehl"/>
                <w:rtl/>
              </w:rPr>
            </w:pPr>
            <w:r w:rsidRPr="00C23558">
              <w:rPr>
                <w:rFonts w:ascii="FrankRuehl" w:hAnsi="FrankRuehl" w:cs="FrankRuehl"/>
                <w:rtl/>
              </w:rPr>
              <w:t xml:space="preserve">חקיקה שאוזכרה: </w:t>
            </w:r>
          </w:p>
          <w:p w14:paraId="6DA4B801" w14:textId="77777777" w:rsidR="00C23558" w:rsidRPr="00C23558" w:rsidRDefault="00C23558" w:rsidP="00C23558">
            <w:pPr>
              <w:spacing w:after="120" w:line="240" w:lineRule="exact"/>
              <w:ind w:left="283" w:hanging="283"/>
              <w:jc w:val="both"/>
              <w:rPr>
                <w:rFonts w:ascii="FrankRuehl" w:hAnsi="FrankRuehl" w:cs="FrankRuehl"/>
                <w:color w:val="0000FF"/>
                <w:u w:val="single"/>
                <w:rtl/>
              </w:rPr>
            </w:pPr>
            <w:hyperlink r:id="rId9" w:history="1">
              <w:r w:rsidRPr="00C23558">
                <w:rPr>
                  <w:rStyle w:val="Hyperlink"/>
                  <w:rFonts w:ascii="FrankRuehl" w:hAnsi="FrankRuehl" w:cs="FrankRuehl"/>
                  <w:rtl/>
                </w:rPr>
                <w:t>פקודת הסמים המסוכנים [נוסח חדש], תשל"ג-1973</w:t>
              </w:r>
            </w:hyperlink>
          </w:p>
          <w:p w14:paraId="6333DF18" w14:textId="77777777" w:rsidR="00C23558" w:rsidRPr="00C23558" w:rsidRDefault="00C23558" w:rsidP="00C23558">
            <w:pPr>
              <w:spacing w:after="120" w:line="240" w:lineRule="exact"/>
              <w:ind w:left="283" w:hanging="283"/>
              <w:jc w:val="both"/>
              <w:rPr>
                <w:rFonts w:ascii="FrankRuehl" w:hAnsi="FrankRuehl" w:cs="FrankRuehl"/>
                <w:color w:val="0000FF"/>
                <w:u w:val="single"/>
                <w:rtl/>
              </w:rPr>
            </w:pPr>
            <w:hyperlink r:id="rId10" w:history="1">
              <w:r w:rsidRPr="00C23558">
                <w:rPr>
                  <w:rStyle w:val="Hyperlink"/>
                  <w:rFonts w:ascii="FrankRuehl" w:hAnsi="FrankRuehl" w:cs="FrankRuehl"/>
                  <w:rtl/>
                </w:rPr>
                <w:t>חוק העונשין, תשל"ז-1977</w:t>
              </w:r>
            </w:hyperlink>
          </w:p>
          <w:p w14:paraId="580288BD" w14:textId="77777777" w:rsidR="00C23558" w:rsidRPr="00C23558" w:rsidRDefault="00C23558" w:rsidP="00C23558">
            <w:pPr>
              <w:spacing w:after="120" w:line="240" w:lineRule="exact"/>
              <w:ind w:left="283" w:hanging="283"/>
              <w:jc w:val="both"/>
              <w:rPr>
                <w:rFonts w:ascii="FrankRuehl" w:hAnsi="FrankRuehl" w:cs="FrankRuehl"/>
                <w:rtl/>
              </w:rPr>
            </w:pPr>
          </w:p>
          <w:p w14:paraId="74449F83" w14:textId="77777777" w:rsidR="00C23558" w:rsidRPr="00C23558" w:rsidRDefault="00C23558">
            <w:pPr>
              <w:jc w:val="center"/>
              <w:rPr>
                <w:rFonts w:ascii="Arial" w:hAnsi="Arial" w:cs="FrankRuehl"/>
                <w:sz w:val="32"/>
                <w:szCs w:val="32"/>
                <w:rtl/>
              </w:rPr>
            </w:pPr>
          </w:p>
          <w:p w14:paraId="07A8512A" w14:textId="77777777" w:rsidR="00097756" w:rsidRPr="006942B9" w:rsidRDefault="006942B9">
            <w:pPr>
              <w:jc w:val="center"/>
              <w:rPr>
                <w:rFonts w:ascii="Arial" w:hAnsi="Arial" w:cs="FrankRuehl"/>
                <w:sz w:val="32"/>
                <w:szCs w:val="32"/>
                <w:rtl/>
              </w:rPr>
            </w:pPr>
            <w:r w:rsidRPr="006942B9">
              <w:rPr>
                <w:rFonts w:ascii="Arial" w:hAnsi="Arial" w:cs="FrankRuehl" w:hint="cs"/>
                <w:b/>
                <w:bCs/>
                <w:sz w:val="32"/>
                <w:szCs w:val="32"/>
                <w:rtl/>
              </w:rPr>
              <w:t>ג ז ר   ד י ן</w:t>
            </w:r>
            <w:bookmarkEnd w:id="3"/>
          </w:p>
        </w:tc>
      </w:tr>
    </w:tbl>
    <w:p w14:paraId="79DD0FC6" w14:textId="77777777" w:rsidR="00097756" w:rsidRPr="006942B9" w:rsidRDefault="00097756">
      <w:pPr>
        <w:spacing w:line="360" w:lineRule="auto"/>
        <w:jc w:val="both"/>
        <w:rPr>
          <w:rtl/>
        </w:rPr>
      </w:pPr>
    </w:p>
    <w:p w14:paraId="30B32055" w14:textId="77777777" w:rsidR="00097756" w:rsidRPr="006942B9" w:rsidRDefault="006942B9">
      <w:pPr>
        <w:spacing w:line="360" w:lineRule="auto"/>
        <w:jc w:val="both"/>
        <w:rPr>
          <w:b/>
          <w:bCs/>
          <w:sz w:val="28"/>
          <w:szCs w:val="28"/>
          <w:rtl/>
        </w:rPr>
      </w:pPr>
      <w:r w:rsidRPr="006942B9">
        <w:rPr>
          <w:b/>
          <w:bCs/>
          <w:sz w:val="28"/>
          <w:szCs w:val="28"/>
          <w:rtl/>
        </w:rPr>
        <w:t xml:space="preserve">כתב האישום ועיקרי הכרעת הדין </w:t>
      </w:r>
    </w:p>
    <w:p w14:paraId="62EC2B07" w14:textId="77777777" w:rsidR="00097756" w:rsidRPr="006942B9" w:rsidRDefault="00097756">
      <w:pPr>
        <w:spacing w:line="360" w:lineRule="auto"/>
        <w:jc w:val="both"/>
        <w:rPr>
          <w:rtl/>
        </w:rPr>
      </w:pPr>
    </w:p>
    <w:p w14:paraId="193B96B1" w14:textId="77777777" w:rsidR="00097756" w:rsidRPr="006942B9" w:rsidRDefault="006942B9">
      <w:pPr>
        <w:pStyle w:val="21"/>
        <w:ind w:left="720" w:hanging="720"/>
        <w:rPr>
          <w:rFonts w:cs="David"/>
          <w:b w:val="0"/>
          <w:bCs w:val="0"/>
          <w:rtl/>
        </w:rPr>
      </w:pPr>
      <w:r w:rsidRPr="006942B9">
        <w:rPr>
          <w:rFonts w:cs="David"/>
          <w:b w:val="0"/>
          <w:bCs w:val="0"/>
          <w:rtl/>
        </w:rPr>
        <w:t>1.</w:t>
      </w:r>
      <w:r w:rsidRPr="006942B9">
        <w:rPr>
          <w:rFonts w:cs="David"/>
          <w:b w:val="0"/>
          <w:bCs w:val="0"/>
          <w:rtl/>
        </w:rPr>
        <w:tab/>
      </w:r>
      <w:bookmarkStart w:id="6" w:name="ABSTRACT_START"/>
      <w:bookmarkEnd w:id="6"/>
      <w:r w:rsidRPr="006942B9">
        <w:rPr>
          <w:rFonts w:cs="David"/>
          <w:b w:val="0"/>
          <w:bCs w:val="0"/>
          <w:rtl/>
        </w:rPr>
        <w:t>הנאשם הורשע לאחר שמיעת הראיות בביצוע עבירה של ייבוא סם מסוכן לפי סעיפים 13 ו-19א ל</w:t>
      </w:r>
      <w:hyperlink r:id="rId11" w:history="1">
        <w:r w:rsidR="00C23558" w:rsidRPr="00C23558">
          <w:rPr>
            <w:rStyle w:val="Hyperlink"/>
            <w:rFonts w:cs="David"/>
            <w:b w:val="0"/>
            <w:bCs w:val="0"/>
            <w:rtl/>
          </w:rPr>
          <w:t>פקודת הסמים המסוכנים</w:t>
        </w:r>
      </w:hyperlink>
      <w:r w:rsidRPr="006942B9">
        <w:rPr>
          <w:rFonts w:cs="David"/>
          <w:b w:val="0"/>
          <w:bCs w:val="0"/>
          <w:rtl/>
        </w:rPr>
        <w:t xml:space="preserve"> [נוסח חדש] התשל"ג 1973 (להלן: </w:t>
      </w:r>
      <w:r w:rsidRPr="006942B9">
        <w:rPr>
          <w:rFonts w:cs="David"/>
          <w:rtl/>
        </w:rPr>
        <w:t xml:space="preserve">פקודת הסמים </w:t>
      </w:r>
      <w:r w:rsidRPr="006942B9">
        <w:rPr>
          <w:rFonts w:cs="David"/>
          <w:rtl/>
        </w:rPr>
        <w:lastRenderedPageBreak/>
        <w:t>המסוכנים</w:t>
      </w:r>
      <w:r w:rsidRPr="006942B9">
        <w:rPr>
          <w:rFonts w:cs="David"/>
          <w:b w:val="0"/>
          <w:bCs w:val="0"/>
          <w:rtl/>
        </w:rPr>
        <w:t xml:space="preserve">). </w:t>
      </w:r>
      <w:bookmarkStart w:id="7" w:name="ABSTRACT_END"/>
      <w:bookmarkEnd w:id="7"/>
      <w:r w:rsidRPr="006942B9">
        <w:rPr>
          <w:rFonts w:cs="David"/>
          <w:b w:val="0"/>
          <w:bCs w:val="0"/>
          <w:rtl/>
        </w:rPr>
        <w:t xml:space="preserve">הנאשם וגיסו ג'אן-און קריאנגקראי (להלן : </w:t>
      </w:r>
      <w:r w:rsidRPr="006942B9">
        <w:rPr>
          <w:rFonts w:cs="David"/>
          <w:rtl/>
        </w:rPr>
        <w:t>ג'אן און</w:t>
      </w:r>
      <w:r w:rsidRPr="006942B9">
        <w:rPr>
          <w:rFonts w:cs="David"/>
          <w:b w:val="0"/>
          <w:bCs w:val="0"/>
          <w:rtl/>
        </w:rPr>
        <w:t xml:space="preserve">) הם אזרחי תאילנד, אשר במועדים הרלבנטיים לכתב האישום התגוררו ועבדו בישראל. בתאריך 14.5.2012 יצא ג'אן און מישראל לבקר את משפחתו בתאילנד. </w:t>
      </w:r>
    </w:p>
    <w:p w14:paraId="1E10D467" w14:textId="77777777" w:rsidR="00097756" w:rsidRPr="006942B9" w:rsidRDefault="00097756">
      <w:pPr>
        <w:spacing w:line="360" w:lineRule="auto"/>
        <w:jc w:val="both"/>
        <w:rPr>
          <w:rtl/>
        </w:rPr>
      </w:pPr>
    </w:p>
    <w:p w14:paraId="06B12D91" w14:textId="77777777" w:rsidR="00097756" w:rsidRPr="006942B9" w:rsidRDefault="006942B9">
      <w:pPr>
        <w:spacing w:line="360" w:lineRule="auto"/>
        <w:ind w:left="720" w:hanging="720"/>
        <w:jc w:val="both"/>
        <w:rPr>
          <w:rtl/>
        </w:rPr>
      </w:pPr>
      <w:r w:rsidRPr="006942B9">
        <w:rPr>
          <w:rtl/>
        </w:rPr>
        <w:t>2.</w:t>
      </w:r>
      <w:r w:rsidRPr="006942B9">
        <w:rPr>
          <w:rtl/>
        </w:rPr>
        <w:tab/>
        <w:t xml:space="preserve">במועד שאינו ידוע במדויק למאשימה, עובר ליום 27.6.2012 או בסמוך לכך, ביקש הנאשם מאשתו אשר בתאילנד להביא לג'אן און שתי תמונות של מלך תאילנד (להלן : </w:t>
      </w:r>
      <w:r w:rsidRPr="006942B9">
        <w:rPr>
          <w:b/>
          <w:bCs/>
          <w:rtl/>
        </w:rPr>
        <w:t>התמונות</w:t>
      </w:r>
      <w:r w:rsidRPr="006942B9">
        <w:rPr>
          <w:rtl/>
        </w:rPr>
        <w:t>), כאשר הוא יודע שבתוך מסגרותיהן מוסלק סם מסוכן. לבקשת הנאשם, בתאריך 27.6.2012 בשעות הבוקר, הגיעה אשתו של הנאשם לביתו של ג'אן און בתאילנד, מסרה לו את התמונות וביקשה שיקח אותן במזוודתו לישראל ויעבירן לנאשם. ג'אן און הסכים, מבלי שידע כי מוסלק בהן סם מסוכן. בהמשך סייעה אשתו של הנאשם לג'אן און לארוז את המזוודה ואת התמונות בתוכה. בתאריך 29.6.2012 הגיע ג'אן און לישראל בטיסת חברת "רויאל ג'ורדניאן" מבנגקוק</w:t>
      </w:r>
      <w:r w:rsidRPr="006942B9">
        <w:rPr>
          <w:rFonts w:hint="cs"/>
          <w:rtl/>
        </w:rPr>
        <w:t>.</w:t>
      </w:r>
      <w:r w:rsidRPr="006942B9">
        <w:rPr>
          <w:rtl/>
        </w:rPr>
        <w:t xml:space="preserve"> ג'אן און נשא במזוודתו את התמונות כאשר בתוך מסגרותיהן מוסלק סם מסוכן מסוג מתא</w:t>
      </w:r>
      <w:r w:rsidRPr="006942B9">
        <w:rPr>
          <w:rFonts w:hint="cs"/>
          <w:rtl/>
        </w:rPr>
        <w:t>מ</w:t>
      </w:r>
      <w:r w:rsidRPr="006942B9">
        <w:rPr>
          <w:rtl/>
        </w:rPr>
        <w:t xml:space="preserve">פטאמין במשקל כולל של כ- 50 גרם נטו, המחולק לעשרות אריזות פלסטיק עטופות בנייר דבק. </w:t>
      </w:r>
    </w:p>
    <w:p w14:paraId="562DC55A" w14:textId="77777777" w:rsidR="00097756" w:rsidRPr="006942B9" w:rsidRDefault="00097756">
      <w:pPr>
        <w:spacing w:line="360" w:lineRule="auto"/>
        <w:jc w:val="both"/>
        <w:rPr>
          <w:rtl/>
        </w:rPr>
      </w:pPr>
    </w:p>
    <w:p w14:paraId="34F8F7F2" w14:textId="77777777" w:rsidR="00097756" w:rsidRPr="006942B9" w:rsidRDefault="006942B9">
      <w:pPr>
        <w:spacing w:line="360" w:lineRule="auto"/>
        <w:ind w:left="720" w:hanging="720"/>
        <w:jc w:val="both"/>
        <w:rPr>
          <w:rtl/>
        </w:rPr>
      </w:pPr>
      <w:r w:rsidRPr="006942B9">
        <w:rPr>
          <w:rtl/>
        </w:rPr>
        <w:t>3.</w:t>
      </w:r>
      <w:r w:rsidRPr="006942B9">
        <w:rPr>
          <w:rtl/>
        </w:rPr>
        <w:tab/>
        <w:t>הנאשם כפר בכתב האישום והתיק נקבע לשמיעת ראיות. הנאשם לא חלק על כך שהתמונות שהובאו על ידי ג'אן און היו אמורות להגיע לידיו</w:t>
      </w:r>
      <w:r w:rsidRPr="006942B9">
        <w:rPr>
          <w:rFonts w:hint="cs"/>
          <w:rtl/>
        </w:rPr>
        <w:t xml:space="preserve">, </w:t>
      </w:r>
      <w:r w:rsidRPr="006942B9">
        <w:rPr>
          <w:rtl/>
        </w:rPr>
        <w:t xml:space="preserve">אך טענתו המרכזית היא שלא ידע על קיומם של הסמים בתמונות (פרוט' עמ' 23 ש' 9 – 11). </w:t>
      </w:r>
    </w:p>
    <w:p w14:paraId="4E4CC81E" w14:textId="77777777" w:rsidR="00097756" w:rsidRPr="006942B9" w:rsidRDefault="00097756">
      <w:pPr>
        <w:spacing w:line="360" w:lineRule="auto"/>
        <w:jc w:val="both"/>
        <w:rPr>
          <w:rtl/>
        </w:rPr>
      </w:pPr>
    </w:p>
    <w:p w14:paraId="72A6127E" w14:textId="77777777" w:rsidR="00097756" w:rsidRPr="006942B9" w:rsidRDefault="006942B9">
      <w:pPr>
        <w:spacing w:line="360" w:lineRule="auto"/>
        <w:jc w:val="both"/>
        <w:rPr>
          <w:rtl/>
        </w:rPr>
      </w:pPr>
      <w:r w:rsidRPr="006942B9">
        <w:rPr>
          <w:rtl/>
        </w:rPr>
        <w:t>4.</w:t>
      </w:r>
      <w:r w:rsidRPr="006942B9">
        <w:rPr>
          <w:rtl/>
        </w:rPr>
        <w:tab/>
        <w:t>להלן עיקרי הכרעת הדין:</w:t>
      </w:r>
    </w:p>
    <w:p w14:paraId="682065AE" w14:textId="77777777" w:rsidR="00097756" w:rsidRPr="006942B9" w:rsidRDefault="00097756">
      <w:pPr>
        <w:spacing w:line="360" w:lineRule="auto"/>
        <w:ind w:left="360"/>
        <w:jc w:val="both"/>
        <w:rPr>
          <w:rtl/>
        </w:rPr>
      </w:pPr>
    </w:p>
    <w:p w14:paraId="3DE9B26E" w14:textId="77777777" w:rsidR="00097756" w:rsidRPr="006942B9" w:rsidRDefault="006942B9">
      <w:pPr>
        <w:spacing w:line="360" w:lineRule="auto"/>
        <w:ind w:left="1440" w:hanging="720"/>
        <w:jc w:val="both"/>
        <w:rPr>
          <w:rtl/>
        </w:rPr>
      </w:pPr>
      <w:r w:rsidRPr="006942B9">
        <w:rPr>
          <w:rFonts w:hint="cs"/>
          <w:rtl/>
        </w:rPr>
        <w:t xml:space="preserve">א. </w:t>
      </w:r>
      <w:r w:rsidRPr="006942B9">
        <w:rPr>
          <w:rFonts w:hint="cs"/>
          <w:rtl/>
        </w:rPr>
        <w:tab/>
        <w:t xml:space="preserve">לאחר הגעת התמונות עם הסמים לישראל מתאילנד הן היו אמורות להיות מועברות על ידי הנאשם לאזרח תאילנד בישראל בשם מונג קונג (להלן: </w:t>
      </w:r>
      <w:r w:rsidRPr="006942B9">
        <w:rPr>
          <w:rFonts w:hint="cs"/>
          <w:b/>
          <w:bCs/>
          <w:rtl/>
        </w:rPr>
        <w:t>מונג</w:t>
      </w:r>
      <w:r w:rsidRPr="006942B9">
        <w:rPr>
          <w:rFonts w:hint="cs"/>
          <w:rtl/>
        </w:rPr>
        <w:t xml:space="preserve">), ואשר לא אותר על ידי המשטרה. </w:t>
      </w:r>
    </w:p>
    <w:p w14:paraId="496F0738" w14:textId="77777777" w:rsidR="00097756" w:rsidRPr="006942B9" w:rsidRDefault="00097756">
      <w:pPr>
        <w:spacing w:line="360" w:lineRule="auto"/>
        <w:ind w:left="1440" w:hanging="720"/>
        <w:jc w:val="both"/>
        <w:rPr>
          <w:rtl/>
        </w:rPr>
      </w:pPr>
    </w:p>
    <w:p w14:paraId="4374C057" w14:textId="77777777" w:rsidR="00097756" w:rsidRPr="006942B9" w:rsidRDefault="006942B9">
      <w:pPr>
        <w:spacing w:line="360" w:lineRule="auto"/>
        <w:ind w:left="1440" w:hanging="720"/>
        <w:jc w:val="both"/>
      </w:pPr>
      <w:r w:rsidRPr="006942B9">
        <w:rPr>
          <w:rFonts w:hint="cs"/>
          <w:rtl/>
        </w:rPr>
        <w:t>ב</w:t>
      </w:r>
      <w:r w:rsidRPr="006942B9">
        <w:rPr>
          <w:rtl/>
        </w:rPr>
        <w:t>.</w:t>
      </w:r>
      <w:r w:rsidRPr="006942B9">
        <w:rPr>
          <w:rtl/>
        </w:rPr>
        <w:tab/>
        <w:t>הנאשם "</w:t>
      </w:r>
      <w:r w:rsidRPr="006942B9">
        <w:rPr>
          <w:b/>
          <w:bCs/>
          <w:rtl/>
        </w:rPr>
        <w:t>הקל</w:t>
      </w:r>
      <w:r w:rsidRPr="006942B9">
        <w:rPr>
          <w:rtl/>
        </w:rPr>
        <w:t>" על ייבוא הסמים לישראל, כמשמעותו של ביטוי זה בסעיף 13 ל</w:t>
      </w:r>
      <w:hyperlink r:id="rId12" w:history="1">
        <w:r w:rsidR="00C23558" w:rsidRPr="00C23558">
          <w:rPr>
            <w:rStyle w:val="Hyperlink"/>
            <w:rFonts w:cs="David"/>
            <w:rtl/>
          </w:rPr>
          <w:t>פקודת הסמים המסוכנים</w:t>
        </w:r>
      </w:hyperlink>
      <w:r w:rsidRPr="006942B9">
        <w:rPr>
          <w:rtl/>
        </w:rPr>
        <w:t xml:space="preserve">, בכל הדרכים שלהלן: הסכים לשמש כחוליית קישור בין מונג שאמור לקבל את התמונות לידיו לבין ג'אן און שבאמצעותו התמונות היו צריכות לעבור מתאילנד לישראל; ניצל את הקרבה המשפחתית שבינו לבין ג'אן און, היות בנות זוגם אחיות,  על מנת לרכוש את אמונו שיסכים להעביר את התמונות; הנאשם יצר קשר עם אמו שתסכים לקבל מאחותו של מונג את התמונות ולאחר מכן יצר קשר עם אשתו שתעבירם לג'אן און שנשוי לאחותה. לפיכך, נקבע כי מתקיים אצל הנאשם היסוד העובדתי לביצוע עבירה של ייבוא סמים מסוכנים. </w:t>
      </w:r>
    </w:p>
    <w:p w14:paraId="7103B101" w14:textId="77777777" w:rsidR="00097756" w:rsidRPr="006942B9" w:rsidRDefault="00097756">
      <w:pPr>
        <w:spacing w:line="360" w:lineRule="auto"/>
        <w:jc w:val="both"/>
        <w:rPr>
          <w:rtl/>
        </w:rPr>
      </w:pPr>
    </w:p>
    <w:p w14:paraId="35AA66AE" w14:textId="77777777" w:rsidR="00097756" w:rsidRPr="006942B9" w:rsidRDefault="006942B9">
      <w:pPr>
        <w:spacing w:line="360" w:lineRule="auto"/>
        <w:ind w:left="1440" w:hanging="720"/>
        <w:jc w:val="both"/>
        <w:rPr>
          <w:rtl/>
        </w:rPr>
      </w:pPr>
      <w:r w:rsidRPr="006942B9">
        <w:rPr>
          <w:rFonts w:hint="cs"/>
          <w:rtl/>
        </w:rPr>
        <w:lastRenderedPageBreak/>
        <w:t>ג</w:t>
      </w:r>
      <w:r w:rsidRPr="006942B9">
        <w:rPr>
          <w:rtl/>
        </w:rPr>
        <w:t>.</w:t>
      </w:r>
      <w:r w:rsidRPr="006942B9">
        <w:rPr>
          <w:rtl/>
        </w:rPr>
        <w:tab/>
        <w:t xml:space="preserve">הנאשם אישר בפה מלא בחקירתו הנגדית בבית המשפט ואף בהודעתו השנייה במשטרה (ת/2) כי אכן חשד בכוונותיו של מונג כמי שייתכן ומעוניין בייבוא סמים לישראל באמצעות התמונות שאותן יעביר ג'אן און. מקור החשד היה בכך שלנאשם היה ידוע שמונג עסק בישראל בעבירות של סחר בסמים. לטענת הנאשם הוא ביקש מאשתו ומאמו לבדוק את התמונות היטב בטרם ימסרו אותן לג'אן און בשל חשדו שיהיה מוסתר בהן סמים. הנאשם לא יצר קשר ישיר עם ג'אן און וגם לא ביקש מאשתו ואמו לעדכן את ג'אן און אודות החשד שמקונן בליבו. חרף החשד שהתעורר אצל הנאשם, הוא בכל זאת נתן לכל שרשרת החוליות הנחוצות להשלמת ההעברה של התמונות מתאילנד לישראל להתבצע ללא מפריע. בנסיבות אלה קבעתי כי הנאשם </w:t>
      </w:r>
      <w:r w:rsidRPr="006942B9">
        <w:rPr>
          <w:b/>
          <w:bCs/>
          <w:rtl/>
        </w:rPr>
        <w:t>עצם את עיניו</w:t>
      </w:r>
      <w:r w:rsidRPr="006942B9">
        <w:rPr>
          <w:rtl/>
        </w:rPr>
        <w:t xml:space="preserve"> מהאפשרות שבתמונות היו מוסתרים סמים, ולכן יש לראותו כמי שמודע לעובדה שבתמונות שיובאו לישראל על ידי ג'אן און היו סמים.  </w:t>
      </w:r>
    </w:p>
    <w:p w14:paraId="6531E9AA" w14:textId="77777777" w:rsidR="00097756" w:rsidRPr="006942B9" w:rsidRDefault="00097756">
      <w:pPr>
        <w:spacing w:line="360" w:lineRule="auto"/>
        <w:jc w:val="both"/>
        <w:rPr>
          <w:rtl/>
        </w:rPr>
      </w:pPr>
    </w:p>
    <w:p w14:paraId="46DE1166" w14:textId="77777777" w:rsidR="00097756" w:rsidRPr="006942B9" w:rsidRDefault="006942B9">
      <w:pPr>
        <w:spacing w:line="360" w:lineRule="auto"/>
        <w:jc w:val="both"/>
        <w:rPr>
          <w:b/>
          <w:bCs/>
          <w:sz w:val="28"/>
          <w:szCs w:val="28"/>
          <w:rtl/>
        </w:rPr>
      </w:pPr>
      <w:r w:rsidRPr="006942B9">
        <w:rPr>
          <w:b/>
          <w:bCs/>
          <w:sz w:val="28"/>
          <w:szCs w:val="28"/>
          <w:rtl/>
        </w:rPr>
        <w:t xml:space="preserve">טענות הצדדים לעונש </w:t>
      </w:r>
    </w:p>
    <w:p w14:paraId="504E4C72" w14:textId="77777777" w:rsidR="00097756" w:rsidRPr="006942B9" w:rsidRDefault="00097756">
      <w:pPr>
        <w:spacing w:line="360" w:lineRule="auto"/>
        <w:jc w:val="both"/>
        <w:rPr>
          <w:rtl/>
        </w:rPr>
      </w:pPr>
    </w:p>
    <w:p w14:paraId="66D79BCF" w14:textId="77777777" w:rsidR="00097756" w:rsidRPr="006942B9" w:rsidRDefault="006942B9">
      <w:pPr>
        <w:spacing w:line="360" w:lineRule="auto"/>
        <w:ind w:left="720" w:hanging="720"/>
        <w:jc w:val="both"/>
        <w:rPr>
          <w:rtl/>
        </w:rPr>
      </w:pPr>
      <w:r w:rsidRPr="006942B9">
        <w:rPr>
          <w:rtl/>
        </w:rPr>
        <w:t>5.</w:t>
      </w:r>
      <w:r w:rsidRPr="006942B9">
        <w:rPr>
          <w:rtl/>
        </w:rPr>
        <w:tab/>
        <w:t xml:space="preserve">מטעם הנאשם העידו כעדי הגנה מר גיורא אולייניק ובנו, שהינם המעסיקים של הנאשם בישראל ואשר לטענתם, הנאשם מועסק במשק חקלאי שבניהולם במושב עין ורד. המעסיקים של הנאשם הכירו אותו במשך כמעט </w:t>
      </w:r>
      <w:r w:rsidRPr="006942B9">
        <w:rPr>
          <w:rFonts w:hint="cs"/>
          <w:rtl/>
        </w:rPr>
        <w:t>חמש</w:t>
      </w:r>
      <w:r w:rsidRPr="006942B9">
        <w:rPr>
          <w:rtl/>
        </w:rPr>
        <w:t xml:space="preserve"> שנים ולטענתם, הנאשם הי</w:t>
      </w:r>
      <w:r w:rsidRPr="006942B9">
        <w:rPr>
          <w:rFonts w:hint="cs"/>
          <w:rtl/>
        </w:rPr>
        <w:t>ה</w:t>
      </w:r>
      <w:r w:rsidRPr="006942B9">
        <w:rPr>
          <w:rtl/>
        </w:rPr>
        <w:t xml:space="preserve"> עובד רציני ואחראי ומעולם לא היתה לו מעורבות בעולם הסמים</w:t>
      </w:r>
      <w:r w:rsidRPr="006942B9">
        <w:rPr>
          <w:rFonts w:hint="cs"/>
          <w:rtl/>
        </w:rPr>
        <w:t>.</w:t>
      </w:r>
      <w:r w:rsidRPr="006942B9">
        <w:rPr>
          <w:rtl/>
        </w:rPr>
        <w:t xml:space="preserve"> </w:t>
      </w:r>
    </w:p>
    <w:p w14:paraId="788151B3" w14:textId="77777777" w:rsidR="00097756" w:rsidRPr="006942B9" w:rsidRDefault="00097756">
      <w:pPr>
        <w:spacing w:line="360" w:lineRule="auto"/>
        <w:ind w:left="720"/>
        <w:jc w:val="both"/>
        <w:rPr>
          <w:rtl/>
        </w:rPr>
      </w:pPr>
    </w:p>
    <w:p w14:paraId="142849C0" w14:textId="77777777" w:rsidR="00097756" w:rsidRPr="006942B9" w:rsidRDefault="006942B9">
      <w:pPr>
        <w:spacing w:line="360" w:lineRule="auto"/>
        <w:ind w:left="720" w:hanging="720"/>
        <w:jc w:val="both"/>
        <w:rPr>
          <w:rtl/>
        </w:rPr>
      </w:pPr>
      <w:r w:rsidRPr="006942B9">
        <w:rPr>
          <w:rtl/>
        </w:rPr>
        <w:t>6.</w:t>
      </w:r>
      <w:r w:rsidRPr="006942B9">
        <w:rPr>
          <w:rtl/>
        </w:rPr>
        <w:tab/>
      </w:r>
      <w:r w:rsidRPr="006942B9">
        <w:rPr>
          <w:rFonts w:hint="cs"/>
          <w:rtl/>
        </w:rPr>
        <w:t xml:space="preserve">באת כוח </w:t>
      </w:r>
      <w:r w:rsidRPr="006942B9">
        <w:rPr>
          <w:rtl/>
        </w:rPr>
        <w:t xml:space="preserve">המאשימה עמדה על החומרה </w:t>
      </w:r>
      <w:r w:rsidRPr="006942B9">
        <w:rPr>
          <w:rFonts w:hint="cs"/>
          <w:rtl/>
        </w:rPr>
        <w:t xml:space="preserve">המשמעותית </w:t>
      </w:r>
      <w:r w:rsidRPr="006942B9">
        <w:rPr>
          <w:rtl/>
        </w:rPr>
        <w:t>בביצוע עבירות של ייבוא סמים קשים, דבר שמחייב ענישה מרתיעה וממשית. המאשימה הפנתה לשני גזרי דין שניתנו ע</w:t>
      </w:r>
      <w:r w:rsidRPr="006942B9">
        <w:rPr>
          <w:rFonts w:hint="cs"/>
          <w:rtl/>
        </w:rPr>
        <w:t>ל ידי</w:t>
      </w:r>
      <w:r w:rsidRPr="006942B9">
        <w:rPr>
          <w:rtl/>
        </w:rPr>
        <w:t xml:space="preserve"> בתי המשפט המחוזיים בעבירות של ייבוא קוקאין בכמויות הקרובות לכמות שבמקרה שבפני ונגזרו עונשים של שנתיים וחצי בתיק אחד ושלוש שנים בתיק אחר (</w:t>
      </w:r>
      <w:hyperlink r:id="rId13" w:history="1">
        <w:r w:rsidR="00C23558" w:rsidRPr="00C23558">
          <w:rPr>
            <w:rStyle w:val="Hyperlink"/>
            <w:rFonts w:cs="David"/>
            <w:rtl/>
          </w:rPr>
          <w:t>ת"פ (מח' – ת"א) 2035-09-12</w:t>
        </w:r>
      </w:hyperlink>
      <w:r w:rsidRPr="006942B9">
        <w:rPr>
          <w:rtl/>
        </w:rPr>
        <w:t xml:space="preserve">; </w:t>
      </w:r>
      <w:hyperlink r:id="rId14" w:history="1">
        <w:r w:rsidR="00C23558" w:rsidRPr="00C23558">
          <w:rPr>
            <w:rStyle w:val="Hyperlink"/>
            <w:rFonts w:cs="David"/>
            <w:rtl/>
          </w:rPr>
          <w:t>ת"פ (מח' – חי') 39322-08-10</w:t>
        </w:r>
      </w:hyperlink>
      <w:r w:rsidRPr="006942B9">
        <w:rPr>
          <w:rtl/>
        </w:rPr>
        <w:t>). כמו כן, לעניין רכיב המאסר, המאשימה טענה כי מתחם העונש ההולם בנסיבותיו של הנאשם ונסיבות ביצוע העבירה, נע בין שנתיים לשלוש שנ</w:t>
      </w:r>
      <w:r w:rsidRPr="006942B9">
        <w:rPr>
          <w:rFonts w:hint="cs"/>
          <w:rtl/>
        </w:rPr>
        <w:t>ות מאסר בפועל</w:t>
      </w:r>
      <w:r w:rsidRPr="006942B9">
        <w:rPr>
          <w:rtl/>
        </w:rPr>
        <w:t xml:space="preserve">. </w:t>
      </w:r>
    </w:p>
    <w:p w14:paraId="68A1F8D4" w14:textId="77777777" w:rsidR="00097756" w:rsidRPr="006942B9" w:rsidRDefault="00097756">
      <w:pPr>
        <w:spacing w:line="360" w:lineRule="auto"/>
        <w:ind w:left="720"/>
        <w:jc w:val="both"/>
        <w:rPr>
          <w:rtl/>
        </w:rPr>
      </w:pPr>
    </w:p>
    <w:p w14:paraId="28D3D20E" w14:textId="77777777" w:rsidR="00097756" w:rsidRPr="006942B9" w:rsidRDefault="006942B9">
      <w:pPr>
        <w:spacing w:line="360" w:lineRule="auto"/>
        <w:ind w:left="720" w:hanging="720"/>
        <w:jc w:val="both"/>
        <w:rPr>
          <w:rtl/>
        </w:rPr>
      </w:pPr>
      <w:r w:rsidRPr="006942B9">
        <w:rPr>
          <w:rtl/>
        </w:rPr>
        <w:t>7.</w:t>
      </w:r>
      <w:r w:rsidRPr="006942B9">
        <w:rPr>
          <w:rtl/>
        </w:rPr>
        <w:tab/>
        <w:t>באת כוח הנאשם, הדגישה כי לנאשם אין עבר פלילי קודם ובמהלך כל תקופת שהותו בישראל לא היה מעורב בביצוע</w:t>
      </w:r>
      <w:r w:rsidRPr="006942B9">
        <w:rPr>
          <w:rFonts w:hint="cs"/>
          <w:rtl/>
        </w:rPr>
        <w:t>ה</w:t>
      </w:r>
      <w:r w:rsidRPr="006942B9">
        <w:rPr>
          <w:rtl/>
        </w:rPr>
        <w:t xml:space="preserve"> של עבירה כלשהי. בנוסף, הסמים היו מיועדים לאדם אחר ובפועל לא היתה לנאשם טובת הנאה כלשהי מהבאתם לישראל והפנתה לאסופת פסקי דין שבהם היה מדובר בכמות גדולה של סמים והוטלו עונשים </w:t>
      </w:r>
      <w:r w:rsidRPr="006942B9">
        <w:rPr>
          <w:rFonts w:hint="cs"/>
          <w:rtl/>
        </w:rPr>
        <w:t>נמוכים</w:t>
      </w:r>
      <w:r w:rsidRPr="006942B9">
        <w:rPr>
          <w:rtl/>
        </w:rPr>
        <w:t xml:space="preserve"> יותר מהעונש שלו עותרת המאשימה. הנאשם ציין שהינו נשוי ואב לחמישה ילדים בטווח גילאים שבין שנה ל-17 שנים, ולטענתו הוא מרגיש </w:t>
      </w:r>
      <w:r w:rsidRPr="006942B9">
        <w:rPr>
          <w:rFonts w:hint="cs"/>
          <w:rtl/>
        </w:rPr>
        <w:t>כש</w:t>
      </w:r>
      <w:r w:rsidRPr="006942B9">
        <w:rPr>
          <w:rtl/>
        </w:rPr>
        <w:t xml:space="preserve">עיר לעזאזל של </w:t>
      </w:r>
      <w:r w:rsidRPr="006942B9">
        <w:rPr>
          <w:rFonts w:hint="cs"/>
          <w:rtl/>
        </w:rPr>
        <w:t>מונג ש</w:t>
      </w:r>
      <w:r w:rsidRPr="006942B9">
        <w:rPr>
          <w:rtl/>
        </w:rPr>
        <w:t xml:space="preserve">הסמים היו מיועדים עבורו. </w:t>
      </w:r>
    </w:p>
    <w:p w14:paraId="612E3249" w14:textId="77777777" w:rsidR="00097756" w:rsidRPr="006942B9" w:rsidRDefault="00097756">
      <w:pPr>
        <w:spacing w:line="360" w:lineRule="auto"/>
        <w:jc w:val="both"/>
        <w:rPr>
          <w:rtl/>
        </w:rPr>
      </w:pPr>
    </w:p>
    <w:p w14:paraId="444BF422" w14:textId="77777777" w:rsidR="00097756" w:rsidRPr="006942B9" w:rsidRDefault="006942B9">
      <w:pPr>
        <w:spacing w:line="360" w:lineRule="auto"/>
        <w:jc w:val="both"/>
        <w:rPr>
          <w:b/>
          <w:bCs/>
          <w:sz w:val="28"/>
          <w:szCs w:val="28"/>
          <w:rtl/>
        </w:rPr>
      </w:pPr>
      <w:r w:rsidRPr="006942B9">
        <w:rPr>
          <w:b/>
          <w:bCs/>
          <w:sz w:val="28"/>
          <w:szCs w:val="28"/>
          <w:rtl/>
        </w:rPr>
        <w:t xml:space="preserve">דוגמאות </w:t>
      </w:r>
      <w:r w:rsidRPr="006942B9">
        <w:rPr>
          <w:rFonts w:hint="cs"/>
          <w:b/>
          <w:bCs/>
          <w:sz w:val="28"/>
          <w:szCs w:val="28"/>
          <w:rtl/>
        </w:rPr>
        <w:t>לענישה</w:t>
      </w:r>
      <w:r w:rsidRPr="006942B9">
        <w:rPr>
          <w:b/>
          <w:bCs/>
          <w:sz w:val="28"/>
          <w:szCs w:val="28"/>
          <w:rtl/>
        </w:rPr>
        <w:t xml:space="preserve"> בעביר</w:t>
      </w:r>
      <w:r w:rsidRPr="006942B9">
        <w:rPr>
          <w:rFonts w:hint="cs"/>
          <w:b/>
          <w:bCs/>
          <w:sz w:val="28"/>
          <w:szCs w:val="28"/>
          <w:rtl/>
        </w:rPr>
        <w:t>ה</w:t>
      </w:r>
      <w:r w:rsidRPr="006942B9">
        <w:rPr>
          <w:b/>
          <w:bCs/>
          <w:sz w:val="28"/>
          <w:szCs w:val="28"/>
          <w:rtl/>
        </w:rPr>
        <w:t xml:space="preserve"> של ייבוא מתאמפט</w:t>
      </w:r>
      <w:r w:rsidRPr="006942B9">
        <w:rPr>
          <w:rFonts w:hint="cs"/>
          <w:b/>
          <w:bCs/>
          <w:sz w:val="28"/>
          <w:szCs w:val="28"/>
          <w:rtl/>
        </w:rPr>
        <w:t>א</w:t>
      </w:r>
      <w:r w:rsidRPr="006942B9">
        <w:rPr>
          <w:b/>
          <w:bCs/>
          <w:sz w:val="28"/>
          <w:szCs w:val="28"/>
          <w:rtl/>
        </w:rPr>
        <w:t xml:space="preserve">מין </w:t>
      </w:r>
    </w:p>
    <w:p w14:paraId="30E19F7C" w14:textId="77777777" w:rsidR="00097756" w:rsidRPr="006942B9" w:rsidRDefault="00097756">
      <w:pPr>
        <w:spacing w:line="360" w:lineRule="auto"/>
        <w:jc w:val="both"/>
        <w:rPr>
          <w:b/>
          <w:bCs/>
          <w:sz w:val="28"/>
          <w:szCs w:val="28"/>
          <w:rtl/>
        </w:rPr>
      </w:pPr>
    </w:p>
    <w:p w14:paraId="5AB0176F" w14:textId="77777777" w:rsidR="00097756" w:rsidRPr="006942B9" w:rsidRDefault="006942B9">
      <w:pPr>
        <w:spacing w:line="360" w:lineRule="auto"/>
        <w:ind w:left="720" w:hanging="720"/>
        <w:jc w:val="both"/>
        <w:rPr>
          <w:rtl/>
        </w:rPr>
      </w:pPr>
      <w:r w:rsidRPr="006942B9">
        <w:rPr>
          <w:rtl/>
        </w:rPr>
        <w:t>8.</w:t>
      </w:r>
      <w:r w:rsidRPr="006942B9">
        <w:rPr>
          <w:rtl/>
        </w:rPr>
        <w:tab/>
        <w:t xml:space="preserve">להלן דוגמאות </w:t>
      </w:r>
      <w:r w:rsidRPr="006942B9">
        <w:rPr>
          <w:rFonts w:hint="cs"/>
          <w:rtl/>
        </w:rPr>
        <w:t>של פ</w:t>
      </w:r>
      <w:r w:rsidRPr="006942B9">
        <w:rPr>
          <w:rtl/>
        </w:rPr>
        <w:t xml:space="preserve">סקי דין שבהן היה מדובר בייבוא </w:t>
      </w:r>
      <w:r w:rsidRPr="006942B9">
        <w:rPr>
          <w:rFonts w:hint="cs"/>
          <w:rtl/>
        </w:rPr>
        <w:t xml:space="preserve">לישראל </w:t>
      </w:r>
      <w:r w:rsidRPr="006942B9">
        <w:rPr>
          <w:rtl/>
        </w:rPr>
        <w:t>של סם מסוג מתאמפט</w:t>
      </w:r>
      <w:r w:rsidRPr="006942B9">
        <w:rPr>
          <w:rFonts w:hint="cs"/>
          <w:rtl/>
        </w:rPr>
        <w:t>א</w:t>
      </w:r>
      <w:r w:rsidRPr="006942B9">
        <w:rPr>
          <w:rtl/>
        </w:rPr>
        <w:t>מין</w:t>
      </w:r>
      <w:r w:rsidRPr="006942B9">
        <w:rPr>
          <w:rFonts w:hint="cs"/>
          <w:rtl/>
        </w:rPr>
        <w:t>.</w:t>
      </w:r>
      <w:r w:rsidRPr="006942B9">
        <w:rPr>
          <w:rtl/>
        </w:rPr>
        <w:t xml:space="preserve">  יובהר כי בדוגמאות שיובאו להלן מדובר בייבוא של סם מסוג מתאמפט</w:t>
      </w:r>
      <w:r w:rsidRPr="006942B9">
        <w:rPr>
          <w:rFonts w:hint="cs"/>
          <w:rtl/>
        </w:rPr>
        <w:t>א</w:t>
      </w:r>
      <w:r w:rsidRPr="006942B9">
        <w:rPr>
          <w:rtl/>
        </w:rPr>
        <w:t xml:space="preserve">מין בדרך של "כדורים" ומבלי שתהיה אינדיקציה לגבי ה"משקל" של הסם. כל הפסיקה שתובא להלן פורסמה באתר "נבו". </w:t>
      </w:r>
    </w:p>
    <w:p w14:paraId="307FF0CA" w14:textId="77777777" w:rsidR="00097756" w:rsidRPr="006942B9" w:rsidRDefault="00097756">
      <w:pPr>
        <w:spacing w:line="360" w:lineRule="auto"/>
        <w:ind w:left="720" w:hanging="720"/>
        <w:jc w:val="both"/>
        <w:rPr>
          <w:rtl/>
        </w:rPr>
      </w:pPr>
    </w:p>
    <w:p w14:paraId="37454BB3" w14:textId="77777777" w:rsidR="00097756" w:rsidRPr="006942B9" w:rsidRDefault="00097756">
      <w:pPr>
        <w:spacing w:line="360" w:lineRule="auto"/>
        <w:ind w:left="720" w:hanging="720"/>
        <w:jc w:val="both"/>
        <w:rPr>
          <w:rtl/>
        </w:rPr>
      </w:pPr>
    </w:p>
    <w:tbl>
      <w:tblPr>
        <w:bidiVisual/>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6"/>
        <w:gridCol w:w="1414"/>
        <w:gridCol w:w="1609"/>
        <w:gridCol w:w="1966"/>
      </w:tblGrid>
      <w:tr w:rsidR="00097756" w:rsidRPr="006942B9" w14:paraId="5238B41A" w14:textId="77777777">
        <w:trPr>
          <w:trHeight w:val="728"/>
          <w:jc w:val="right"/>
        </w:trPr>
        <w:tc>
          <w:tcPr>
            <w:tcW w:w="1446" w:type="dxa"/>
          </w:tcPr>
          <w:p w14:paraId="7875F574" w14:textId="77777777" w:rsidR="00097756" w:rsidRPr="006942B9" w:rsidRDefault="006942B9">
            <w:pPr>
              <w:pStyle w:val="21"/>
              <w:rPr>
                <w:rFonts w:cs="David"/>
              </w:rPr>
            </w:pPr>
            <w:r w:rsidRPr="006942B9">
              <w:rPr>
                <w:rFonts w:cs="David"/>
                <w:rtl/>
              </w:rPr>
              <w:t xml:space="preserve">מספר הליך וערכאה </w:t>
            </w:r>
          </w:p>
        </w:tc>
        <w:tc>
          <w:tcPr>
            <w:tcW w:w="1414" w:type="dxa"/>
          </w:tcPr>
          <w:p w14:paraId="605664C4" w14:textId="77777777" w:rsidR="00097756" w:rsidRPr="006942B9" w:rsidRDefault="006942B9">
            <w:pPr>
              <w:pStyle w:val="2"/>
              <w:rPr>
                <w:rFonts w:cs="David"/>
                <w:color w:val="auto"/>
              </w:rPr>
            </w:pPr>
            <w:r w:rsidRPr="006942B9">
              <w:rPr>
                <w:rFonts w:cs="David" w:hint="cs"/>
                <w:color w:val="auto"/>
                <w:rtl/>
              </w:rPr>
              <w:t>שם נאשם</w:t>
            </w:r>
          </w:p>
        </w:tc>
        <w:tc>
          <w:tcPr>
            <w:tcW w:w="1609" w:type="dxa"/>
          </w:tcPr>
          <w:p w14:paraId="6D649655" w14:textId="77777777" w:rsidR="00097756" w:rsidRPr="006942B9" w:rsidRDefault="006942B9">
            <w:pPr>
              <w:pStyle w:val="2"/>
              <w:rPr>
                <w:rFonts w:cs="David"/>
                <w:color w:val="auto"/>
              </w:rPr>
            </w:pPr>
            <w:r w:rsidRPr="006942B9">
              <w:rPr>
                <w:rFonts w:cs="David"/>
                <w:color w:val="auto"/>
                <w:rtl/>
              </w:rPr>
              <w:t>מספר כדורים</w:t>
            </w:r>
          </w:p>
        </w:tc>
        <w:tc>
          <w:tcPr>
            <w:tcW w:w="1966" w:type="dxa"/>
          </w:tcPr>
          <w:p w14:paraId="46E820A2" w14:textId="77777777" w:rsidR="00097756" w:rsidRPr="006942B9" w:rsidRDefault="006942B9">
            <w:pPr>
              <w:pStyle w:val="2"/>
              <w:rPr>
                <w:rFonts w:cs="David"/>
                <w:color w:val="auto"/>
              </w:rPr>
            </w:pPr>
            <w:r w:rsidRPr="006942B9">
              <w:rPr>
                <w:rFonts w:cs="David"/>
                <w:color w:val="auto"/>
                <w:rtl/>
              </w:rPr>
              <w:t xml:space="preserve">עונש מאסר בפועל </w:t>
            </w:r>
          </w:p>
        </w:tc>
      </w:tr>
      <w:tr w:rsidR="00097756" w:rsidRPr="006942B9" w14:paraId="0F9A6C97" w14:textId="77777777">
        <w:trPr>
          <w:trHeight w:val="713"/>
          <w:jc w:val="right"/>
        </w:trPr>
        <w:tc>
          <w:tcPr>
            <w:tcW w:w="1446" w:type="dxa"/>
          </w:tcPr>
          <w:p w14:paraId="64622DB3" w14:textId="77777777" w:rsidR="00097756" w:rsidRPr="006942B9" w:rsidRDefault="00C23558">
            <w:pPr>
              <w:spacing w:line="360" w:lineRule="auto"/>
              <w:jc w:val="both"/>
            </w:pPr>
            <w:hyperlink r:id="rId15" w:history="1">
              <w:r w:rsidRPr="00C23558">
                <w:rPr>
                  <w:rStyle w:val="Hyperlink"/>
                  <w:rFonts w:cs="David"/>
                  <w:rtl/>
                </w:rPr>
                <w:t>ע"פ 4659/12</w:t>
              </w:r>
            </w:hyperlink>
            <w:r w:rsidR="006942B9" w:rsidRPr="006942B9">
              <w:rPr>
                <w:rtl/>
              </w:rPr>
              <w:t xml:space="preserve"> – עליון </w:t>
            </w:r>
          </w:p>
        </w:tc>
        <w:tc>
          <w:tcPr>
            <w:tcW w:w="1414" w:type="dxa"/>
          </w:tcPr>
          <w:p w14:paraId="25800738" w14:textId="77777777" w:rsidR="00097756" w:rsidRPr="006942B9" w:rsidRDefault="006942B9">
            <w:pPr>
              <w:spacing w:line="360" w:lineRule="auto"/>
              <w:jc w:val="both"/>
            </w:pPr>
            <w:r w:rsidRPr="006942B9">
              <w:rPr>
                <w:rtl/>
              </w:rPr>
              <w:t>סיריפונג</w:t>
            </w:r>
          </w:p>
        </w:tc>
        <w:tc>
          <w:tcPr>
            <w:tcW w:w="1609" w:type="dxa"/>
          </w:tcPr>
          <w:p w14:paraId="3BA1A4FE" w14:textId="77777777" w:rsidR="00097756" w:rsidRPr="006942B9" w:rsidRDefault="006942B9">
            <w:pPr>
              <w:spacing w:line="360" w:lineRule="auto"/>
              <w:jc w:val="both"/>
            </w:pPr>
            <w:r w:rsidRPr="006942B9">
              <w:rPr>
                <w:rtl/>
              </w:rPr>
              <w:t xml:space="preserve">1,084 </w:t>
            </w:r>
          </w:p>
        </w:tc>
        <w:tc>
          <w:tcPr>
            <w:tcW w:w="1966" w:type="dxa"/>
          </w:tcPr>
          <w:p w14:paraId="43438036" w14:textId="77777777" w:rsidR="00097756" w:rsidRPr="006942B9" w:rsidRDefault="006942B9">
            <w:pPr>
              <w:spacing w:line="360" w:lineRule="auto"/>
              <w:jc w:val="both"/>
            </w:pPr>
            <w:r w:rsidRPr="006942B9">
              <w:rPr>
                <w:rtl/>
              </w:rPr>
              <w:t>18 חודשים</w:t>
            </w:r>
          </w:p>
        </w:tc>
      </w:tr>
      <w:tr w:rsidR="00097756" w:rsidRPr="006942B9" w14:paraId="2B37ED8E" w14:textId="77777777">
        <w:trPr>
          <w:trHeight w:val="1092"/>
          <w:jc w:val="right"/>
        </w:trPr>
        <w:tc>
          <w:tcPr>
            <w:tcW w:w="1446" w:type="dxa"/>
          </w:tcPr>
          <w:p w14:paraId="32448F95" w14:textId="77777777" w:rsidR="00097756" w:rsidRPr="006942B9" w:rsidRDefault="006942B9">
            <w:pPr>
              <w:spacing w:line="360" w:lineRule="auto"/>
              <w:jc w:val="both"/>
            </w:pPr>
            <w:r w:rsidRPr="006942B9">
              <w:rPr>
                <w:rtl/>
              </w:rPr>
              <w:t>ת"פ 46896.02.11 – מחוזי מרכז</w:t>
            </w:r>
          </w:p>
        </w:tc>
        <w:tc>
          <w:tcPr>
            <w:tcW w:w="1414" w:type="dxa"/>
          </w:tcPr>
          <w:p w14:paraId="0B451FD9" w14:textId="77777777" w:rsidR="00097756" w:rsidRPr="006942B9" w:rsidRDefault="006942B9">
            <w:pPr>
              <w:spacing w:line="360" w:lineRule="auto"/>
              <w:jc w:val="both"/>
            </w:pPr>
            <w:r w:rsidRPr="006942B9">
              <w:rPr>
                <w:rtl/>
              </w:rPr>
              <w:t>טאראכאי</w:t>
            </w:r>
          </w:p>
        </w:tc>
        <w:tc>
          <w:tcPr>
            <w:tcW w:w="1609" w:type="dxa"/>
          </w:tcPr>
          <w:p w14:paraId="75E37DB4" w14:textId="77777777" w:rsidR="00097756" w:rsidRPr="006942B9" w:rsidRDefault="006942B9">
            <w:pPr>
              <w:spacing w:line="360" w:lineRule="auto"/>
              <w:jc w:val="both"/>
            </w:pPr>
            <w:r w:rsidRPr="006942B9">
              <w:rPr>
                <w:rtl/>
              </w:rPr>
              <w:t>900</w:t>
            </w:r>
          </w:p>
        </w:tc>
        <w:tc>
          <w:tcPr>
            <w:tcW w:w="1966" w:type="dxa"/>
          </w:tcPr>
          <w:p w14:paraId="335A533C" w14:textId="77777777" w:rsidR="00097756" w:rsidRPr="006942B9" w:rsidRDefault="006942B9">
            <w:pPr>
              <w:spacing w:line="360" w:lineRule="auto"/>
              <w:jc w:val="both"/>
            </w:pPr>
            <w:r w:rsidRPr="006942B9">
              <w:rPr>
                <w:rtl/>
              </w:rPr>
              <w:t>13 חודשים</w:t>
            </w:r>
          </w:p>
        </w:tc>
      </w:tr>
      <w:tr w:rsidR="00097756" w:rsidRPr="006942B9" w14:paraId="79E8CF3D" w14:textId="77777777">
        <w:trPr>
          <w:trHeight w:val="1092"/>
          <w:jc w:val="right"/>
        </w:trPr>
        <w:tc>
          <w:tcPr>
            <w:tcW w:w="1446" w:type="dxa"/>
          </w:tcPr>
          <w:p w14:paraId="1BA12260" w14:textId="77777777" w:rsidR="00097756" w:rsidRPr="006942B9" w:rsidRDefault="006942B9">
            <w:pPr>
              <w:spacing w:line="360" w:lineRule="auto"/>
              <w:jc w:val="both"/>
            </w:pPr>
            <w:r w:rsidRPr="00A45930">
              <w:rPr>
                <w:color w:val="000000"/>
                <w:rtl/>
              </w:rPr>
              <w:t>ת"פ 46883/02/11</w:t>
            </w:r>
            <w:r w:rsidRPr="006942B9">
              <w:rPr>
                <w:rtl/>
              </w:rPr>
              <w:t xml:space="preserve"> – מחוזי מרכז</w:t>
            </w:r>
          </w:p>
        </w:tc>
        <w:tc>
          <w:tcPr>
            <w:tcW w:w="1414" w:type="dxa"/>
          </w:tcPr>
          <w:p w14:paraId="0FB082C9" w14:textId="77777777" w:rsidR="00097756" w:rsidRPr="006942B9" w:rsidRDefault="006942B9">
            <w:pPr>
              <w:spacing w:line="360" w:lineRule="auto"/>
              <w:jc w:val="both"/>
            </w:pPr>
            <w:r w:rsidRPr="006942B9">
              <w:rPr>
                <w:rtl/>
              </w:rPr>
              <w:t>קנונקגג</w:t>
            </w:r>
          </w:p>
        </w:tc>
        <w:tc>
          <w:tcPr>
            <w:tcW w:w="1609" w:type="dxa"/>
          </w:tcPr>
          <w:p w14:paraId="01961E8F" w14:textId="77777777" w:rsidR="00097756" w:rsidRPr="006942B9" w:rsidRDefault="006942B9">
            <w:pPr>
              <w:spacing w:line="360" w:lineRule="auto"/>
              <w:jc w:val="both"/>
            </w:pPr>
            <w:r w:rsidRPr="006942B9">
              <w:rPr>
                <w:rtl/>
              </w:rPr>
              <w:t>1,000</w:t>
            </w:r>
          </w:p>
        </w:tc>
        <w:tc>
          <w:tcPr>
            <w:tcW w:w="1966" w:type="dxa"/>
          </w:tcPr>
          <w:p w14:paraId="771EF6A3" w14:textId="77777777" w:rsidR="00097756" w:rsidRPr="006942B9" w:rsidRDefault="006942B9">
            <w:pPr>
              <w:spacing w:line="360" w:lineRule="auto"/>
              <w:jc w:val="both"/>
            </w:pPr>
            <w:r w:rsidRPr="006942B9">
              <w:rPr>
                <w:rtl/>
              </w:rPr>
              <w:t>13 חודשים</w:t>
            </w:r>
          </w:p>
        </w:tc>
      </w:tr>
      <w:tr w:rsidR="00097756" w:rsidRPr="006942B9" w14:paraId="77B07835" w14:textId="77777777">
        <w:trPr>
          <w:trHeight w:val="1077"/>
          <w:jc w:val="right"/>
        </w:trPr>
        <w:tc>
          <w:tcPr>
            <w:tcW w:w="1446" w:type="dxa"/>
          </w:tcPr>
          <w:p w14:paraId="73633E7C" w14:textId="77777777" w:rsidR="00097756" w:rsidRPr="006942B9" w:rsidRDefault="006942B9">
            <w:pPr>
              <w:spacing w:line="360" w:lineRule="auto"/>
              <w:jc w:val="both"/>
            </w:pPr>
            <w:r w:rsidRPr="00A45930">
              <w:rPr>
                <w:color w:val="000000"/>
                <w:rtl/>
              </w:rPr>
              <w:t>ת"פ 21485/01/11</w:t>
            </w:r>
            <w:r w:rsidRPr="006942B9">
              <w:rPr>
                <w:rtl/>
              </w:rPr>
              <w:t xml:space="preserve"> – מחוזי מרכז</w:t>
            </w:r>
          </w:p>
        </w:tc>
        <w:tc>
          <w:tcPr>
            <w:tcW w:w="1414" w:type="dxa"/>
          </w:tcPr>
          <w:p w14:paraId="41610778" w14:textId="77777777" w:rsidR="00097756" w:rsidRPr="006942B9" w:rsidRDefault="006942B9">
            <w:pPr>
              <w:spacing w:line="360" w:lineRule="auto"/>
              <w:jc w:val="both"/>
            </w:pPr>
            <w:r w:rsidRPr="006942B9">
              <w:rPr>
                <w:rtl/>
              </w:rPr>
              <w:t>תאיפינפרום</w:t>
            </w:r>
          </w:p>
        </w:tc>
        <w:tc>
          <w:tcPr>
            <w:tcW w:w="1609" w:type="dxa"/>
          </w:tcPr>
          <w:p w14:paraId="42685A24" w14:textId="77777777" w:rsidR="00097756" w:rsidRPr="006942B9" w:rsidRDefault="006942B9">
            <w:pPr>
              <w:spacing w:line="360" w:lineRule="auto"/>
              <w:jc w:val="both"/>
            </w:pPr>
            <w:r w:rsidRPr="006942B9">
              <w:rPr>
                <w:rtl/>
              </w:rPr>
              <w:t>1,960</w:t>
            </w:r>
          </w:p>
        </w:tc>
        <w:tc>
          <w:tcPr>
            <w:tcW w:w="1966" w:type="dxa"/>
          </w:tcPr>
          <w:p w14:paraId="3856DEDC" w14:textId="77777777" w:rsidR="00097756" w:rsidRPr="006942B9" w:rsidRDefault="006942B9">
            <w:pPr>
              <w:spacing w:line="360" w:lineRule="auto"/>
              <w:jc w:val="both"/>
            </w:pPr>
            <w:r w:rsidRPr="006942B9">
              <w:rPr>
                <w:rtl/>
              </w:rPr>
              <w:t>24 חודשים</w:t>
            </w:r>
          </w:p>
        </w:tc>
      </w:tr>
      <w:tr w:rsidR="00097756" w:rsidRPr="006942B9" w14:paraId="5F9D9A0B" w14:textId="77777777">
        <w:trPr>
          <w:trHeight w:val="1092"/>
          <w:jc w:val="right"/>
        </w:trPr>
        <w:tc>
          <w:tcPr>
            <w:tcW w:w="1446" w:type="dxa"/>
          </w:tcPr>
          <w:p w14:paraId="480084BC" w14:textId="77777777" w:rsidR="00097756" w:rsidRPr="006942B9" w:rsidRDefault="006942B9">
            <w:pPr>
              <w:spacing w:line="360" w:lineRule="auto"/>
              <w:jc w:val="both"/>
            </w:pPr>
            <w:r w:rsidRPr="00A45930">
              <w:rPr>
                <w:color w:val="000000"/>
                <w:rtl/>
              </w:rPr>
              <w:t>ת"פ 50514/12/10</w:t>
            </w:r>
            <w:r w:rsidRPr="006942B9">
              <w:rPr>
                <w:rtl/>
              </w:rPr>
              <w:t xml:space="preserve"> – מחוזי מרכז</w:t>
            </w:r>
          </w:p>
        </w:tc>
        <w:tc>
          <w:tcPr>
            <w:tcW w:w="1414" w:type="dxa"/>
          </w:tcPr>
          <w:p w14:paraId="56F10752" w14:textId="77777777" w:rsidR="00097756" w:rsidRPr="006942B9" w:rsidRDefault="006942B9">
            <w:pPr>
              <w:spacing w:line="360" w:lineRule="auto"/>
              <w:jc w:val="both"/>
            </w:pPr>
            <w:r w:rsidRPr="006942B9">
              <w:rPr>
                <w:rtl/>
              </w:rPr>
              <w:t>סופאקסורן</w:t>
            </w:r>
          </w:p>
        </w:tc>
        <w:tc>
          <w:tcPr>
            <w:tcW w:w="1609" w:type="dxa"/>
          </w:tcPr>
          <w:p w14:paraId="77B2CB9F" w14:textId="77777777" w:rsidR="00097756" w:rsidRPr="006942B9" w:rsidRDefault="006942B9">
            <w:pPr>
              <w:spacing w:line="360" w:lineRule="auto"/>
              <w:jc w:val="both"/>
            </w:pPr>
            <w:r w:rsidRPr="006942B9">
              <w:rPr>
                <w:rtl/>
              </w:rPr>
              <w:t>2,181</w:t>
            </w:r>
          </w:p>
        </w:tc>
        <w:tc>
          <w:tcPr>
            <w:tcW w:w="1966" w:type="dxa"/>
          </w:tcPr>
          <w:p w14:paraId="213A961D" w14:textId="77777777" w:rsidR="00097756" w:rsidRPr="006942B9" w:rsidRDefault="006942B9">
            <w:pPr>
              <w:spacing w:line="360" w:lineRule="auto"/>
              <w:jc w:val="both"/>
            </w:pPr>
            <w:r w:rsidRPr="006942B9">
              <w:rPr>
                <w:rtl/>
              </w:rPr>
              <w:t>20 חודשים</w:t>
            </w:r>
          </w:p>
        </w:tc>
      </w:tr>
      <w:tr w:rsidR="00097756" w:rsidRPr="006942B9" w14:paraId="2A1A9B94" w14:textId="77777777">
        <w:trPr>
          <w:trHeight w:val="1456"/>
          <w:jc w:val="right"/>
        </w:trPr>
        <w:tc>
          <w:tcPr>
            <w:tcW w:w="1446" w:type="dxa"/>
          </w:tcPr>
          <w:p w14:paraId="3C2B8B16" w14:textId="77777777" w:rsidR="00097756" w:rsidRPr="006942B9" w:rsidRDefault="006942B9">
            <w:pPr>
              <w:spacing w:line="360" w:lineRule="auto"/>
              <w:jc w:val="both"/>
            </w:pPr>
            <w:r w:rsidRPr="00A45930">
              <w:rPr>
                <w:color w:val="000000"/>
                <w:rtl/>
              </w:rPr>
              <w:t>ת"פ 4678/03/11</w:t>
            </w:r>
            <w:r w:rsidRPr="006942B9">
              <w:rPr>
                <w:rtl/>
              </w:rPr>
              <w:t xml:space="preserve"> – מחוזי תל אביב</w:t>
            </w:r>
          </w:p>
        </w:tc>
        <w:tc>
          <w:tcPr>
            <w:tcW w:w="1414" w:type="dxa"/>
          </w:tcPr>
          <w:p w14:paraId="6D83A4D4" w14:textId="77777777" w:rsidR="00097756" w:rsidRPr="006942B9" w:rsidRDefault="006942B9">
            <w:pPr>
              <w:spacing w:line="360" w:lineRule="auto"/>
              <w:jc w:val="both"/>
            </w:pPr>
            <w:r w:rsidRPr="006942B9">
              <w:rPr>
                <w:rtl/>
              </w:rPr>
              <w:t>ניפון</w:t>
            </w:r>
          </w:p>
        </w:tc>
        <w:tc>
          <w:tcPr>
            <w:tcW w:w="1609" w:type="dxa"/>
          </w:tcPr>
          <w:p w14:paraId="6E57510C" w14:textId="77777777" w:rsidR="00097756" w:rsidRPr="006942B9" w:rsidRDefault="006942B9">
            <w:pPr>
              <w:spacing w:line="360" w:lineRule="auto"/>
              <w:jc w:val="both"/>
            </w:pPr>
            <w:r w:rsidRPr="006942B9">
              <w:rPr>
                <w:rtl/>
              </w:rPr>
              <w:t xml:space="preserve">2,790 </w:t>
            </w:r>
          </w:p>
        </w:tc>
        <w:tc>
          <w:tcPr>
            <w:tcW w:w="1966" w:type="dxa"/>
          </w:tcPr>
          <w:p w14:paraId="26CD3944" w14:textId="77777777" w:rsidR="00097756" w:rsidRPr="006942B9" w:rsidRDefault="006942B9">
            <w:pPr>
              <w:spacing w:line="360" w:lineRule="auto"/>
              <w:jc w:val="both"/>
            </w:pPr>
            <w:r w:rsidRPr="006942B9">
              <w:rPr>
                <w:rtl/>
              </w:rPr>
              <w:t>31 חודשים</w:t>
            </w:r>
          </w:p>
        </w:tc>
      </w:tr>
      <w:tr w:rsidR="00097756" w:rsidRPr="006942B9" w14:paraId="3885E999" w14:textId="77777777">
        <w:trPr>
          <w:trHeight w:val="1077"/>
          <w:jc w:val="right"/>
        </w:trPr>
        <w:tc>
          <w:tcPr>
            <w:tcW w:w="1446" w:type="dxa"/>
          </w:tcPr>
          <w:p w14:paraId="59CF473E" w14:textId="77777777" w:rsidR="00097756" w:rsidRPr="006942B9" w:rsidRDefault="006942B9">
            <w:pPr>
              <w:spacing w:line="360" w:lineRule="auto"/>
              <w:jc w:val="both"/>
            </w:pPr>
            <w:r w:rsidRPr="00A45930">
              <w:rPr>
                <w:color w:val="000000"/>
                <w:rtl/>
              </w:rPr>
              <w:t>ת"פ 23831/10/12</w:t>
            </w:r>
            <w:r w:rsidRPr="006942B9">
              <w:rPr>
                <w:rtl/>
              </w:rPr>
              <w:t xml:space="preserve"> – מחוזי מרכז</w:t>
            </w:r>
          </w:p>
        </w:tc>
        <w:tc>
          <w:tcPr>
            <w:tcW w:w="1414" w:type="dxa"/>
          </w:tcPr>
          <w:p w14:paraId="7FED047D" w14:textId="77777777" w:rsidR="00097756" w:rsidRPr="006942B9" w:rsidRDefault="006942B9">
            <w:pPr>
              <w:spacing w:line="360" w:lineRule="auto"/>
              <w:jc w:val="both"/>
            </w:pPr>
            <w:r w:rsidRPr="006942B9">
              <w:rPr>
                <w:rtl/>
              </w:rPr>
              <w:t>וונגמאלט</w:t>
            </w:r>
          </w:p>
        </w:tc>
        <w:tc>
          <w:tcPr>
            <w:tcW w:w="1609" w:type="dxa"/>
          </w:tcPr>
          <w:p w14:paraId="42D22FFD" w14:textId="77777777" w:rsidR="00097756" w:rsidRPr="006942B9" w:rsidRDefault="006942B9">
            <w:pPr>
              <w:spacing w:line="360" w:lineRule="auto"/>
              <w:jc w:val="both"/>
            </w:pPr>
            <w:r w:rsidRPr="006942B9">
              <w:rPr>
                <w:rtl/>
              </w:rPr>
              <w:t xml:space="preserve">3,570 </w:t>
            </w:r>
          </w:p>
        </w:tc>
        <w:tc>
          <w:tcPr>
            <w:tcW w:w="1966" w:type="dxa"/>
          </w:tcPr>
          <w:p w14:paraId="1487CB10" w14:textId="77777777" w:rsidR="00097756" w:rsidRPr="006942B9" w:rsidRDefault="006942B9">
            <w:pPr>
              <w:spacing w:line="360" w:lineRule="auto"/>
              <w:jc w:val="both"/>
            </w:pPr>
            <w:r w:rsidRPr="006942B9">
              <w:rPr>
                <w:rtl/>
              </w:rPr>
              <w:t>30 חודשים</w:t>
            </w:r>
          </w:p>
        </w:tc>
      </w:tr>
      <w:tr w:rsidR="00097756" w:rsidRPr="006942B9" w14:paraId="1CADE8E7" w14:textId="77777777">
        <w:trPr>
          <w:trHeight w:val="1092"/>
          <w:jc w:val="right"/>
        </w:trPr>
        <w:tc>
          <w:tcPr>
            <w:tcW w:w="1446" w:type="dxa"/>
          </w:tcPr>
          <w:p w14:paraId="045F62AF" w14:textId="77777777" w:rsidR="00097756" w:rsidRPr="006942B9" w:rsidRDefault="006942B9">
            <w:pPr>
              <w:spacing w:line="360" w:lineRule="auto"/>
              <w:jc w:val="both"/>
            </w:pPr>
            <w:r w:rsidRPr="00A45930">
              <w:rPr>
                <w:color w:val="000000"/>
                <w:rtl/>
              </w:rPr>
              <w:t>ת"פ 10316/04/11</w:t>
            </w:r>
            <w:r w:rsidRPr="006942B9">
              <w:rPr>
                <w:rtl/>
              </w:rPr>
              <w:t xml:space="preserve"> – מחוזי מרכז</w:t>
            </w:r>
          </w:p>
        </w:tc>
        <w:tc>
          <w:tcPr>
            <w:tcW w:w="1414" w:type="dxa"/>
          </w:tcPr>
          <w:p w14:paraId="5A598DB8" w14:textId="77777777" w:rsidR="00097756" w:rsidRPr="006942B9" w:rsidRDefault="006942B9">
            <w:pPr>
              <w:spacing w:line="360" w:lineRule="auto"/>
              <w:jc w:val="both"/>
            </w:pPr>
            <w:r w:rsidRPr="006942B9">
              <w:rPr>
                <w:rtl/>
              </w:rPr>
              <w:t>קאופיינוק</w:t>
            </w:r>
          </w:p>
        </w:tc>
        <w:tc>
          <w:tcPr>
            <w:tcW w:w="1609" w:type="dxa"/>
          </w:tcPr>
          <w:p w14:paraId="389EA3E3" w14:textId="77777777" w:rsidR="00097756" w:rsidRPr="006942B9" w:rsidRDefault="006942B9">
            <w:pPr>
              <w:spacing w:line="360" w:lineRule="auto"/>
              <w:jc w:val="both"/>
            </w:pPr>
            <w:r w:rsidRPr="006942B9">
              <w:rPr>
                <w:rtl/>
              </w:rPr>
              <w:t xml:space="preserve">3,660 </w:t>
            </w:r>
          </w:p>
        </w:tc>
        <w:tc>
          <w:tcPr>
            <w:tcW w:w="1966" w:type="dxa"/>
          </w:tcPr>
          <w:p w14:paraId="3901FF5A" w14:textId="77777777" w:rsidR="00097756" w:rsidRPr="006942B9" w:rsidRDefault="006942B9">
            <w:pPr>
              <w:spacing w:line="360" w:lineRule="auto"/>
              <w:jc w:val="both"/>
            </w:pPr>
            <w:r w:rsidRPr="006942B9">
              <w:rPr>
                <w:rtl/>
              </w:rPr>
              <w:t>30 חודשים</w:t>
            </w:r>
          </w:p>
        </w:tc>
      </w:tr>
      <w:tr w:rsidR="00097756" w:rsidRPr="006942B9" w14:paraId="491C8F9B" w14:textId="77777777">
        <w:trPr>
          <w:trHeight w:val="1092"/>
          <w:jc w:val="right"/>
        </w:trPr>
        <w:tc>
          <w:tcPr>
            <w:tcW w:w="1446" w:type="dxa"/>
          </w:tcPr>
          <w:p w14:paraId="56CCAB27" w14:textId="77777777" w:rsidR="00097756" w:rsidRPr="006942B9" w:rsidRDefault="006942B9">
            <w:pPr>
              <w:spacing w:line="360" w:lineRule="auto"/>
              <w:jc w:val="both"/>
            </w:pPr>
            <w:r w:rsidRPr="00A45930">
              <w:rPr>
                <w:color w:val="000000"/>
                <w:rtl/>
              </w:rPr>
              <w:t>ת"פ 51034/12/10</w:t>
            </w:r>
            <w:r w:rsidRPr="006942B9">
              <w:rPr>
                <w:rtl/>
              </w:rPr>
              <w:t xml:space="preserve"> – מחוזי מרכז</w:t>
            </w:r>
          </w:p>
        </w:tc>
        <w:tc>
          <w:tcPr>
            <w:tcW w:w="1414" w:type="dxa"/>
          </w:tcPr>
          <w:p w14:paraId="04CECAB8" w14:textId="77777777" w:rsidR="00097756" w:rsidRPr="006942B9" w:rsidRDefault="006942B9">
            <w:pPr>
              <w:spacing w:line="360" w:lineRule="auto"/>
              <w:jc w:val="both"/>
            </w:pPr>
            <w:r w:rsidRPr="006942B9">
              <w:rPr>
                <w:rtl/>
              </w:rPr>
              <w:t xml:space="preserve">דואנקכוטה </w:t>
            </w:r>
          </w:p>
        </w:tc>
        <w:tc>
          <w:tcPr>
            <w:tcW w:w="1609" w:type="dxa"/>
          </w:tcPr>
          <w:p w14:paraId="0C439644" w14:textId="77777777" w:rsidR="00097756" w:rsidRPr="006942B9" w:rsidRDefault="006942B9">
            <w:pPr>
              <w:spacing w:line="360" w:lineRule="auto"/>
              <w:jc w:val="both"/>
            </w:pPr>
            <w:r w:rsidRPr="006942B9">
              <w:rPr>
                <w:rtl/>
              </w:rPr>
              <w:t xml:space="preserve">6,037 </w:t>
            </w:r>
          </w:p>
        </w:tc>
        <w:tc>
          <w:tcPr>
            <w:tcW w:w="1966" w:type="dxa"/>
          </w:tcPr>
          <w:p w14:paraId="17E862A2" w14:textId="77777777" w:rsidR="00097756" w:rsidRPr="006942B9" w:rsidRDefault="006942B9">
            <w:pPr>
              <w:spacing w:line="360" w:lineRule="auto"/>
              <w:jc w:val="both"/>
            </w:pPr>
            <w:r w:rsidRPr="006942B9">
              <w:rPr>
                <w:rtl/>
              </w:rPr>
              <w:t>40 חודשים</w:t>
            </w:r>
          </w:p>
        </w:tc>
      </w:tr>
    </w:tbl>
    <w:p w14:paraId="67BE1455" w14:textId="77777777" w:rsidR="00097756" w:rsidRPr="006942B9" w:rsidRDefault="00097756">
      <w:pPr>
        <w:spacing w:line="360" w:lineRule="auto"/>
        <w:ind w:left="720" w:hanging="720"/>
        <w:jc w:val="both"/>
        <w:rPr>
          <w:rtl/>
        </w:rPr>
      </w:pPr>
    </w:p>
    <w:p w14:paraId="021EF7B8" w14:textId="77777777" w:rsidR="00097756" w:rsidRPr="006942B9" w:rsidRDefault="006942B9">
      <w:pPr>
        <w:spacing w:line="360" w:lineRule="auto"/>
        <w:ind w:left="720" w:hanging="720"/>
        <w:jc w:val="both"/>
        <w:rPr>
          <w:rtl/>
        </w:rPr>
      </w:pPr>
      <w:r w:rsidRPr="006942B9">
        <w:rPr>
          <w:rtl/>
        </w:rPr>
        <w:t>9.</w:t>
      </w:r>
      <w:r w:rsidRPr="006942B9">
        <w:rPr>
          <w:rtl/>
        </w:rPr>
        <w:tab/>
      </w:r>
      <w:r w:rsidRPr="006942B9">
        <w:rPr>
          <w:rFonts w:hint="cs"/>
          <w:rtl/>
        </w:rPr>
        <w:t xml:space="preserve">כאמור, </w:t>
      </w:r>
      <w:r w:rsidRPr="006942B9">
        <w:rPr>
          <w:rtl/>
        </w:rPr>
        <w:t xml:space="preserve">בכל הפסיקה הנ"ל, לא היתה התייחסות למשקל של הסם. כמו כן, במקרה שבפני לא הובאה כל ראיה </w:t>
      </w:r>
      <w:r w:rsidRPr="006942B9">
        <w:rPr>
          <w:rFonts w:hint="cs"/>
          <w:rtl/>
        </w:rPr>
        <w:t xml:space="preserve">מטעם מי הצדדים </w:t>
      </w:r>
      <w:r w:rsidRPr="006942B9">
        <w:rPr>
          <w:rtl/>
        </w:rPr>
        <w:t>שתסביר כמה כדורים של סם מסוג מתאמפט</w:t>
      </w:r>
      <w:r w:rsidRPr="006942B9">
        <w:rPr>
          <w:rFonts w:hint="cs"/>
          <w:rtl/>
        </w:rPr>
        <w:t>א</w:t>
      </w:r>
      <w:r w:rsidRPr="006942B9">
        <w:rPr>
          <w:rtl/>
        </w:rPr>
        <w:t xml:space="preserve">מין ניתן להפיק מהכמות של 50 גרם </w:t>
      </w:r>
      <w:r w:rsidRPr="006942B9">
        <w:rPr>
          <w:rFonts w:hint="cs"/>
          <w:rtl/>
        </w:rPr>
        <w:t>המאוזכרת</w:t>
      </w:r>
      <w:r w:rsidRPr="006942B9">
        <w:rPr>
          <w:rtl/>
        </w:rPr>
        <w:t xml:space="preserve"> </w:t>
      </w:r>
      <w:r w:rsidRPr="006942B9">
        <w:rPr>
          <w:rFonts w:hint="cs"/>
          <w:rtl/>
        </w:rPr>
        <w:t>ב</w:t>
      </w:r>
      <w:r w:rsidRPr="006942B9">
        <w:rPr>
          <w:rtl/>
        </w:rPr>
        <w:t>כתב האישום</w:t>
      </w:r>
      <w:r w:rsidRPr="006942B9">
        <w:rPr>
          <w:rFonts w:hint="cs"/>
          <w:rtl/>
        </w:rPr>
        <w:t>.</w:t>
      </w:r>
      <w:r w:rsidRPr="006942B9">
        <w:rPr>
          <w:rtl/>
        </w:rPr>
        <w:t xml:space="preserve"> במילים אחרות, קיים קושי אינהרנטי ל</w:t>
      </w:r>
      <w:r w:rsidRPr="006942B9">
        <w:rPr>
          <w:rFonts w:hint="cs"/>
          <w:rtl/>
        </w:rPr>
        <w:t>הגדיר מה הוא</w:t>
      </w:r>
      <w:r w:rsidRPr="006942B9">
        <w:rPr>
          <w:rtl/>
        </w:rPr>
        <w:t xml:space="preserve"> מתחם עונש הולם לעבירה נשוא כתב האישום </w:t>
      </w:r>
      <w:r w:rsidRPr="006942B9">
        <w:rPr>
          <w:rFonts w:hint="cs"/>
          <w:rtl/>
        </w:rPr>
        <w:t>על פי</w:t>
      </w:r>
      <w:r w:rsidRPr="006942B9">
        <w:rPr>
          <w:rtl/>
        </w:rPr>
        <w:t xml:space="preserve"> הפסיקה הנ"ל. בפרקים הבאים אבהיר את הדרך שבה הגדרתי את מתחם העונש ההולם למקרה שבפני, תוך היזקקות לפסיקה אחרת </w:t>
      </w:r>
      <w:r w:rsidRPr="006942B9">
        <w:rPr>
          <w:rFonts w:hint="cs"/>
          <w:rtl/>
        </w:rPr>
        <w:t xml:space="preserve">מזו שפורטה בטבלה שהובאה לעיל. </w:t>
      </w:r>
    </w:p>
    <w:p w14:paraId="79120477" w14:textId="77777777" w:rsidR="00097756" w:rsidRPr="006942B9" w:rsidRDefault="00097756">
      <w:pPr>
        <w:spacing w:line="360" w:lineRule="auto"/>
        <w:jc w:val="both"/>
        <w:rPr>
          <w:rtl/>
        </w:rPr>
      </w:pPr>
    </w:p>
    <w:p w14:paraId="43423308" w14:textId="77777777" w:rsidR="00097756" w:rsidRPr="006942B9" w:rsidRDefault="006942B9">
      <w:pPr>
        <w:spacing w:line="360" w:lineRule="auto"/>
        <w:jc w:val="both"/>
        <w:rPr>
          <w:b/>
          <w:bCs/>
          <w:sz w:val="28"/>
          <w:szCs w:val="28"/>
          <w:rtl/>
        </w:rPr>
      </w:pPr>
      <w:r w:rsidRPr="006942B9">
        <w:rPr>
          <w:rFonts w:hint="cs"/>
          <w:b/>
          <w:bCs/>
          <w:sz w:val="28"/>
          <w:szCs w:val="28"/>
          <w:rtl/>
        </w:rPr>
        <w:t>"</w:t>
      </w:r>
      <w:r w:rsidRPr="006942B9">
        <w:rPr>
          <w:b/>
          <w:bCs/>
          <w:sz w:val="28"/>
          <w:szCs w:val="28"/>
          <w:rtl/>
        </w:rPr>
        <w:t>מידת האשם</w:t>
      </w:r>
      <w:r w:rsidRPr="006942B9">
        <w:rPr>
          <w:rFonts w:hint="cs"/>
          <w:b/>
          <w:bCs/>
          <w:sz w:val="28"/>
          <w:szCs w:val="28"/>
          <w:rtl/>
        </w:rPr>
        <w:t>"</w:t>
      </w:r>
      <w:r w:rsidRPr="006942B9">
        <w:rPr>
          <w:b/>
          <w:bCs/>
          <w:sz w:val="28"/>
          <w:szCs w:val="28"/>
          <w:rtl/>
        </w:rPr>
        <w:t xml:space="preserve"> ו</w:t>
      </w:r>
      <w:r w:rsidRPr="006942B9">
        <w:rPr>
          <w:rFonts w:hint="cs"/>
          <w:b/>
          <w:bCs/>
          <w:sz w:val="28"/>
          <w:szCs w:val="28"/>
          <w:rtl/>
        </w:rPr>
        <w:t>-"</w:t>
      </w:r>
      <w:r w:rsidRPr="006942B9">
        <w:rPr>
          <w:b/>
          <w:bCs/>
          <w:sz w:val="28"/>
          <w:szCs w:val="28"/>
          <w:rtl/>
        </w:rPr>
        <w:t>מידת הנזק</w:t>
      </w:r>
      <w:r w:rsidRPr="006942B9">
        <w:rPr>
          <w:rFonts w:hint="cs"/>
          <w:b/>
          <w:bCs/>
          <w:sz w:val="28"/>
          <w:szCs w:val="28"/>
          <w:rtl/>
        </w:rPr>
        <w:t>"</w:t>
      </w:r>
      <w:r w:rsidRPr="006942B9">
        <w:rPr>
          <w:b/>
          <w:bCs/>
          <w:sz w:val="28"/>
          <w:szCs w:val="28"/>
          <w:rtl/>
        </w:rPr>
        <w:t xml:space="preserve"> כ</w:t>
      </w:r>
      <w:r w:rsidRPr="006942B9">
        <w:rPr>
          <w:rFonts w:hint="cs"/>
          <w:b/>
          <w:bCs/>
          <w:sz w:val="28"/>
          <w:szCs w:val="28"/>
          <w:rtl/>
        </w:rPr>
        <w:t xml:space="preserve">פרמטרים </w:t>
      </w:r>
      <w:r w:rsidRPr="006942B9">
        <w:rPr>
          <w:b/>
          <w:bCs/>
          <w:sz w:val="28"/>
          <w:szCs w:val="28"/>
          <w:rtl/>
        </w:rPr>
        <w:t xml:space="preserve">מנחים בקביעת </w:t>
      </w:r>
      <w:r w:rsidRPr="006942B9">
        <w:rPr>
          <w:rFonts w:hint="cs"/>
          <w:b/>
          <w:bCs/>
          <w:sz w:val="28"/>
          <w:szCs w:val="28"/>
          <w:rtl/>
        </w:rPr>
        <w:t xml:space="preserve">מתחם </w:t>
      </w:r>
      <w:r w:rsidRPr="006942B9">
        <w:rPr>
          <w:b/>
          <w:bCs/>
          <w:sz w:val="28"/>
          <w:szCs w:val="28"/>
          <w:rtl/>
        </w:rPr>
        <w:t>העונש ההולם</w:t>
      </w:r>
    </w:p>
    <w:p w14:paraId="5DAC96BE" w14:textId="77777777" w:rsidR="00097756" w:rsidRPr="006942B9" w:rsidRDefault="006942B9">
      <w:pPr>
        <w:spacing w:line="360" w:lineRule="auto"/>
        <w:jc w:val="both"/>
        <w:rPr>
          <w:rtl/>
        </w:rPr>
      </w:pPr>
      <w:r w:rsidRPr="006942B9">
        <w:rPr>
          <w:rtl/>
        </w:rPr>
        <w:tab/>
      </w:r>
    </w:p>
    <w:p w14:paraId="411FD2E3" w14:textId="77777777" w:rsidR="00097756" w:rsidRPr="006942B9" w:rsidRDefault="006942B9">
      <w:pPr>
        <w:spacing w:line="360" w:lineRule="auto"/>
        <w:ind w:left="720" w:hanging="720"/>
        <w:jc w:val="both"/>
        <w:rPr>
          <w:rtl/>
        </w:rPr>
      </w:pPr>
      <w:r w:rsidRPr="006942B9">
        <w:rPr>
          <w:rtl/>
        </w:rPr>
        <w:t>10.</w:t>
      </w:r>
      <w:r w:rsidRPr="006942B9">
        <w:rPr>
          <w:rtl/>
        </w:rPr>
        <w:tab/>
        <w:t>מטרתו של תיקון 113 ל</w:t>
      </w:r>
      <w:hyperlink r:id="rId16" w:history="1">
        <w:r w:rsidR="00C23558" w:rsidRPr="00C23558">
          <w:rPr>
            <w:rStyle w:val="Hyperlink"/>
            <w:rFonts w:cs="David"/>
            <w:rtl/>
          </w:rPr>
          <w:t>חוק העונשין</w:t>
        </w:r>
      </w:hyperlink>
      <w:r w:rsidRPr="006942B9">
        <w:rPr>
          <w:rtl/>
        </w:rPr>
        <w:t xml:space="preserve"> תשל"ז –1977 הוגדר</w:t>
      </w:r>
      <w:r w:rsidRPr="006942B9">
        <w:rPr>
          <w:rFonts w:hint="cs"/>
          <w:rtl/>
        </w:rPr>
        <w:t>ה</w:t>
      </w:r>
      <w:r w:rsidRPr="006942B9">
        <w:rPr>
          <w:rtl/>
        </w:rPr>
        <w:t xml:space="preserve"> בסעיף 40א לחוק העונשין תשל"ז – 1977 (להלן: </w:t>
      </w:r>
      <w:r w:rsidRPr="006942B9">
        <w:rPr>
          <w:b/>
          <w:bCs/>
          <w:rtl/>
        </w:rPr>
        <w:t>חוק הע</w:t>
      </w:r>
      <w:r w:rsidRPr="006942B9">
        <w:rPr>
          <w:rFonts w:hint="cs"/>
          <w:b/>
          <w:bCs/>
          <w:rtl/>
        </w:rPr>
        <w:t>ו</w:t>
      </w:r>
      <w:r w:rsidRPr="006942B9">
        <w:rPr>
          <w:b/>
          <w:bCs/>
          <w:rtl/>
        </w:rPr>
        <w:t>נשין</w:t>
      </w:r>
      <w:r w:rsidRPr="006942B9">
        <w:rPr>
          <w:rtl/>
        </w:rPr>
        <w:t>) ואשר קובע כדלקמן:</w:t>
      </w:r>
    </w:p>
    <w:p w14:paraId="7CEA1C76" w14:textId="77777777" w:rsidR="00097756" w:rsidRPr="006942B9" w:rsidRDefault="00097756">
      <w:pPr>
        <w:spacing w:line="360" w:lineRule="auto"/>
        <w:jc w:val="both"/>
        <w:rPr>
          <w:rtl/>
        </w:rPr>
      </w:pPr>
    </w:p>
    <w:p w14:paraId="3C52DE71" w14:textId="77777777" w:rsidR="00097756" w:rsidRPr="006942B9" w:rsidRDefault="006942B9">
      <w:pPr>
        <w:spacing w:line="360" w:lineRule="auto"/>
        <w:ind w:left="2880"/>
        <w:jc w:val="both"/>
        <w:rPr>
          <w:rtl/>
        </w:rPr>
      </w:pPr>
      <w:r w:rsidRPr="006942B9">
        <w:rPr>
          <w:rtl/>
        </w:rPr>
        <w:t>"מטרתו של סימן זה לקבוע את העקרונות והשיקולים המנחים בענישה, המשקל שיש לתת להם והיחס ביניהם, כדי שבית המשפט יקבע את העונש המתאים לנאשם בנסיבות העבירה"</w:t>
      </w:r>
    </w:p>
    <w:p w14:paraId="522C6D64" w14:textId="77777777" w:rsidR="00097756" w:rsidRPr="006942B9" w:rsidRDefault="00097756">
      <w:pPr>
        <w:spacing w:line="360" w:lineRule="auto"/>
        <w:ind w:left="2880"/>
        <w:jc w:val="both"/>
        <w:rPr>
          <w:rtl/>
        </w:rPr>
      </w:pPr>
    </w:p>
    <w:p w14:paraId="0D6D7517" w14:textId="77777777" w:rsidR="00097756" w:rsidRPr="006942B9" w:rsidRDefault="006942B9">
      <w:pPr>
        <w:spacing w:line="360" w:lineRule="auto"/>
        <w:jc w:val="both"/>
        <w:rPr>
          <w:rtl/>
        </w:rPr>
      </w:pPr>
      <w:r w:rsidRPr="006942B9">
        <w:rPr>
          <w:rtl/>
        </w:rPr>
        <w:t>11.</w:t>
      </w:r>
      <w:r w:rsidRPr="006942B9">
        <w:rPr>
          <w:rtl/>
        </w:rPr>
        <w:tab/>
        <w:t>העיקרון המנחה בענישה הוגדר בסעיף 40ב ל</w:t>
      </w:r>
      <w:hyperlink r:id="rId17" w:history="1">
        <w:r w:rsidR="00C23558" w:rsidRPr="00C23558">
          <w:rPr>
            <w:rStyle w:val="Hyperlink"/>
            <w:rFonts w:cs="David"/>
            <w:rtl/>
          </w:rPr>
          <w:t>חוק העונשין</w:t>
        </w:r>
      </w:hyperlink>
      <w:r w:rsidRPr="006942B9">
        <w:rPr>
          <w:rtl/>
        </w:rPr>
        <w:t>, ואשר לפיו:</w:t>
      </w:r>
    </w:p>
    <w:p w14:paraId="3B31AC14" w14:textId="77777777" w:rsidR="00097756" w:rsidRPr="006942B9" w:rsidRDefault="00097756">
      <w:pPr>
        <w:spacing w:line="360" w:lineRule="auto"/>
        <w:ind w:firstLine="720"/>
        <w:jc w:val="both"/>
        <w:rPr>
          <w:rtl/>
        </w:rPr>
      </w:pPr>
    </w:p>
    <w:p w14:paraId="7BA341FF" w14:textId="77777777" w:rsidR="00097756" w:rsidRPr="006942B9" w:rsidRDefault="006942B9">
      <w:pPr>
        <w:spacing w:line="360" w:lineRule="auto"/>
        <w:ind w:left="2880"/>
        <w:jc w:val="both"/>
        <w:rPr>
          <w:rtl/>
        </w:rPr>
      </w:pPr>
      <w:r w:rsidRPr="006942B9">
        <w:rPr>
          <w:rtl/>
        </w:rPr>
        <w:t xml:space="preserve">"העיקרון המנחה בענישה הוא קיומו של יחס הולם בין חומרת מעשי העבירה, בנסיבותיו </w:t>
      </w:r>
      <w:r w:rsidRPr="006942B9">
        <w:rPr>
          <w:b/>
          <w:bCs/>
          <w:rtl/>
        </w:rPr>
        <w:t>ומידת אשמו של הנאשם</w:t>
      </w:r>
      <w:r w:rsidRPr="006942B9">
        <w:rPr>
          <w:rtl/>
        </w:rPr>
        <w:t xml:space="preserve"> ובין סוג ומידת העונש המוטל עליו (בסימן זה – העיקרון המנחה)".</w:t>
      </w:r>
    </w:p>
    <w:p w14:paraId="4127BF75" w14:textId="77777777" w:rsidR="00097756" w:rsidRPr="006942B9" w:rsidRDefault="006942B9">
      <w:pPr>
        <w:spacing w:line="360" w:lineRule="auto"/>
        <w:jc w:val="both"/>
        <w:rPr>
          <w:rtl/>
        </w:rPr>
      </w:pPr>
      <w:r w:rsidRPr="006942B9">
        <w:rPr>
          <w:rtl/>
        </w:rPr>
        <w:tab/>
      </w:r>
    </w:p>
    <w:p w14:paraId="2CE8D408" w14:textId="77777777" w:rsidR="00097756" w:rsidRPr="006942B9" w:rsidRDefault="006942B9">
      <w:pPr>
        <w:spacing w:line="360" w:lineRule="auto"/>
        <w:jc w:val="both"/>
        <w:rPr>
          <w:rtl/>
        </w:rPr>
      </w:pPr>
      <w:r w:rsidRPr="006942B9">
        <w:rPr>
          <w:rtl/>
        </w:rPr>
        <w:tab/>
      </w:r>
      <w:r w:rsidRPr="006942B9">
        <w:rPr>
          <w:rtl/>
        </w:rPr>
        <w:tab/>
      </w:r>
      <w:r w:rsidRPr="006942B9">
        <w:rPr>
          <w:rtl/>
        </w:rPr>
        <w:tab/>
      </w:r>
      <w:r w:rsidRPr="006942B9">
        <w:rPr>
          <w:rtl/>
        </w:rPr>
        <w:tab/>
        <w:t xml:space="preserve">(ההדגשה לא במקור) </w:t>
      </w:r>
    </w:p>
    <w:p w14:paraId="7B1AF94A" w14:textId="77777777" w:rsidR="00097756" w:rsidRPr="006942B9" w:rsidRDefault="00097756">
      <w:pPr>
        <w:spacing w:line="360" w:lineRule="auto"/>
        <w:jc w:val="both"/>
        <w:rPr>
          <w:rtl/>
        </w:rPr>
      </w:pPr>
    </w:p>
    <w:p w14:paraId="54DA8989" w14:textId="77777777" w:rsidR="00097756" w:rsidRPr="006942B9" w:rsidRDefault="006942B9">
      <w:pPr>
        <w:spacing w:line="360" w:lineRule="auto"/>
        <w:ind w:left="720" w:hanging="720"/>
        <w:jc w:val="both"/>
        <w:rPr>
          <w:rtl/>
        </w:rPr>
      </w:pPr>
      <w:r w:rsidRPr="006942B9">
        <w:rPr>
          <w:rtl/>
        </w:rPr>
        <w:t>12.</w:t>
      </w:r>
      <w:r w:rsidRPr="006942B9">
        <w:rPr>
          <w:rtl/>
        </w:rPr>
        <w:tab/>
        <w:t>הרכיב של "מידת אשמו של הנאשם" בביצוע העבירה הוא עיקרון מנחה בענישה ואשר קיבל ביטוי גם בסעיפים נוספים ב</w:t>
      </w:r>
      <w:hyperlink r:id="rId18" w:history="1">
        <w:r w:rsidR="00C23558" w:rsidRPr="00C23558">
          <w:rPr>
            <w:rStyle w:val="Hyperlink"/>
            <w:rFonts w:cs="David"/>
            <w:rtl/>
          </w:rPr>
          <w:t>חוק העונשין</w:t>
        </w:r>
      </w:hyperlink>
      <w:r w:rsidRPr="006942B9">
        <w:rPr>
          <w:rtl/>
        </w:rPr>
        <w:t>. כך למשל, בסעיף 40ט(א)(1) ו-(2)  ל</w:t>
      </w:r>
      <w:hyperlink r:id="rId19" w:history="1">
        <w:r w:rsidR="00C23558" w:rsidRPr="00C23558">
          <w:rPr>
            <w:rStyle w:val="Hyperlink"/>
            <w:rFonts w:cs="David"/>
            <w:rtl/>
          </w:rPr>
          <w:t>חוק העונשין</w:t>
        </w:r>
      </w:hyperlink>
      <w:r w:rsidRPr="006942B9">
        <w:rPr>
          <w:rtl/>
        </w:rPr>
        <w:t xml:space="preserve"> נקבע:</w:t>
      </w:r>
    </w:p>
    <w:p w14:paraId="5EDB3E22" w14:textId="77777777" w:rsidR="00097756" w:rsidRPr="006942B9" w:rsidRDefault="00097756">
      <w:pPr>
        <w:spacing w:line="360" w:lineRule="auto"/>
        <w:ind w:left="720"/>
        <w:jc w:val="both"/>
        <w:rPr>
          <w:rtl/>
        </w:rPr>
      </w:pPr>
    </w:p>
    <w:p w14:paraId="1BEB97BD" w14:textId="77777777" w:rsidR="00097756" w:rsidRPr="006942B9" w:rsidRDefault="006942B9">
      <w:pPr>
        <w:spacing w:line="360" w:lineRule="auto"/>
        <w:ind w:left="3600" w:hanging="720"/>
        <w:jc w:val="both"/>
        <w:rPr>
          <w:rtl/>
        </w:rPr>
      </w:pPr>
      <w:r w:rsidRPr="006942B9">
        <w:rPr>
          <w:rtl/>
        </w:rPr>
        <w:t xml:space="preserve">"40ט. </w:t>
      </w:r>
      <w:r w:rsidRPr="006942B9">
        <w:rPr>
          <w:rtl/>
        </w:rPr>
        <w:tab/>
        <w:t xml:space="preserve">(א) </w:t>
      </w:r>
      <w:r w:rsidRPr="006942B9">
        <w:rPr>
          <w:b/>
          <w:bCs/>
          <w:rtl/>
        </w:rPr>
        <w:t>בקביעת מתחם העונש ההולם</w:t>
      </w:r>
      <w:r w:rsidRPr="006942B9">
        <w:rPr>
          <w:rtl/>
        </w:rPr>
        <w:t xml:space="preserve"> למעשה העבירה שביצע הנאשם כאמור בסעיף 40ג(א), יתחשב בית המשפט בהתקיימותן של </w:t>
      </w:r>
      <w:r w:rsidRPr="006942B9">
        <w:rPr>
          <w:b/>
          <w:bCs/>
          <w:rtl/>
        </w:rPr>
        <w:t>נסיבות הקשורות בביצוע העבירה</w:t>
      </w:r>
      <w:r w:rsidRPr="006942B9">
        <w:rPr>
          <w:rtl/>
        </w:rPr>
        <w:t xml:space="preserve">, המפורטות להלן, </w:t>
      </w:r>
      <w:r w:rsidRPr="006942B9">
        <w:rPr>
          <w:b/>
          <w:bCs/>
          <w:rtl/>
        </w:rPr>
        <w:t>ובמידה שבה התקיימו</w:t>
      </w:r>
      <w:r w:rsidRPr="006942B9">
        <w:rPr>
          <w:rtl/>
        </w:rPr>
        <w:t xml:space="preserve">, ככל שסבר שהן משפיעות על חומרת מעשי העבירה </w:t>
      </w:r>
      <w:r w:rsidRPr="006942B9">
        <w:rPr>
          <w:b/>
          <w:bCs/>
          <w:rtl/>
        </w:rPr>
        <w:t>ועל אשמו של הנאשם</w:t>
      </w:r>
      <w:r w:rsidRPr="006942B9">
        <w:rPr>
          <w:rtl/>
        </w:rPr>
        <w:t xml:space="preserve">: </w:t>
      </w:r>
    </w:p>
    <w:p w14:paraId="3828EB07" w14:textId="77777777" w:rsidR="00097756" w:rsidRPr="006942B9" w:rsidRDefault="006942B9">
      <w:pPr>
        <w:numPr>
          <w:ilvl w:val="0"/>
          <w:numId w:val="3"/>
        </w:numPr>
        <w:spacing w:line="360" w:lineRule="auto"/>
        <w:jc w:val="both"/>
        <w:rPr>
          <w:rtl/>
        </w:rPr>
      </w:pPr>
      <w:r w:rsidRPr="006942B9">
        <w:rPr>
          <w:b/>
          <w:bCs/>
          <w:rtl/>
        </w:rPr>
        <w:t xml:space="preserve">התכנון </w:t>
      </w:r>
      <w:r w:rsidRPr="006942B9">
        <w:rPr>
          <w:rtl/>
        </w:rPr>
        <w:t>שקדם לביצוע העבירה;</w:t>
      </w:r>
    </w:p>
    <w:p w14:paraId="14CD3C52" w14:textId="77777777" w:rsidR="00097756" w:rsidRPr="006942B9" w:rsidRDefault="006942B9">
      <w:pPr>
        <w:numPr>
          <w:ilvl w:val="0"/>
          <w:numId w:val="3"/>
        </w:numPr>
        <w:spacing w:line="360" w:lineRule="auto"/>
        <w:jc w:val="both"/>
        <w:rPr>
          <w:rtl/>
        </w:rPr>
      </w:pPr>
      <w:r w:rsidRPr="006942B9">
        <w:rPr>
          <w:b/>
          <w:bCs/>
          <w:rtl/>
        </w:rPr>
        <w:t>חלקו היחסי</w:t>
      </w:r>
      <w:r w:rsidRPr="006942B9">
        <w:rPr>
          <w:rtl/>
        </w:rPr>
        <w:t xml:space="preserve"> של הנאשם בביצוע העבירה ומידת ההשפעה של אחר על הנאשם בביצוע העבירה".</w:t>
      </w:r>
    </w:p>
    <w:p w14:paraId="208FC1ED" w14:textId="77777777" w:rsidR="00097756" w:rsidRPr="006942B9" w:rsidRDefault="00097756">
      <w:pPr>
        <w:spacing w:line="360" w:lineRule="auto"/>
        <w:jc w:val="both"/>
        <w:rPr>
          <w:rtl/>
        </w:rPr>
      </w:pPr>
    </w:p>
    <w:p w14:paraId="460F540D" w14:textId="77777777" w:rsidR="00097756" w:rsidRPr="006942B9" w:rsidRDefault="006942B9">
      <w:pPr>
        <w:spacing w:line="360" w:lineRule="auto"/>
        <w:ind w:left="3600"/>
        <w:jc w:val="both"/>
        <w:rPr>
          <w:rtl/>
        </w:rPr>
      </w:pPr>
      <w:r w:rsidRPr="006942B9">
        <w:rPr>
          <w:rtl/>
        </w:rPr>
        <w:t>(ההדגשה לא במקור)</w:t>
      </w:r>
    </w:p>
    <w:p w14:paraId="55183DFA" w14:textId="77777777" w:rsidR="00097756" w:rsidRPr="006942B9" w:rsidRDefault="00097756">
      <w:pPr>
        <w:spacing w:line="360" w:lineRule="auto"/>
        <w:ind w:firstLine="720"/>
        <w:jc w:val="both"/>
        <w:rPr>
          <w:rtl/>
        </w:rPr>
      </w:pPr>
    </w:p>
    <w:p w14:paraId="1E0E960F" w14:textId="77777777" w:rsidR="00097756" w:rsidRPr="006942B9" w:rsidRDefault="006942B9">
      <w:pPr>
        <w:spacing w:line="360" w:lineRule="auto"/>
        <w:ind w:left="720" w:hanging="720"/>
        <w:jc w:val="both"/>
        <w:rPr>
          <w:rtl/>
        </w:rPr>
      </w:pPr>
      <w:r w:rsidRPr="006942B9">
        <w:rPr>
          <w:rtl/>
        </w:rPr>
        <w:t>13.</w:t>
      </w:r>
      <w:r w:rsidRPr="006942B9">
        <w:rPr>
          <w:rtl/>
        </w:rPr>
        <w:tab/>
        <w:t xml:space="preserve">ודוק, מידת אשמו של הנאשם בעת ביצוע העבירה, קרי, מידת התכנון שקדמה לביצוע העבירה וכן חלקו היחסי של הנאשם בביצוע העבירה, קובעת את </w:t>
      </w:r>
      <w:r w:rsidRPr="006942B9">
        <w:rPr>
          <w:rFonts w:hint="cs"/>
          <w:b/>
          <w:bCs/>
          <w:rtl/>
        </w:rPr>
        <w:t>"</w:t>
      </w:r>
      <w:r w:rsidRPr="006942B9">
        <w:rPr>
          <w:b/>
          <w:bCs/>
          <w:rtl/>
        </w:rPr>
        <w:t>מתחם העונש ההולם</w:t>
      </w:r>
      <w:r w:rsidRPr="006942B9">
        <w:rPr>
          <w:rFonts w:hint="cs"/>
          <w:b/>
          <w:bCs/>
          <w:rtl/>
        </w:rPr>
        <w:t>"</w:t>
      </w:r>
      <w:r w:rsidRPr="006942B9">
        <w:rPr>
          <w:b/>
          <w:bCs/>
          <w:rtl/>
        </w:rPr>
        <w:t>,</w:t>
      </w:r>
      <w:r w:rsidRPr="006942B9">
        <w:rPr>
          <w:rtl/>
        </w:rPr>
        <w:t xml:space="preserve"> וזאת להבדיל מ</w:t>
      </w:r>
      <w:r w:rsidRPr="006942B9">
        <w:rPr>
          <w:rFonts w:hint="cs"/>
          <w:rtl/>
        </w:rPr>
        <w:t>-</w:t>
      </w:r>
      <w:r w:rsidRPr="006942B9">
        <w:rPr>
          <w:rtl/>
        </w:rPr>
        <w:t xml:space="preserve">"העונש המתאים" בתוך מתחם העונש ההולם. ללמדך, כי יהיו </w:t>
      </w:r>
      <w:r w:rsidRPr="006942B9">
        <w:rPr>
          <w:b/>
          <w:bCs/>
          <w:rtl/>
        </w:rPr>
        <w:t>מתחמי עונש שונים</w:t>
      </w:r>
      <w:r w:rsidRPr="006942B9">
        <w:rPr>
          <w:rtl/>
        </w:rPr>
        <w:t xml:space="preserve"> לנאשמים שונים שביצעו את </w:t>
      </w:r>
      <w:r w:rsidRPr="006942B9">
        <w:rPr>
          <w:b/>
          <w:bCs/>
          <w:rtl/>
        </w:rPr>
        <w:t>אותה עבירה</w:t>
      </w:r>
      <w:r w:rsidRPr="006942B9">
        <w:rPr>
          <w:rtl/>
        </w:rPr>
        <w:t xml:space="preserve">, </w:t>
      </w:r>
      <w:r w:rsidRPr="006942B9">
        <w:rPr>
          <w:rFonts w:hint="cs"/>
          <w:rtl/>
        </w:rPr>
        <w:t xml:space="preserve">ולא מתחם עונש אחד ויחיד לפי סוג העבירה שבוצעה, </w:t>
      </w:r>
      <w:r w:rsidRPr="006942B9">
        <w:rPr>
          <w:rtl/>
        </w:rPr>
        <w:t xml:space="preserve">כאשר </w:t>
      </w:r>
      <w:r w:rsidRPr="006942B9">
        <w:rPr>
          <w:rFonts w:hint="cs"/>
          <w:rtl/>
        </w:rPr>
        <w:t xml:space="preserve">אחד </w:t>
      </w:r>
      <w:r w:rsidRPr="006942B9">
        <w:rPr>
          <w:rtl/>
        </w:rPr>
        <w:t>הקריטריו</w:t>
      </w:r>
      <w:r w:rsidRPr="006942B9">
        <w:rPr>
          <w:rFonts w:hint="cs"/>
          <w:rtl/>
        </w:rPr>
        <w:t xml:space="preserve">נים המרכזיים שיבדילו בין מתחם אחד למשנהו </w:t>
      </w:r>
      <w:r w:rsidRPr="006942B9">
        <w:rPr>
          <w:rtl/>
        </w:rPr>
        <w:t xml:space="preserve">הוא </w:t>
      </w:r>
      <w:r w:rsidRPr="006942B9">
        <w:rPr>
          <w:b/>
          <w:bCs/>
          <w:rtl/>
        </w:rPr>
        <w:t xml:space="preserve">מידת אשמו </w:t>
      </w:r>
      <w:r w:rsidRPr="006942B9">
        <w:rPr>
          <w:rtl/>
        </w:rPr>
        <w:t>של הנאשם בביצוע העבירה.</w:t>
      </w:r>
    </w:p>
    <w:p w14:paraId="309F890E" w14:textId="77777777" w:rsidR="00097756" w:rsidRPr="006942B9" w:rsidRDefault="006942B9">
      <w:pPr>
        <w:spacing w:line="360" w:lineRule="auto"/>
        <w:jc w:val="both"/>
        <w:rPr>
          <w:rtl/>
        </w:rPr>
      </w:pPr>
      <w:r w:rsidRPr="006942B9">
        <w:rPr>
          <w:rtl/>
        </w:rPr>
        <w:tab/>
      </w:r>
    </w:p>
    <w:p w14:paraId="73599C20" w14:textId="77777777" w:rsidR="00097756" w:rsidRPr="006942B9" w:rsidRDefault="006942B9">
      <w:pPr>
        <w:spacing w:line="360" w:lineRule="auto"/>
        <w:ind w:left="720" w:hanging="720"/>
        <w:jc w:val="both"/>
        <w:rPr>
          <w:rtl/>
        </w:rPr>
      </w:pPr>
      <w:r w:rsidRPr="006942B9">
        <w:rPr>
          <w:rtl/>
        </w:rPr>
        <w:t>14.</w:t>
      </w:r>
      <w:r w:rsidRPr="006942B9">
        <w:rPr>
          <w:rtl/>
        </w:rPr>
        <w:tab/>
        <w:t xml:space="preserve">שיקול נוסף שהינו רלוונטי </w:t>
      </w:r>
      <w:r w:rsidRPr="006942B9">
        <w:rPr>
          <w:b/>
          <w:bCs/>
          <w:rtl/>
        </w:rPr>
        <w:t>לקביעת מתחם העונש ההולם</w:t>
      </w:r>
      <w:r w:rsidRPr="006942B9">
        <w:rPr>
          <w:rtl/>
        </w:rPr>
        <w:t xml:space="preserve">, וזאת להבדיל מהעונש המתאים בתוך מתחם העונש ההולם, הוא </w:t>
      </w:r>
      <w:r w:rsidRPr="006942B9">
        <w:rPr>
          <w:b/>
          <w:bCs/>
          <w:rtl/>
        </w:rPr>
        <w:t>הנזק שנגרם</w:t>
      </w:r>
      <w:r w:rsidRPr="006942B9">
        <w:rPr>
          <w:rtl/>
        </w:rPr>
        <w:t xml:space="preserve">, או </w:t>
      </w:r>
      <w:r w:rsidRPr="006942B9">
        <w:rPr>
          <w:b/>
          <w:bCs/>
          <w:rtl/>
        </w:rPr>
        <w:t xml:space="preserve">שהיה צפוי להיגרם </w:t>
      </w:r>
      <w:r w:rsidRPr="006942B9">
        <w:rPr>
          <w:rtl/>
        </w:rPr>
        <w:t>מביצוע העבירה. סעיף 40ג(א) ל</w:t>
      </w:r>
      <w:hyperlink r:id="rId20" w:history="1">
        <w:r w:rsidR="00C23558" w:rsidRPr="00C23558">
          <w:rPr>
            <w:rStyle w:val="Hyperlink"/>
            <w:rFonts w:cs="David"/>
            <w:rtl/>
          </w:rPr>
          <w:t>חוק העונשין</w:t>
        </w:r>
      </w:hyperlink>
      <w:r w:rsidRPr="006942B9">
        <w:rPr>
          <w:rtl/>
        </w:rPr>
        <w:t xml:space="preserve"> קובע כדלקמן:</w:t>
      </w:r>
    </w:p>
    <w:p w14:paraId="4FC760C0" w14:textId="77777777" w:rsidR="00097756" w:rsidRPr="006942B9" w:rsidRDefault="00097756">
      <w:pPr>
        <w:spacing w:line="360" w:lineRule="auto"/>
        <w:jc w:val="both"/>
        <w:rPr>
          <w:rtl/>
        </w:rPr>
      </w:pPr>
    </w:p>
    <w:p w14:paraId="2ED77999" w14:textId="77777777" w:rsidR="00097756" w:rsidRPr="006942B9" w:rsidRDefault="006942B9">
      <w:pPr>
        <w:spacing w:line="360" w:lineRule="auto"/>
        <w:ind w:left="2880"/>
        <w:jc w:val="both"/>
        <w:rPr>
          <w:rtl/>
        </w:rPr>
      </w:pPr>
      <w:r w:rsidRPr="006942B9">
        <w:rPr>
          <w:rtl/>
        </w:rPr>
        <w:t xml:space="preserve">"בית המשפט יקבע </w:t>
      </w:r>
      <w:r w:rsidRPr="006942B9">
        <w:rPr>
          <w:b/>
          <w:bCs/>
          <w:rtl/>
        </w:rPr>
        <w:t>מתחם עונש הולם</w:t>
      </w:r>
      <w:r w:rsidRPr="006942B9">
        <w:rPr>
          <w:rtl/>
        </w:rPr>
        <w:t xml:space="preserve"> למעשה העבירה שביצע הנאשם בהתא</w:t>
      </w:r>
      <w:r w:rsidRPr="006942B9">
        <w:rPr>
          <w:rFonts w:hint="cs"/>
          <w:rtl/>
        </w:rPr>
        <w:t>ם</w:t>
      </w:r>
      <w:r w:rsidRPr="006942B9">
        <w:rPr>
          <w:rtl/>
        </w:rPr>
        <w:t xml:space="preserve"> לעיקרון המנחה, ולשם כך יתחשב </w:t>
      </w:r>
      <w:r w:rsidRPr="006942B9">
        <w:rPr>
          <w:b/>
          <w:bCs/>
          <w:rtl/>
        </w:rPr>
        <w:t>בערך החברתי שנפגע מביצוע העבירה, במידת הפגיעה בו,</w:t>
      </w:r>
      <w:r w:rsidRPr="006942B9">
        <w:rPr>
          <w:rtl/>
        </w:rPr>
        <w:t xml:space="preserve"> במדיניות הענישה הנהוגה, ובנסיבות הקשורות בביצוע העבירה כאמור בסעיף 40ט". </w:t>
      </w:r>
    </w:p>
    <w:p w14:paraId="1B609FE0" w14:textId="77777777" w:rsidR="00097756" w:rsidRPr="006942B9" w:rsidRDefault="00097756">
      <w:pPr>
        <w:spacing w:line="360" w:lineRule="auto"/>
        <w:jc w:val="both"/>
        <w:rPr>
          <w:rtl/>
        </w:rPr>
      </w:pPr>
    </w:p>
    <w:p w14:paraId="64E21E2D" w14:textId="77777777" w:rsidR="00097756" w:rsidRPr="006942B9" w:rsidRDefault="006942B9">
      <w:pPr>
        <w:spacing w:line="360" w:lineRule="auto"/>
        <w:jc w:val="both"/>
        <w:rPr>
          <w:rtl/>
        </w:rPr>
      </w:pPr>
      <w:r w:rsidRPr="006942B9">
        <w:rPr>
          <w:rtl/>
        </w:rPr>
        <w:tab/>
      </w:r>
      <w:r w:rsidRPr="006942B9">
        <w:rPr>
          <w:rtl/>
        </w:rPr>
        <w:tab/>
      </w:r>
      <w:r w:rsidRPr="006942B9">
        <w:rPr>
          <w:rtl/>
        </w:rPr>
        <w:tab/>
      </w:r>
      <w:r w:rsidRPr="006942B9">
        <w:rPr>
          <w:rtl/>
        </w:rPr>
        <w:tab/>
        <w:t>(ההדגשה לא במקור)</w:t>
      </w:r>
    </w:p>
    <w:p w14:paraId="51ACA154" w14:textId="77777777" w:rsidR="00097756" w:rsidRPr="006942B9" w:rsidRDefault="00097756">
      <w:pPr>
        <w:spacing w:line="360" w:lineRule="auto"/>
        <w:jc w:val="both"/>
        <w:rPr>
          <w:rtl/>
        </w:rPr>
      </w:pPr>
    </w:p>
    <w:p w14:paraId="66B5EC74" w14:textId="77777777" w:rsidR="00097756" w:rsidRPr="006942B9" w:rsidRDefault="006942B9">
      <w:pPr>
        <w:spacing w:line="360" w:lineRule="auto"/>
        <w:jc w:val="both"/>
        <w:rPr>
          <w:rtl/>
        </w:rPr>
      </w:pPr>
      <w:r w:rsidRPr="006942B9">
        <w:rPr>
          <w:rtl/>
        </w:rPr>
        <w:t>15.</w:t>
      </w:r>
      <w:r w:rsidRPr="006942B9">
        <w:rPr>
          <w:rtl/>
        </w:rPr>
        <w:tab/>
        <w:t>כמו כן, סעיף 40ט(א)(3) ו-(4) ל</w:t>
      </w:r>
      <w:hyperlink r:id="rId21" w:history="1">
        <w:r w:rsidR="00C23558" w:rsidRPr="00C23558">
          <w:rPr>
            <w:rStyle w:val="Hyperlink"/>
            <w:rFonts w:cs="David"/>
            <w:rtl/>
          </w:rPr>
          <w:t>חוק העונשין</w:t>
        </w:r>
      </w:hyperlink>
      <w:r w:rsidRPr="006942B9">
        <w:rPr>
          <w:rtl/>
        </w:rPr>
        <w:t xml:space="preserve"> קובע כדלקמן:</w:t>
      </w:r>
    </w:p>
    <w:p w14:paraId="6C3D0F48" w14:textId="77777777" w:rsidR="00097756" w:rsidRPr="006942B9" w:rsidRDefault="00097756">
      <w:pPr>
        <w:spacing w:line="360" w:lineRule="auto"/>
        <w:jc w:val="both"/>
        <w:rPr>
          <w:rtl/>
        </w:rPr>
      </w:pPr>
    </w:p>
    <w:p w14:paraId="7D8021A2" w14:textId="77777777" w:rsidR="00097756" w:rsidRPr="006942B9" w:rsidRDefault="006942B9">
      <w:pPr>
        <w:spacing w:line="360" w:lineRule="auto"/>
        <w:ind w:left="3600" w:hanging="720"/>
        <w:jc w:val="both"/>
        <w:rPr>
          <w:rtl/>
        </w:rPr>
      </w:pPr>
      <w:r w:rsidRPr="006942B9">
        <w:rPr>
          <w:rtl/>
        </w:rPr>
        <w:t xml:space="preserve">40ט. </w:t>
      </w:r>
      <w:r w:rsidRPr="006942B9">
        <w:rPr>
          <w:rtl/>
        </w:rPr>
        <w:tab/>
        <w:t xml:space="preserve">(א) </w:t>
      </w:r>
      <w:r w:rsidRPr="006942B9">
        <w:rPr>
          <w:b/>
          <w:bCs/>
          <w:rtl/>
        </w:rPr>
        <w:t>בקביעת מתחם העונש ההולם</w:t>
      </w:r>
      <w:r w:rsidRPr="006942B9">
        <w:rPr>
          <w:rtl/>
        </w:rPr>
        <w:t xml:space="preserve"> למעשה העבירה שביצע הנאשם כאמור בסעיף 40ג(א), יתחשב בית המשפט בהתקיימותן של נסיבות הקשורות בביצוע העבירה, המפורטות להלן, ובמידה שבה התקיימו, ככל שסבר שהן משפיעות על </w:t>
      </w:r>
      <w:r w:rsidRPr="006942B9">
        <w:rPr>
          <w:b/>
          <w:bCs/>
          <w:rtl/>
        </w:rPr>
        <w:t>חומרת מעשי העבירה</w:t>
      </w:r>
      <w:r w:rsidRPr="006942B9">
        <w:rPr>
          <w:rtl/>
        </w:rPr>
        <w:t xml:space="preserve"> ועל אשמו של הנאשם: </w:t>
      </w:r>
    </w:p>
    <w:p w14:paraId="37973405" w14:textId="77777777" w:rsidR="00097756" w:rsidRPr="006942B9" w:rsidRDefault="006942B9">
      <w:pPr>
        <w:numPr>
          <w:ilvl w:val="0"/>
          <w:numId w:val="3"/>
        </w:numPr>
        <w:spacing w:line="360" w:lineRule="auto"/>
        <w:jc w:val="both"/>
        <w:rPr>
          <w:rtl/>
        </w:rPr>
      </w:pPr>
      <w:r w:rsidRPr="006942B9">
        <w:rPr>
          <w:b/>
          <w:bCs/>
          <w:rtl/>
        </w:rPr>
        <w:t>הנזק שהיה צפוי להיגרם</w:t>
      </w:r>
      <w:r w:rsidRPr="006942B9">
        <w:rPr>
          <w:rtl/>
        </w:rPr>
        <w:t xml:space="preserve"> מביצוע העבירה;</w:t>
      </w:r>
    </w:p>
    <w:p w14:paraId="3EB37A82" w14:textId="77777777" w:rsidR="00097756" w:rsidRPr="006942B9" w:rsidRDefault="006942B9">
      <w:pPr>
        <w:numPr>
          <w:ilvl w:val="0"/>
          <w:numId w:val="3"/>
        </w:numPr>
        <w:spacing w:line="360" w:lineRule="auto"/>
        <w:jc w:val="both"/>
      </w:pPr>
      <w:r w:rsidRPr="006942B9">
        <w:rPr>
          <w:b/>
          <w:bCs/>
          <w:rtl/>
        </w:rPr>
        <w:t>הנזק שנגרם</w:t>
      </w:r>
      <w:r w:rsidRPr="006942B9">
        <w:rPr>
          <w:rtl/>
        </w:rPr>
        <w:t xml:space="preserve"> מביצוע העבירה". </w:t>
      </w:r>
    </w:p>
    <w:p w14:paraId="066FAD23" w14:textId="77777777" w:rsidR="00097756" w:rsidRPr="006942B9" w:rsidRDefault="00097756">
      <w:pPr>
        <w:spacing w:line="360" w:lineRule="auto"/>
        <w:jc w:val="both"/>
        <w:rPr>
          <w:rtl/>
        </w:rPr>
      </w:pPr>
    </w:p>
    <w:p w14:paraId="0551DE60" w14:textId="77777777" w:rsidR="00097756" w:rsidRPr="006942B9" w:rsidRDefault="006942B9">
      <w:pPr>
        <w:spacing w:line="360" w:lineRule="auto"/>
        <w:ind w:left="3600"/>
        <w:jc w:val="both"/>
        <w:rPr>
          <w:rtl/>
        </w:rPr>
      </w:pPr>
      <w:r w:rsidRPr="006942B9">
        <w:rPr>
          <w:rtl/>
        </w:rPr>
        <w:t>(ההדגשה לא במקור)</w:t>
      </w:r>
    </w:p>
    <w:p w14:paraId="30CCC75E" w14:textId="77777777" w:rsidR="00097756" w:rsidRPr="006942B9" w:rsidRDefault="00097756">
      <w:pPr>
        <w:spacing w:line="360" w:lineRule="auto"/>
        <w:ind w:left="720"/>
        <w:jc w:val="both"/>
        <w:rPr>
          <w:rtl/>
        </w:rPr>
      </w:pPr>
    </w:p>
    <w:p w14:paraId="3B09275B" w14:textId="77777777" w:rsidR="00097756" w:rsidRPr="006942B9" w:rsidRDefault="006942B9">
      <w:pPr>
        <w:spacing w:line="360" w:lineRule="auto"/>
        <w:ind w:left="720" w:hanging="720"/>
        <w:jc w:val="both"/>
        <w:rPr>
          <w:rtl/>
        </w:rPr>
      </w:pPr>
      <w:r w:rsidRPr="006942B9">
        <w:rPr>
          <w:rtl/>
        </w:rPr>
        <w:t>16.</w:t>
      </w:r>
      <w:r w:rsidRPr="006942B9">
        <w:rPr>
          <w:rtl/>
        </w:rPr>
        <w:tab/>
        <w:t xml:space="preserve">העולה מהסעיפים שהובאו לעיל הוא שמתחם העונש ההולם לא נקבע </w:t>
      </w:r>
      <w:r w:rsidRPr="006942B9">
        <w:rPr>
          <w:b/>
          <w:bCs/>
          <w:rtl/>
        </w:rPr>
        <w:t>באופן בלעדי</w:t>
      </w:r>
      <w:r w:rsidRPr="006942B9">
        <w:rPr>
          <w:rtl/>
        </w:rPr>
        <w:t xml:space="preserve"> לפי סוג העבירה שבוצעה אלא הוא מושפע באופן ישיר משני פרמטרים מ</w:t>
      </w:r>
      <w:r w:rsidRPr="006942B9">
        <w:rPr>
          <w:rFonts w:hint="cs"/>
          <w:rtl/>
        </w:rPr>
        <w:t>רכזיים</w:t>
      </w:r>
      <w:r w:rsidRPr="006942B9">
        <w:rPr>
          <w:rtl/>
        </w:rPr>
        <w:t xml:space="preserve"> והם </w:t>
      </w:r>
      <w:r w:rsidRPr="006942B9">
        <w:rPr>
          <w:b/>
          <w:bCs/>
          <w:rtl/>
        </w:rPr>
        <w:t xml:space="preserve">מידת האשם </w:t>
      </w:r>
      <w:r w:rsidRPr="006942B9">
        <w:rPr>
          <w:rtl/>
        </w:rPr>
        <w:t xml:space="preserve">בביצוע העבירה </w:t>
      </w:r>
      <w:r w:rsidRPr="006942B9">
        <w:rPr>
          <w:b/>
          <w:bCs/>
          <w:rtl/>
        </w:rPr>
        <w:t xml:space="preserve">ומידת הנזק </w:t>
      </w:r>
      <w:r w:rsidRPr="006942B9">
        <w:rPr>
          <w:rtl/>
        </w:rPr>
        <w:t xml:space="preserve">שנגרם או היה צפוי להיגרם מביצוע העבירה. </w:t>
      </w:r>
      <w:r w:rsidRPr="006942B9">
        <w:rPr>
          <w:rFonts w:hint="cs"/>
          <w:rtl/>
        </w:rPr>
        <w:t>כל אחד מהפרמטרים הללו יכול להשפיע באופן</w:t>
      </w:r>
      <w:r w:rsidRPr="006942B9">
        <w:rPr>
          <w:rFonts w:hint="cs"/>
          <w:b/>
          <w:bCs/>
          <w:rtl/>
        </w:rPr>
        <w:t xml:space="preserve"> עצמאי ונפרד</w:t>
      </w:r>
      <w:r w:rsidRPr="006942B9">
        <w:rPr>
          <w:rFonts w:hint="cs"/>
          <w:rtl/>
        </w:rPr>
        <w:t xml:space="preserve"> על גבולותיו של מתחם העונש ההולם. על כן, </w:t>
      </w:r>
      <w:r w:rsidRPr="006942B9">
        <w:rPr>
          <w:rtl/>
        </w:rPr>
        <w:t>בבוא בית המשפט לבדוק מה היא "מדיניות הענישה הנוהגת</w:t>
      </w:r>
      <w:r w:rsidRPr="006942B9">
        <w:rPr>
          <w:rFonts w:hint="cs"/>
          <w:rtl/>
        </w:rPr>
        <w:t>"</w:t>
      </w:r>
      <w:r w:rsidRPr="006942B9">
        <w:rPr>
          <w:rtl/>
        </w:rPr>
        <w:t xml:space="preserve"> לגבי עבירה מסוימת, זאת כ</w:t>
      </w:r>
      <w:r w:rsidRPr="006942B9">
        <w:rPr>
          <w:rFonts w:hint="cs"/>
          <w:rtl/>
        </w:rPr>
        <w:t>רכיב</w:t>
      </w:r>
      <w:r w:rsidRPr="006942B9">
        <w:rPr>
          <w:rtl/>
        </w:rPr>
        <w:t xml:space="preserve"> מנחה בקביעת מתחם העונש ההולם, לא די בכך שיבחן פסקי דין שדנו ברמת הענישה הנוגעת ל</w:t>
      </w:r>
      <w:r w:rsidRPr="006942B9">
        <w:rPr>
          <w:rFonts w:hint="cs"/>
          <w:rtl/>
        </w:rPr>
        <w:t xml:space="preserve">אותה </w:t>
      </w:r>
      <w:r w:rsidRPr="006942B9">
        <w:rPr>
          <w:rtl/>
        </w:rPr>
        <w:t xml:space="preserve">עבירה, </w:t>
      </w:r>
      <w:r w:rsidRPr="006942B9">
        <w:rPr>
          <w:rFonts w:hint="cs"/>
          <w:rtl/>
        </w:rPr>
        <w:t>תוך התייחסות למידת הנזק,</w:t>
      </w:r>
      <w:r w:rsidRPr="006942B9">
        <w:rPr>
          <w:rtl/>
        </w:rPr>
        <w:t xml:space="preserve"> אלא עליו </w:t>
      </w:r>
      <w:r w:rsidRPr="006942B9">
        <w:rPr>
          <w:b/>
          <w:bCs/>
          <w:rtl/>
        </w:rPr>
        <w:t>לדקדק</w:t>
      </w:r>
      <w:r w:rsidRPr="006942B9">
        <w:rPr>
          <w:rtl/>
        </w:rPr>
        <w:t xml:space="preserve"> ולבדוק א</w:t>
      </w:r>
      <w:r w:rsidRPr="006942B9">
        <w:rPr>
          <w:rFonts w:hint="cs"/>
          <w:rtl/>
        </w:rPr>
        <w:t>ת</w:t>
      </w:r>
      <w:r w:rsidRPr="006942B9">
        <w:rPr>
          <w:rtl/>
        </w:rPr>
        <w:t xml:space="preserve"> "</w:t>
      </w:r>
      <w:r w:rsidRPr="006942B9">
        <w:rPr>
          <w:b/>
          <w:bCs/>
          <w:rtl/>
        </w:rPr>
        <w:t>מידת</w:t>
      </w:r>
      <w:r w:rsidRPr="006942B9">
        <w:rPr>
          <w:rtl/>
        </w:rPr>
        <w:t xml:space="preserve"> </w:t>
      </w:r>
      <w:r w:rsidRPr="006942B9">
        <w:rPr>
          <w:b/>
          <w:bCs/>
          <w:rtl/>
        </w:rPr>
        <w:t>האשם"</w:t>
      </w:r>
      <w:r w:rsidRPr="006942B9">
        <w:rPr>
          <w:rtl/>
        </w:rPr>
        <w:t xml:space="preserve"> </w:t>
      </w:r>
      <w:r w:rsidRPr="006942B9">
        <w:rPr>
          <w:rFonts w:hint="cs"/>
          <w:rtl/>
        </w:rPr>
        <w:t xml:space="preserve">של הנאשמים באותה פסיקה לעומת </w:t>
      </w:r>
      <w:r w:rsidRPr="006942B9">
        <w:rPr>
          <w:rFonts w:hint="cs"/>
          <w:b/>
          <w:bCs/>
          <w:rtl/>
        </w:rPr>
        <w:t>"מידת האשם"</w:t>
      </w:r>
      <w:r w:rsidRPr="006942B9">
        <w:rPr>
          <w:rFonts w:hint="cs"/>
          <w:rtl/>
        </w:rPr>
        <w:t xml:space="preserve"> של הנאשם שניצב בפניו. </w:t>
      </w:r>
    </w:p>
    <w:p w14:paraId="6937AF77" w14:textId="77777777" w:rsidR="00097756" w:rsidRPr="006942B9" w:rsidRDefault="00097756">
      <w:pPr>
        <w:spacing w:line="360" w:lineRule="auto"/>
        <w:ind w:left="720"/>
        <w:jc w:val="both"/>
        <w:rPr>
          <w:rtl/>
        </w:rPr>
      </w:pPr>
    </w:p>
    <w:p w14:paraId="1853472B" w14:textId="77777777" w:rsidR="00097756" w:rsidRPr="006942B9" w:rsidRDefault="006942B9">
      <w:pPr>
        <w:spacing w:line="360" w:lineRule="auto"/>
        <w:ind w:left="720" w:hanging="720"/>
        <w:jc w:val="both"/>
        <w:rPr>
          <w:rtl/>
        </w:rPr>
      </w:pPr>
      <w:r w:rsidRPr="006942B9">
        <w:rPr>
          <w:rtl/>
        </w:rPr>
        <w:t>17.</w:t>
      </w:r>
      <w:r w:rsidRPr="006942B9">
        <w:rPr>
          <w:rtl/>
        </w:rPr>
        <w:tab/>
        <w:t>ב</w:t>
      </w:r>
      <w:hyperlink r:id="rId22" w:history="1">
        <w:r w:rsidR="00C23558" w:rsidRPr="00C23558">
          <w:rPr>
            <w:rStyle w:val="Hyperlink"/>
            <w:rFonts w:cs="David"/>
            <w:rtl/>
          </w:rPr>
          <w:t>ע"פ 5741/11</w:t>
        </w:r>
      </w:hyperlink>
      <w:r w:rsidRPr="006942B9">
        <w:rPr>
          <w:rtl/>
        </w:rPr>
        <w:t xml:space="preserve"> </w:t>
      </w:r>
      <w:r w:rsidRPr="006942B9">
        <w:rPr>
          <w:b/>
          <w:bCs/>
          <w:rtl/>
        </w:rPr>
        <w:t>סוארכה נ' מדינת ישראל</w:t>
      </w:r>
      <w:r w:rsidRPr="006942B9">
        <w:rPr>
          <w:rtl/>
        </w:rPr>
        <w:t xml:space="preserve"> [פורסם בנבו] (20.1.13)</w:t>
      </w:r>
      <w:r w:rsidRPr="006942B9">
        <w:rPr>
          <w:rFonts w:hint="cs"/>
          <w:rtl/>
        </w:rPr>
        <w:t xml:space="preserve">, שדן בעבירה של ייבוא סמים, </w:t>
      </w:r>
      <w:r w:rsidRPr="006942B9">
        <w:rPr>
          <w:rtl/>
        </w:rPr>
        <w:t xml:space="preserve">כבוד השופט הנדל קבע </w:t>
      </w:r>
      <w:r w:rsidRPr="006942B9">
        <w:rPr>
          <w:rFonts w:hint="cs"/>
          <w:rtl/>
        </w:rPr>
        <w:t>ב</w:t>
      </w:r>
      <w:r w:rsidRPr="006942B9">
        <w:rPr>
          <w:rtl/>
        </w:rPr>
        <w:t xml:space="preserve">פסקה 3 </w:t>
      </w:r>
      <w:r w:rsidRPr="006942B9">
        <w:rPr>
          <w:rFonts w:hint="cs"/>
          <w:rtl/>
        </w:rPr>
        <w:t>ל</w:t>
      </w:r>
      <w:r w:rsidRPr="006942B9">
        <w:rPr>
          <w:rtl/>
        </w:rPr>
        <w:t>פסק הדין כדלקמן:</w:t>
      </w:r>
    </w:p>
    <w:p w14:paraId="4DDDF56B" w14:textId="77777777" w:rsidR="00097756" w:rsidRPr="006942B9" w:rsidRDefault="006942B9">
      <w:pPr>
        <w:spacing w:line="360" w:lineRule="auto"/>
        <w:ind w:left="720"/>
        <w:jc w:val="both"/>
        <w:rPr>
          <w:rtl/>
        </w:rPr>
      </w:pPr>
      <w:r w:rsidRPr="006942B9">
        <w:rPr>
          <w:rtl/>
        </w:rPr>
        <w:tab/>
      </w:r>
      <w:r w:rsidRPr="006942B9">
        <w:rPr>
          <w:rtl/>
        </w:rPr>
        <w:tab/>
      </w:r>
      <w:r w:rsidRPr="006942B9">
        <w:rPr>
          <w:rtl/>
        </w:rPr>
        <w:tab/>
      </w:r>
    </w:p>
    <w:p w14:paraId="571CD792" w14:textId="77777777" w:rsidR="00097756" w:rsidRPr="006942B9" w:rsidRDefault="006942B9">
      <w:pPr>
        <w:spacing w:line="360" w:lineRule="auto"/>
        <w:ind w:left="3600"/>
        <w:jc w:val="both"/>
        <w:rPr>
          <w:rtl/>
        </w:rPr>
      </w:pPr>
      <w:r w:rsidRPr="006942B9">
        <w:rPr>
          <w:rtl/>
        </w:rPr>
        <w:t>"כמובן, התייחסות למגמה הכללית של החמרה בעבירות סמים מהסוג בו הורשעו המערערים, אין בה די. בכלל של ענישה אינדיבידואלית טמונה החובה לבדיקה פרטנית של המקרה. לענייננו, יש שלוש נקודות שדורשות דיון.</w:t>
      </w:r>
    </w:p>
    <w:p w14:paraId="0886E3BE" w14:textId="77777777" w:rsidR="00097756" w:rsidRPr="006942B9" w:rsidRDefault="00097756">
      <w:pPr>
        <w:spacing w:line="360" w:lineRule="auto"/>
        <w:ind w:left="3600"/>
        <w:jc w:val="both"/>
        <w:rPr>
          <w:rtl/>
        </w:rPr>
      </w:pPr>
    </w:p>
    <w:p w14:paraId="39DBB27C" w14:textId="77777777" w:rsidR="00097756" w:rsidRPr="006942B9" w:rsidRDefault="006942B9">
      <w:pPr>
        <w:spacing w:line="360" w:lineRule="auto"/>
        <w:ind w:left="3600"/>
        <w:jc w:val="both"/>
        <w:rPr>
          <w:rtl/>
        </w:rPr>
      </w:pPr>
      <w:r w:rsidRPr="006942B9">
        <w:rPr>
          <w:rtl/>
        </w:rPr>
        <w:t xml:space="preserve">האחת, </w:t>
      </w:r>
      <w:r w:rsidRPr="006942B9">
        <w:rPr>
          <w:b/>
          <w:bCs/>
          <w:rtl/>
        </w:rPr>
        <w:t>הסדר הטיעון</w:t>
      </w:r>
      <w:r w:rsidRPr="006942B9">
        <w:rPr>
          <w:rtl/>
        </w:rPr>
        <w:t xml:space="preserve"> (...)</w:t>
      </w:r>
    </w:p>
    <w:p w14:paraId="3C5B1D4F" w14:textId="77777777" w:rsidR="00097756" w:rsidRPr="006942B9" w:rsidRDefault="00097756">
      <w:pPr>
        <w:spacing w:line="360" w:lineRule="auto"/>
        <w:ind w:left="3600"/>
        <w:jc w:val="both"/>
        <w:rPr>
          <w:rtl/>
        </w:rPr>
      </w:pPr>
    </w:p>
    <w:p w14:paraId="0E802683" w14:textId="77777777" w:rsidR="00097756" w:rsidRPr="006942B9" w:rsidRDefault="006942B9">
      <w:pPr>
        <w:spacing w:line="360" w:lineRule="auto"/>
        <w:ind w:left="3600"/>
        <w:jc w:val="both"/>
        <w:rPr>
          <w:rtl/>
        </w:rPr>
      </w:pPr>
      <w:r w:rsidRPr="006942B9">
        <w:rPr>
          <w:rtl/>
        </w:rPr>
        <w:t xml:space="preserve">השניה, </w:t>
      </w:r>
      <w:r w:rsidRPr="006942B9">
        <w:rPr>
          <w:b/>
          <w:bCs/>
          <w:rtl/>
        </w:rPr>
        <w:t>כמות הסם</w:t>
      </w:r>
      <w:r w:rsidRPr="006942B9">
        <w:rPr>
          <w:rtl/>
        </w:rPr>
        <w:t xml:space="preserve">. הפסיקה הטילה עונשים חמורים בהתאם לכמות הסם בעבירות ייבוא (...). מלאכת גזירת הדין היא מלאכת מחשבת אך לא מלאכת מחשב. עם זאת, "הכמות" מהווה מרכיב, ולעיתים מרכיב דומיננטי, במעשה העבירה, ובתור שכזה כבודו במקומו מונח. הענקת משקל למשקל הסם אינה בגדר שיקול זר או לא רלוונטי (...). </w:t>
      </w:r>
    </w:p>
    <w:p w14:paraId="655215A7" w14:textId="77777777" w:rsidR="00097756" w:rsidRPr="006942B9" w:rsidRDefault="00097756">
      <w:pPr>
        <w:spacing w:line="360" w:lineRule="auto"/>
        <w:ind w:left="3600"/>
        <w:jc w:val="both"/>
        <w:rPr>
          <w:rtl/>
        </w:rPr>
      </w:pPr>
    </w:p>
    <w:p w14:paraId="19158C00" w14:textId="77777777" w:rsidR="00097756" w:rsidRPr="006942B9" w:rsidRDefault="006942B9">
      <w:pPr>
        <w:spacing w:line="360" w:lineRule="auto"/>
        <w:ind w:left="3600"/>
        <w:jc w:val="both"/>
        <w:rPr>
          <w:rtl/>
        </w:rPr>
      </w:pPr>
      <w:r w:rsidRPr="006942B9">
        <w:rPr>
          <w:rtl/>
        </w:rPr>
        <w:t xml:space="preserve">השלישית, </w:t>
      </w:r>
      <w:r w:rsidRPr="006942B9">
        <w:rPr>
          <w:b/>
          <w:bCs/>
          <w:rtl/>
        </w:rPr>
        <w:t>מעמד המערערים בשרשרת הסם</w:t>
      </w:r>
      <w:r w:rsidRPr="006942B9">
        <w:rPr>
          <w:rtl/>
        </w:rPr>
        <w:t>. בלדרות בנסיבות תיק זה אינה מהווה סיבה להקל בעונשים שנגזרו עליהם. ב</w:t>
      </w:r>
      <w:hyperlink r:id="rId23" w:history="1">
        <w:r w:rsidR="00C23558" w:rsidRPr="00C23558">
          <w:rPr>
            <w:rStyle w:val="Hyperlink"/>
            <w:rFonts w:cs="David"/>
            <w:rtl/>
          </w:rPr>
          <w:t>ע"פ 226/89</w:t>
        </w:r>
      </w:hyperlink>
      <w:r w:rsidRPr="006942B9">
        <w:rPr>
          <w:rtl/>
        </w:rPr>
        <w:t xml:space="preserve"> </w:t>
      </w:r>
      <w:r w:rsidRPr="006942B9">
        <w:rPr>
          <w:i/>
          <w:iCs/>
          <w:rtl/>
        </w:rPr>
        <w:t>זפה נ' מדינת ישראל</w:t>
      </w:r>
      <w:r w:rsidRPr="006942B9">
        <w:rPr>
          <w:rtl/>
        </w:rPr>
        <w:t xml:space="preserve"> [פורסם בנבו] (15.3.1990)  נפסק כי "ככל שחשוב לפגוע ישירות בספקי הסם ובמפיצו, לא פחות חשוב מכך</w:t>
      </w:r>
      <w:r w:rsidRPr="006942B9">
        <w:rPr>
          <w:rFonts w:hint="cs"/>
          <w:rtl/>
        </w:rPr>
        <w:t xml:space="preserve"> </w:t>
      </w:r>
      <w:r w:rsidRPr="006942B9">
        <w:rPr>
          <w:rtl/>
        </w:rPr>
        <w:t xml:space="preserve">להרתיע מפני יבואו לארץ אפילו יבוא זה מתבצע ע"י בלדרים 'תמימים' המתפתים להצעות מפתות ורווחים קלים". בית המשפט חזר ושנה עיקרון זה גם בפרשיות רבות אחרות. (ראו למשל: </w:t>
      </w:r>
      <w:hyperlink r:id="rId24" w:history="1">
        <w:r w:rsidR="00C23558" w:rsidRPr="00C23558">
          <w:rPr>
            <w:rStyle w:val="Hyperlink"/>
            <w:rFonts w:cs="David"/>
            <w:rtl/>
          </w:rPr>
          <w:t>ע"פ 3820/09</w:t>
        </w:r>
      </w:hyperlink>
      <w:r w:rsidRPr="006942B9">
        <w:rPr>
          <w:rtl/>
        </w:rPr>
        <w:t xml:space="preserve"> </w:t>
      </w:r>
      <w:r w:rsidRPr="006942B9">
        <w:rPr>
          <w:i/>
          <w:iCs/>
          <w:rtl/>
        </w:rPr>
        <w:t>מדינת ישראל נ' אוחיון</w:t>
      </w:r>
      <w:r w:rsidRPr="006942B9">
        <w:rPr>
          <w:rtl/>
        </w:rPr>
        <w:t xml:space="preserve"> [פור</w:t>
      </w:r>
      <w:r w:rsidRPr="006942B9">
        <w:rPr>
          <w:rFonts w:hint="cs"/>
          <w:rtl/>
        </w:rPr>
        <w:t>ס</w:t>
      </w:r>
      <w:r w:rsidRPr="006942B9">
        <w:rPr>
          <w:rtl/>
        </w:rPr>
        <w:t xml:space="preserve">ם בנבו] (6.9.09)). עבירת היבוא היא הנתון המחמיר. </w:t>
      </w:r>
      <w:r w:rsidRPr="006942B9">
        <w:rPr>
          <w:rFonts w:hint="cs"/>
          <w:rtl/>
        </w:rPr>
        <w:t xml:space="preserve">(...) </w:t>
      </w:r>
      <w:r w:rsidRPr="006942B9">
        <w:rPr>
          <w:rtl/>
        </w:rPr>
        <w:t xml:space="preserve">לשון אחר, </w:t>
      </w:r>
      <w:r w:rsidRPr="006942B9">
        <w:rPr>
          <w:rFonts w:hint="cs"/>
          <w:rtl/>
        </w:rPr>
        <w:t>ה</w:t>
      </w:r>
      <w:r w:rsidRPr="006942B9">
        <w:rPr>
          <w:rtl/>
        </w:rPr>
        <w:t>מונח "בלדר" אינו כותרת שמסיימת את חובתו של בית משפט לבחון את המקרה על פי נסיבותיו. אין די</w:t>
      </w:r>
      <w:r w:rsidRPr="006942B9">
        <w:rPr>
          <w:rFonts w:hint="cs"/>
          <w:rtl/>
        </w:rPr>
        <w:t>ן</w:t>
      </w:r>
      <w:r w:rsidRPr="006942B9">
        <w:rPr>
          <w:rtl/>
        </w:rPr>
        <w:t xml:space="preserve"> אחד לכל בלדר ובלדר, אלא העניין ייבדק על פי מעשיו בתיק הקונקרטי". </w:t>
      </w:r>
    </w:p>
    <w:p w14:paraId="6AA897CA" w14:textId="77777777" w:rsidR="00097756" w:rsidRPr="006942B9" w:rsidRDefault="00097756">
      <w:pPr>
        <w:spacing w:line="360" w:lineRule="auto"/>
        <w:ind w:left="3600"/>
        <w:jc w:val="both"/>
        <w:rPr>
          <w:rtl/>
        </w:rPr>
      </w:pPr>
    </w:p>
    <w:p w14:paraId="60D41EA3" w14:textId="77777777" w:rsidR="00097756" w:rsidRPr="006942B9" w:rsidRDefault="006942B9">
      <w:pPr>
        <w:spacing w:line="360" w:lineRule="auto"/>
        <w:ind w:left="3600"/>
        <w:jc w:val="both"/>
        <w:rPr>
          <w:rtl/>
        </w:rPr>
      </w:pPr>
      <w:r w:rsidRPr="006942B9">
        <w:rPr>
          <w:rFonts w:hint="cs"/>
          <w:rtl/>
        </w:rPr>
        <w:t>(ההדגשה במקור)</w:t>
      </w:r>
    </w:p>
    <w:p w14:paraId="44A82F87" w14:textId="77777777" w:rsidR="00097756" w:rsidRPr="006942B9" w:rsidRDefault="00097756">
      <w:pPr>
        <w:spacing w:line="360" w:lineRule="auto"/>
        <w:ind w:left="720"/>
        <w:jc w:val="both"/>
        <w:rPr>
          <w:rtl/>
        </w:rPr>
      </w:pPr>
    </w:p>
    <w:p w14:paraId="03341F7E" w14:textId="77777777" w:rsidR="00097756" w:rsidRPr="006942B9" w:rsidRDefault="006942B9">
      <w:pPr>
        <w:spacing w:line="360" w:lineRule="auto"/>
        <w:ind w:left="720" w:hanging="720"/>
        <w:jc w:val="both"/>
        <w:rPr>
          <w:rtl/>
        </w:rPr>
      </w:pPr>
      <w:r w:rsidRPr="006942B9">
        <w:rPr>
          <w:rtl/>
        </w:rPr>
        <w:t>18.</w:t>
      </w:r>
      <w:r w:rsidRPr="006942B9">
        <w:rPr>
          <w:rtl/>
        </w:rPr>
        <w:tab/>
        <w:t>כמו כן,  ב-</w:t>
      </w:r>
      <w:hyperlink r:id="rId25" w:history="1">
        <w:r w:rsidR="00C23558" w:rsidRPr="00C23558">
          <w:rPr>
            <w:rStyle w:val="Hyperlink"/>
            <w:rFonts w:cs="David"/>
            <w:rtl/>
          </w:rPr>
          <w:t>ע"פ  972/11</w:t>
        </w:r>
      </w:hyperlink>
      <w:r w:rsidRPr="006942B9">
        <w:rPr>
          <w:rtl/>
        </w:rPr>
        <w:t xml:space="preserve"> </w:t>
      </w:r>
      <w:r w:rsidRPr="006942B9">
        <w:rPr>
          <w:b/>
          <w:bCs/>
          <w:rtl/>
        </w:rPr>
        <w:t>מדינת ישראל נ' יניב יונה</w:t>
      </w:r>
      <w:r w:rsidRPr="006942B9">
        <w:rPr>
          <w:rtl/>
        </w:rPr>
        <w:t xml:space="preserve"> [פורסם בנבו] (4.7.12) כבוד השופט הנדל קבע בפסקה 4 בפסק הדין את הדברים הבאים:</w:t>
      </w:r>
    </w:p>
    <w:p w14:paraId="01A8E943" w14:textId="77777777" w:rsidR="00097756" w:rsidRPr="006942B9" w:rsidRDefault="00097756">
      <w:pPr>
        <w:spacing w:line="360" w:lineRule="auto"/>
        <w:ind w:left="720"/>
        <w:jc w:val="both"/>
        <w:rPr>
          <w:rtl/>
        </w:rPr>
      </w:pPr>
    </w:p>
    <w:p w14:paraId="48096391" w14:textId="77777777" w:rsidR="00097756" w:rsidRPr="006942B9" w:rsidRDefault="006942B9">
      <w:pPr>
        <w:spacing w:line="360" w:lineRule="auto"/>
        <w:ind w:left="2880"/>
        <w:jc w:val="both"/>
        <w:rPr>
          <w:rtl/>
        </w:rPr>
      </w:pPr>
      <w:r w:rsidRPr="006942B9">
        <w:rPr>
          <w:rtl/>
        </w:rPr>
        <w:t>"למאבק בנגע הסמים יש שותפים רבים. חלקם מתמקדים בחינוך מניעתי ובהסברה. אחרים מסייעים בהליכי הגמילה. לצידם פועלים גם אנשי אכיפת החוק, שתפק</w:t>
      </w:r>
      <w:r w:rsidRPr="006942B9">
        <w:rPr>
          <w:rFonts w:hint="cs"/>
          <w:rtl/>
        </w:rPr>
        <w:t>יד</w:t>
      </w:r>
      <w:r w:rsidRPr="006942B9">
        <w:rPr>
          <w:rtl/>
        </w:rPr>
        <w:t xml:space="preserve">ם לסכל את עבירות הסמים וללכוד את העבריינים. אף בית משפט נוטל חלק חשוב במאבק, באמצעות הטלת עונש מרתיע על מי שהורשע בעבירות סמים. בכל זאת, תוך מתן משקל – בין היתר – </w:t>
      </w:r>
      <w:r w:rsidRPr="006942B9">
        <w:rPr>
          <w:b/>
          <w:bCs/>
          <w:rtl/>
        </w:rPr>
        <w:t>לכמות הסם ואיכותו, טיב עבירת הסמים שבוצעה, תרומתו של הנאשם להתגשמות העבירה ועברו הפלילי</w:t>
      </w:r>
      <w:r w:rsidRPr="006942B9">
        <w:rPr>
          <w:rtl/>
        </w:rPr>
        <w:t xml:space="preserve"> (השוו: </w:t>
      </w:r>
      <w:hyperlink r:id="rId26" w:history="1">
        <w:r w:rsidR="00C23558" w:rsidRPr="00C23558">
          <w:rPr>
            <w:rStyle w:val="Hyperlink"/>
            <w:rFonts w:cs="David"/>
            <w:rtl/>
          </w:rPr>
          <w:t>ע"פ 8031/10</w:t>
        </w:r>
      </w:hyperlink>
      <w:r w:rsidRPr="006942B9">
        <w:rPr>
          <w:rtl/>
        </w:rPr>
        <w:t xml:space="preserve"> </w:t>
      </w:r>
      <w:r w:rsidRPr="006942B9">
        <w:rPr>
          <w:i/>
          <w:iCs/>
          <w:rtl/>
        </w:rPr>
        <w:t>אורוסקו-צ'אבז</w:t>
      </w:r>
      <w:r w:rsidRPr="006942B9">
        <w:rPr>
          <w:rtl/>
        </w:rPr>
        <w:t xml:space="preserve"> נ' </w:t>
      </w:r>
      <w:r w:rsidRPr="006942B9">
        <w:rPr>
          <w:i/>
          <w:iCs/>
          <w:rtl/>
        </w:rPr>
        <w:t>מדינת ישראל</w:t>
      </w:r>
      <w:r w:rsidRPr="006942B9">
        <w:rPr>
          <w:rFonts w:hint="cs"/>
          <w:rtl/>
        </w:rPr>
        <w:t xml:space="preserve"> </w:t>
      </w:r>
      <w:r w:rsidRPr="006942B9">
        <w:rPr>
          <w:rtl/>
        </w:rPr>
        <w:t xml:space="preserve">(1.3.12))". </w:t>
      </w:r>
    </w:p>
    <w:p w14:paraId="2B3D934E" w14:textId="77777777" w:rsidR="00097756" w:rsidRPr="006942B9" w:rsidRDefault="006942B9">
      <w:pPr>
        <w:spacing w:line="360" w:lineRule="auto"/>
        <w:ind w:left="720"/>
        <w:jc w:val="both"/>
        <w:rPr>
          <w:rtl/>
        </w:rPr>
      </w:pPr>
      <w:r w:rsidRPr="006942B9">
        <w:rPr>
          <w:rtl/>
        </w:rPr>
        <w:tab/>
      </w:r>
      <w:r w:rsidRPr="006942B9">
        <w:rPr>
          <w:rtl/>
        </w:rPr>
        <w:tab/>
      </w:r>
      <w:r w:rsidRPr="006942B9">
        <w:rPr>
          <w:rtl/>
        </w:rPr>
        <w:tab/>
        <w:t>(ההדגשה לא במקור)</w:t>
      </w:r>
    </w:p>
    <w:p w14:paraId="7448D1B4" w14:textId="77777777" w:rsidR="00097756" w:rsidRPr="006942B9" w:rsidRDefault="00097756">
      <w:pPr>
        <w:spacing w:line="360" w:lineRule="auto"/>
        <w:ind w:left="720"/>
        <w:jc w:val="both"/>
        <w:rPr>
          <w:rtl/>
        </w:rPr>
      </w:pPr>
    </w:p>
    <w:p w14:paraId="28A1D357" w14:textId="77777777" w:rsidR="006942B9" w:rsidRPr="006942B9" w:rsidRDefault="006942B9">
      <w:pPr>
        <w:spacing w:line="360" w:lineRule="auto"/>
        <w:ind w:left="720" w:hanging="720"/>
        <w:jc w:val="both"/>
        <w:rPr>
          <w:rtl/>
        </w:rPr>
      </w:pPr>
      <w:r w:rsidRPr="006942B9">
        <w:rPr>
          <w:rtl/>
        </w:rPr>
        <w:t>19.</w:t>
      </w:r>
      <w:r w:rsidRPr="006942B9">
        <w:rPr>
          <w:rtl/>
        </w:rPr>
        <w:tab/>
        <w:t>עינינו הרואו</w:t>
      </w:r>
      <w:r w:rsidRPr="006942B9">
        <w:rPr>
          <w:rFonts w:hint="cs"/>
          <w:rtl/>
        </w:rPr>
        <w:t>ת, כי</w:t>
      </w:r>
      <w:r w:rsidRPr="006942B9">
        <w:rPr>
          <w:rtl/>
        </w:rPr>
        <w:t xml:space="preserve"> </w:t>
      </w:r>
      <w:r w:rsidRPr="006942B9">
        <w:rPr>
          <w:rFonts w:hint="cs"/>
          <w:rtl/>
        </w:rPr>
        <w:t xml:space="preserve">בעבירות סמים, </w:t>
      </w:r>
      <w:r w:rsidRPr="006942B9">
        <w:rPr>
          <w:rtl/>
        </w:rPr>
        <w:t>בית המשפט העליון מייחס חשיבות</w:t>
      </w:r>
      <w:r w:rsidRPr="006942B9">
        <w:rPr>
          <w:rFonts w:hint="cs"/>
          <w:rtl/>
        </w:rPr>
        <w:t xml:space="preserve"> </w:t>
      </w:r>
      <w:r w:rsidRPr="006942B9">
        <w:rPr>
          <w:rFonts w:hint="cs"/>
          <w:b/>
          <w:bCs/>
          <w:rtl/>
        </w:rPr>
        <w:t>למידת הנזק</w:t>
      </w:r>
      <w:r w:rsidRPr="006942B9">
        <w:rPr>
          <w:rFonts w:hint="cs"/>
          <w:rtl/>
        </w:rPr>
        <w:t xml:space="preserve"> </w:t>
      </w:r>
    </w:p>
    <w:bookmarkEnd w:id="0"/>
    <w:bookmarkEnd w:id="1"/>
    <w:p w14:paraId="63356846" w14:textId="77777777" w:rsidR="006942B9" w:rsidRPr="006942B9" w:rsidRDefault="006942B9" w:rsidP="006942B9">
      <w:pPr>
        <w:spacing w:line="360" w:lineRule="auto"/>
        <w:ind w:left="720" w:hanging="720"/>
        <w:jc w:val="center"/>
        <w:rPr>
          <w:bCs/>
          <w:rtl/>
        </w:rPr>
      </w:pPr>
      <w:r w:rsidRPr="006942B9">
        <w:rPr>
          <w:bCs/>
          <w:rtl/>
        </w:rPr>
        <w:t>שנגרמה מביצוע העבירה (קרי, סוג הסם וכמות הסם) ובנוסף למידת האשם של הנאשם</w:t>
      </w:r>
    </w:p>
    <w:p w14:paraId="12EE4410" w14:textId="77777777" w:rsidR="00097756" w:rsidRDefault="006942B9">
      <w:pPr>
        <w:spacing w:line="360" w:lineRule="auto"/>
        <w:ind w:left="720" w:hanging="720"/>
        <w:jc w:val="both"/>
        <w:rPr>
          <w:rtl/>
        </w:rPr>
      </w:pPr>
      <w:r>
        <w:rPr>
          <w:rtl/>
        </w:rPr>
        <w:t>בביצוע העבירה</w:t>
      </w:r>
      <w:r>
        <w:rPr>
          <w:rFonts w:hint="cs"/>
          <w:rtl/>
        </w:rPr>
        <w:t xml:space="preserve"> (קרי, תפקידו בשרשרת הפצת הסם)</w:t>
      </w:r>
      <w:r>
        <w:rPr>
          <w:rtl/>
        </w:rPr>
        <w:t xml:space="preserve">. ככל שכמות </w:t>
      </w:r>
      <w:r>
        <w:rPr>
          <w:rFonts w:hint="cs"/>
          <w:rtl/>
        </w:rPr>
        <w:t xml:space="preserve">הסם היא </w:t>
      </w:r>
      <w:r>
        <w:rPr>
          <w:rtl/>
        </w:rPr>
        <w:t>גדולה יותר, אזי הנאשם צפוי לקבל עונש חמור יותר. עם זאת, כמות הסם וסוג הסם אינם שיקולים בלעדיים ויש תמיד לבחון את חלקו של הנאשם בשרשרת הפצת הסם וזאת כ</w:t>
      </w:r>
      <w:r>
        <w:rPr>
          <w:rFonts w:hint="cs"/>
          <w:rtl/>
        </w:rPr>
        <w:t>פרמטר מרכזי</w:t>
      </w:r>
      <w:r>
        <w:rPr>
          <w:rtl/>
        </w:rPr>
        <w:t xml:space="preserve"> בעת קביעת העונש. יוצא מכך שיהיו מצבים ששני נאשמים יבצעו את אותה עבירה, מבחינת כמות וסוג הסם, ו</w:t>
      </w:r>
      <w:r>
        <w:rPr>
          <w:rFonts w:hint="cs"/>
          <w:rtl/>
        </w:rPr>
        <w:t xml:space="preserve">על כל </w:t>
      </w:r>
      <w:r>
        <w:rPr>
          <w:rtl/>
        </w:rPr>
        <w:t xml:space="preserve">אחד מהם יוטל עונש אחר על פי </w:t>
      </w:r>
      <w:r>
        <w:rPr>
          <w:rFonts w:hint="cs"/>
          <w:rtl/>
        </w:rPr>
        <w:t xml:space="preserve">תפקידו </w:t>
      </w:r>
      <w:r>
        <w:rPr>
          <w:rtl/>
        </w:rPr>
        <w:t xml:space="preserve">בשרשרת הפצת הסם. </w:t>
      </w:r>
    </w:p>
    <w:p w14:paraId="59B5CC3D" w14:textId="77777777" w:rsidR="00097756" w:rsidRDefault="00097756">
      <w:pPr>
        <w:spacing w:line="360" w:lineRule="auto"/>
        <w:jc w:val="both"/>
        <w:rPr>
          <w:rtl/>
        </w:rPr>
      </w:pPr>
    </w:p>
    <w:p w14:paraId="2E69235E" w14:textId="77777777" w:rsidR="00097756" w:rsidRDefault="006942B9">
      <w:pPr>
        <w:spacing w:line="360" w:lineRule="auto"/>
        <w:ind w:left="720" w:hanging="720"/>
        <w:jc w:val="both"/>
        <w:rPr>
          <w:rtl/>
        </w:rPr>
      </w:pPr>
      <w:r>
        <w:rPr>
          <w:rFonts w:hint="cs"/>
          <w:rtl/>
        </w:rPr>
        <w:t>20.</w:t>
      </w:r>
      <w:r>
        <w:rPr>
          <w:rFonts w:hint="cs"/>
          <w:rtl/>
        </w:rPr>
        <w:tab/>
        <w:t xml:space="preserve"> לסיכום, </w:t>
      </w:r>
      <w:r>
        <w:rPr>
          <w:rFonts w:hint="cs"/>
          <w:b/>
          <w:bCs/>
          <w:rtl/>
        </w:rPr>
        <w:t>מידת האשם ומידת הנזק</w:t>
      </w:r>
      <w:r>
        <w:rPr>
          <w:rFonts w:hint="cs"/>
          <w:rtl/>
        </w:rPr>
        <w:t xml:space="preserve"> הם שני פרמטרים מרכזיים בקביעת </w:t>
      </w:r>
      <w:r>
        <w:rPr>
          <w:rFonts w:hint="cs"/>
          <w:b/>
          <w:bCs/>
          <w:rtl/>
        </w:rPr>
        <w:t>מתחם העונש ההולם</w:t>
      </w:r>
      <w:r>
        <w:rPr>
          <w:rFonts w:hint="cs"/>
          <w:rtl/>
        </w:rPr>
        <w:t xml:space="preserve">. </w:t>
      </w:r>
      <w:r>
        <w:rPr>
          <w:rtl/>
        </w:rPr>
        <w:tab/>
      </w:r>
      <w:r>
        <w:rPr>
          <w:rFonts w:hint="cs"/>
          <w:rtl/>
        </w:rPr>
        <w:t xml:space="preserve">כל אחד מהם יכול להשפיע באופן עצמאי על קביעת מתחם העונש ההולם.  בעבירות סמים, </w:t>
      </w:r>
      <w:r>
        <w:rPr>
          <w:rFonts w:hint="cs"/>
          <w:b/>
          <w:bCs/>
          <w:rtl/>
        </w:rPr>
        <w:t>מידת הנזק</w:t>
      </w:r>
      <w:r>
        <w:rPr>
          <w:rFonts w:hint="cs"/>
          <w:rtl/>
        </w:rPr>
        <w:t xml:space="preserve"> תיבחן על פי סוג הסם וכמות הסם, </w:t>
      </w:r>
      <w:r>
        <w:rPr>
          <w:rFonts w:hint="cs"/>
          <w:b/>
          <w:bCs/>
          <w:rtl/>
        </w:rPr>
        <w:t>ומידת האשם</w:t>
      </w:r>
      <w:r>
        <w:rPr>
          <w:rFonts w:hint="cs"/>
          <w:rtl/>
        </w:rPr>
        <w:t xml:space="preserve"> תיבחן על פי תפקידו של הנאשם בשרשרת הפצת הסם. </w:t>
      </w:r>
      <w:r>
        <w:rPr>
          <w:rtl/>
        </w:rPr>
        <w:tab/>
      </w:r>
      <w:r>
        <w:rPr>
          <w:rFonts w:hint="cs"/>
          <w:rtl/>
        </w:rPr>
        <w:t>נשווה לנגד עינינו שני מקרים : מקרה אחד שבו מדובר בעבירת סם כאשר מידת הנזק היא בדרגה מסוימת (היינו סם מסוג מסוים ובכמות מסוימת, למשל ייבוא מתאמפטאמין במשקל של 50 גרם, כמו במקרה שבפני) ומקרה אחר שבו מידת הנזק היא זהה (היינו ייבוא של אותו סוג סם בכמות זהה). בעת שלכל אחד ממבצעי העבירה היתה "</w:t>
      </w:r>
      <w:r>
        <w:rPr>
          <w:rFonts w:hint="cs"/>
          <w:b/>
          <w:bCs/>
          <w:rtl/>
        </w:rPr>
        <w:t>מידת אשם</w:t>
      </w:r>
      <w:r>
        <w:rPr>
          <w:rFonts w:hint="cs"/>
          <w:rtl/>
        </w:rPr>
        <w:t xml:space="preserve">" שונה (היינו לכל אחד מהם היה תפקיד היררכי שונה בשרשרת הפצת הסם), אזי, לכל אחד מהם יהיה </w:t>
      </w:r>
      <w:r>
        <w:rPr>
          <w:rFonts w:hint="cs"/>
          <w:b/>
          <w:bCs/>
          <w:rtl/>
        </w:rPr>
        <w:t>מתחם עונש שונה מהאחר.</w:t>
      </w:r>
      <w:r>
        <w:rPr>
          <w:rFonts w:hint="cs"/>
          <w:rtl/>
        </w:rPr>
        <w:t xml:space="preserve"> ודוק, לא יהיה מתחם עונש אחד לגבי שניהם שבתוכו ייקבע עונש "מתאים" שונה לכל אחד מהם,  אלא יהיו </w:t>
      </w:r>
      <w:r>
        <w:rPr>
          <w:rFonts w:hint="cs"/>
          <w:b/>
          <w:bCs/>
          <w:rtl/>
        </w:rPr>
        <w:t>שני מתחמי עונש שונים</w:t>
      </w:r>
      <w:r>
        <w:rPr>
          <w:rFonts w:hint="cs"/>
          <w:rtl/>
        </w:rPr>
        <w:t>, שייקבעו על פי תפקידו של כל אחד מהם בשרשרת הפצת הסם.  הדבר עולה במפורש מלשון הוראות החוק שהובאו לעיל (סעיפים 40ב, 40ט(א)(1) ו-(2), 40ג(א), 40ט(א)(3) ו-(4) ל</w:t>
      </w:r>
      <w:hyperlink r:id="rId27" w:history="1">
        <w:r w:rsidR="00C23558" w:rsidRPr="00C23558">
          <w:rPr>
            <w:rStyle w:val="Hyperlink"/>
            <w:rFonts w:cs="David"/>
            <w:rtl/>
          </w:rPr>
          <w:t>חוק העונשין</w:t>
        </w:r>
      </w:hyperlink>
      <w:r>
        <w:rPr>
          <w:rFonts w:hint="cs"/>
          <w:rtl/>
        </w:rPr>
        <w:t xml:space="preserve">). </w:t>
      </w:r>
    </w:p>
    <w:p w14:paraId="127E9382" w14:textId="77777777" w:rsidR="00097756" w:rsidRDefault="006942B9">
      <w:pPr>
        <w:spacing w:line="360" w:lineRule="auto"/>
        <w:ind w:left="720" w:hanging="720"/>
        <w:jc w:val="both"/>
        <w:rPr>
          <w:rtl/>
        </w:rPr>
      </w:pPr>
      <w:r>
        <w:rPr>
          <w:rFonts w:hint="cs"/>
          <w:rtl/>
        </w:rPr>
        <w:t xml:space="preserve"> </w:t>
      </w:r>
      <w:r>
        <w:rPr>
          <w:rtl/>
        </w:rPr>
        <w:tab/>
      </w:r>
      <w:r>
        <w:rPr>
          <w:rtl/>
        </w:rPr>
        <w:tab/>
      </w:r>
    </w:p>
    <w:p w14:paraId="1CEDAB36" w14:textId="77777777" w:rsidR="00097756" w:rsidRDefault="006942B9">
      <w:pPr>
        <w:spacing w:line="360" w:lineRule="auto"/>
        <w:jc w:val="both"/>
        <w:rPr>
          <w:b/>
          <w:bCs/>
          <w:sz w:val="28"/>
          <w:szCs w:val="28"/>
          <w:u w:val="single"/>
          <w:rtl/>
        </w:rPr>
      </w:pPr>
      <w:r>
        <w:rPr>
          <w:rFonts w:hint="cs"/>
          <w:b/>
          <w:bCs/>
          <w:sz w:val="28"/>
          <w:szCs w:val="28"/>
          <w:u w:val="single"/>
          <w:rtl/>
        </w:rPr>
        <w:t xml:space="preserve">סיווג הסם מסוג מתאמפטאמין : האם סם קשה או סם קל </w:t>
      </w:r>
      <w:r>
        <w:rPr>
          <w:b/>
          <w:bCs/>
          <w:sz w:val="28"/>
          <w:szCs w:val="28"/>
          <w:u w:val="single"/>
          <w:rtl/>
        </w:rPr>
        <w:t xml:space="preserve"> </w:t>
      </w:r>
    </w:p>
    <w:p w14:paraId="64CDE6F2" w14:textId="77777777" w:rsidR="00097756" w:rsidRDefault="00097756">
      <w:pPr>
        <w:spacing w:line="360" w:lineRule="auto"/>
        <w:jc w:val="both"/>
        <w:rPr>
          <w:rtl/>
        </w:rPr>
      </w:pPr>
    </w:p>
    <w:p w14:paraId="4A21B1D2" w14:textId="77777777" w:rsidR="00097756" w:rsidRDefault="006942B9">
      <w:pPr>
        <w:spacing w:line="360" w:lineRule="auto"/>
        <w:ind w:left="720" w:hanging="720"/>
        <w:jc w:val="both"/>
        <w:rPr>
          <w:rtl/>
        </w:rPr>
      </w:pPr>
      <w:r>
        <w:rPr>
          <w:rtl/>
        </w:rPr>
        <w:t>21.</w:t>
      </w:r>
      <w:r>
        <w:rPr>
          <w:rtl/>
        </w:rPr>
        <w:tab/>
        <w:t>ב</w:t>
      </w:r>
      <w:hyperlink r:id="rId28" w:history="1">
        <w:r w:rsidR="00C23558" w:rsidRPr="00C23558">
          <w:rPr>
            <w:rStyle w:val="Hyperlink"/>
            <w:rFonts w:cs="David"/>
            <w:rtl/>
          </w:rPr>
          <w:t>פקודת הסמים המסוכנים</w:t>
        </w:r>
      </w:hyperlink>
      <w:r>
        <w:rPr>
          <w:rtl/>
        </w:rPr>
        <w:t xml:space="preserve"> אין קלסיפיקציה של הסמים השונים לפי קטגוריה של חומרה, אך בפסיקה קיימת הבחנה בין "סמים קשים" לבין "סמים קלים". כך למשל חשיש נתפס כסם קל (ראו למשל </w:t>
      </w:r>
      <w:hyperlink r:id="rId29" w:history="1">
        <w:r w:rsidR="00C23558" w:rsidRPr="00C23558">
          <w:rPr>
            <w:rStyle w:val="Hyperlink"/>
            <w:rFonts w:cs="David"/>
            <w:rtl/>
          </w:rPr>
          <w:t>בש"פ 2374/09</w:t>
        </w:r>
      </w:hyperlink>
      <w:r>
        <w:rPr>
          <w:rtl/>
        </w:rPr>
        <w:t xml:space="preserve"> </w:t>
      </w:r>
      <w:r>
        <w:rPr>
          <w:b/>
          <w:bCs/>
          <w:rtl/>
        </w:rPr>
        <w:t>מוסא נ' מדינת ישראל</w:t>
      </w:r>
      <w:r>
        <w:rPr>
          <w:rtl/>
        </w:rPr>
        <w:t xml:space="preserve"> [פורסם בנבו] (13.4.09) פסקה 8 להחלטתו של כבוד השופט מלצר), ובעוד שקוקאין והרואין נתפסים כ"סמים קשים" (ראו למשל </w:t>
      </w:r>
      <w:hyperlink r:id="rId30" w:history="1">
        <w:r w:rsidR="00C23558" w:rsidRPr="00C23558">
          <w:rPr>
            <w:rStyle w:val="Hyperlink"/>
            <w:rFonts w:cs="David"/>
            <w:rtl/>
          </w:rPr>
          <w:t>ע"פ 8033/11</w:t>
        </w:r>
      </w:hyperlink>
      <w:r>
        <w:rPr>
          <w:rtl/>
        </w:rPr>
        <w:t xml:space="preserve"> </w:t>
      </w:r>
      <w:r>
        <w:rPr>
          <w:b/>
          <w:bCs/>
          <w:rtl/>
        </w:rPr>
        <w:t>סאלם נ' מדינת ישראל</w:t>
      </w:r>
      <w:r>
        <w:rPr>
          <w:rtl/>
        </w:rPr>
        <w:t xml:space="preserve"> [פורסם בנבו] (19.9.12) סעיף 3 לפסק דינו של כבוד השופט סולברג; </w:t>
      </w:r>
      <w:hyperlink r:id="rId31" w:history="1">
        <w:r w:rsidR="00C23558" w:rsidRPr="00C23558">
          <w:rPr>
            <w:rStyle w:val="Hyperlink"/>
            <w:rFonts w:cs="David"/>
            <w:rtl/>
          </w:rPr>
          <w:t>ע"פ 3625/11</w:t>
        </w:r>
      </w:hyperlink>
      <w:r>
        <w:rPr>
          <w:rtl/>
        </w:rPr>
        <w:t xml:space="preserve"> </w:t>
      </w:r>
      <w:r>
        <w:rPr>
          <w:b/>
          <w:bCs/>
          <w:rtl/>
        </w:rPr>
        <w:t>פלוני נ' מדינת ישראל</w:t>
      </w:r>
      <w:r>
        <w:rPr>
          <w:rtl/>
        </w:rPr>
        <w:t xml:space="preserve"> [פורסם בנבו] (6.11.12) פסקה 6 לפסק דינו של כבוד השופט סולברג; </w:t>
      </w:r>
      <w:hyperlink r:id="rId32" w:history="1">
        <w:r w:rsidR="00C23558" w:rsidRPr="00C23558">
          <w:rPr>
            <w:rStyle w:val="Hyperlink"/>
            <w:rFonts w:cs="David"/>
            <w:rtl/>
          </w:rPr>
          <w:t>בש"פ 8262/12</w:t>
        </w:r>
      </w:hyperlink>
      <w:r>
        <w:rPr>
          <w:rtl/>
        </w:rPr>
        <w:t xml:space="preserve"> </w:t>
      </w:r>
      <w:r>
        <w:rPr>
          <w:b/>
          <w:bCs/>
          <w:rtl/>
        </w:rPr>
        <w:t>אילדנפירי נ' מדינת ישראל</w:t>
      </w:r>
      <w:r>
        <w:rPr>
          <w:rtl/>
        </w:rPr>
        <w:t xml:space="preserve"> [פורסם בנבו] (28.11.12) פסקה 9 להחלטתה של כבוד השופטת ברק ארז; </w:t>
      </w:r>
      <w:hyperlink r:id="rId33" w:history="1">
        <w:r w:rsidR="00C23558" w:rsidRPr="00C23558">
          <w:rPr>
            <w:rStyle w:val="Hyperlink"/>
            <w:rFonts w:cs="David"/>
            <w:rtl/>
          </w:rPr>
          <w:t>ע"פ 1905/12</w:t>
        </w:r>
      </w:hyperlink>
      <w:r>
        <w:rPr>
          <w:rtl/>
        </w:rPr>
        <w:t xml:space="preserve"> </w:t>
      </w:r>
      <w:r>
        <w:rPr>
          <w:b/>
          <w:bCs/>
          <w:rtl/>
        </w:rPr>
        <w:t>דהן נ' מדינת ישראל</w:t>
      </w:r>
      <w:r>
        <w:rPr>
          <w:rtl/>
        </w:rPr>
        <w:t xml:space="preserve"> [פורסם בנבו] (8.11.12) פסקה ח' לפסק דינו של כבוד השופט רובינשטיין; </w:t>
      </w:r>
      <w:hyperlink r:id="rId34" w:history="1">
        <w:r w:rsidR="00C23558" w:rsidRPr="00C23558">
          <w:rPr>
            <w:rStyle w:val="Hyperlink"/>
            <w:rFonts w:cs="David"/>
            <w:rtl/>
          </w:rPr>
          <w:t>בש"פ 1627/13</w:t>
        </w:r>
      </w:hyperlink>
      <w:r>
        <w:rPr>
          <w:rtl/>
        </w:rPr>
        <w:t xml:space="preserve"> </w:t>
      </w:r>
      <w:r>
        <w:rPr>
          <w:b/>
          <w:bCs/>
          <w:rtl/>
        </w:rPr>
        <w:t xml:space="preserve">מלכם נ' מדינת ישראל </w:t>
      </w:r>
      <w:r>
        <w:rPr>
          <w:rtl/>
        </w:rPr>
        <w:t xml:space="preserve">[פורסם בנבו] (14.3.13) פסקה יא' להחלטתו של כבוד השופט רובינשטיין).  </w:t>
      </w:r>
    </w:p>
    <w:p w14:paraId="09AFB250" w14:textId="77777777" w:rsidR="00097756" w:rsidRDefault="00097756">
      <w:pPr>
        <w:spacing w:line="360" w:lineRule="auto"/>
        <w:jc w:val="both"/>
        <w:rPr>
          <w:rtl/>
        </w:rPr>
      </w:pPr>
    </w:p>
    <w:p w14:paraId="3458658E" w14:textId="77777777" w:rsidR="00097756" w:rsidRDefault="006942B9">
      <w:pPr>
        <w:spacing w:line="360" w:lineRule="auto"/>
        <w:ind w:left="720" w:hanging="720"/>
        <w:jc w:val="both"/>
        <w:rPr>
          <w:rtl/>
        </w:rPr>
      </w:pPr>
      <w:r>
        <w:rPr>
          <w:rtl/>
        </w:rPr>
        <w:t>22.</w:t>
      </w:r>
      <w:r>
        <w:rPr>
          <w:rtl/>
        </w:rPr>
        <w:tab/>
        <w:t>לגבי הסם מסוג מתאמפט</w:t>
      </w:r>
      <w:r>
        <w:rPr>
          <w:rFonts w:hint="cs"/>
          <w:rtl/>
        </w:rPr>
        <w:t>א</w:t>
      </w:r>
      <w:r>
        <w:rPr>
          <w:rtl/>
        </w:rPr>
        <w:t xml:space="preserve">מין </w:t>
      </w:r>
      <w:r>
        <w:rPr>
          <w:rFonts w:hint="cs"/>
          <w:rtl/>
        </w:rPr>
        <w:t xml:space="preserve">טרם הובהר ע"י בית המשפט העליון אם </w:t>
      </w:r>
      <w:r>
        <w:rPr>
          <w:rtl/>
        </w:rPr>
        <w:t xml:space="preserve">מדובר בסם "קשה" או </w:t>
      </w:r>
      <w:r>
        <w:rPr>
          <w:rFonts w:hint="cs"/>
          <w:rtl/>
        </w:rPr>
        <w:t>בסם</w:t>
      </w:r>
      <w:r>
        <w:rPr>
          <w:rtl/>
        </w:rPr>
        <w:t xml:space="preserve"> "קל". ב</w:t>
      </w:r>
      <w:r>
        <w:rPr>
          <w:rFonts w:hint="cs"/>
          <w:rtl/>
        </w:rPr>
        <w:t>-</w:t>
      </w:r>
      <w:hyperlink r:id="rId35" w:history="1">
        <w:r w:rsidR="00C23558" w:rsidRPr="00C23558">
          <w:rPr>
            <w:rStyle w:val="Hyperlink"/>
            <w:rFonts w:cs="David"/>
            <w:rtl/>
          </w:rPr>
          <w:t>ת"פ (מח' – מרכז) 21485-01-11  מדינ</w:t>
        </w:r>
      </w:hyperlink>
      <w:r>
        <w:rPr>
          <w:b/>
          <w:bCs/>
          <w:rtl/>
        </w:rPr>
        <w:t>ת ישראל נ' תאיפינפרום</w:t>
      </w:r>
      <w:r>
        <w:rPr>
          <w:rtl/>
        </w:rPr>
        <w:t xml:space="preserve"> [פורסם בנבו] (14.4.11) כבוד סגן הנשיא השופט כספי ציין לגבי סם זה את הדברים הבאים:</w:t>
      </w:r>
    </w:p>
    <w:p w14:paraId="3E3CBECB" w14:textId="77777777" w:rsidR="00097756" w:rsidRDefault="00097756">
      <w:pPr>
        <w:spacing w:line="360" w:lineRule="auto"/>
        <w:ind w:left="720"/>
        <w:jc w:val="both"/>
        <w:rPr>
          <w:rtl/>
        </w:rPr>
      </w:pPr>
    </w:p>
    <w:p w14:paraId="3B705327" w14:textId="77777777" w:rsidR="00097756" w:rsidRDefault="006942B9">
      <w:pPr>
        <w:spacing w:line="360" w:lineRule="auto"/>
        <w:ind w:left="2880"/>
        <w:jc w:val="both"/>
        <w:rPr>
          <w:rtl/>
        </w:rPr>
      </w:pPr>
      <w:r>
        <w:rPr>
          <w:rtl/>
        </w:rPr>
        <w:t xml:space="preserve">"בענייננו </w:t>
      </w:r>
      <w:r>
        <w:rPr>
          <w:b/>
          <w:bCs/>
          <w:rtl/>
        </w:rPr>
        <w:t>אין המדובר בסם הנמנה על הסמים הקשים</w:t>
      </w:r>
      <w:r>
        <w:rPr>
          <w:rtl/>
        </w:rPr>
        <w:t xml:space="preserve"> הנפוצים, אך העניין לנו </w:t>
      </w:r>
      <w:r>
        <w:rPr>
          <w:b/>
          <w:bCs/>
          <w:rtl/>
        </w:rPr>
        <w:t xml:space="preserve">בכמות גדולה </w:t>
      </w:r>
      <w:r>
        <w:rPr>
          <w:rtl/>
        </w:rPr>
        <w:t>של טבליות</w:t>
      </w:r>
      <w:r>
        <w:rPr>
          <w:rFonts w:hint="cs"/>
          <w:rtl/>
        </w:rPr>
        <w:t>".</w:t>
      </w:r>
    </w:p>
    <w:p w14:paraId="5F32DE1A" w14:textId="77777777" w:rsidR="00097756" w:rsidRDefault="00097756">
      <w:pPr>
        <w:spacing w:line="360" w:lineRule="auto"/>
        <w:ind w:left="360"/>
        <w:jc w:val="both"/>
        <w:rPr>
          <w:rtl/>
        </w:rPr>
      </w:pPr>
    </w:p>
    <w:p w14:paraId="3D7F6A9B" w14:textId="77777777" w:rsidR="00097756" w:rsidRDefault="006942B9">
      <w:pPr>
        <w:spacing w:line="360" w:lineRule="auto"/>
        <w:ind w:left="360"/>
        <w:jc w:val="both"/>
        <w:rPr>
          <w:rtl/>
        </w:rPr>
      </w:pPr>
      <w:r>
        <w:rPr>
          <w:rtl/>
        </w:rPr>
        <w:tab/>
      </w:r>
      <w:r>
        <w:rPr>
          <w:rtl/>
        </w:rPr>
        <w:tab/>
      </w:r>
      <w:r>
        <w:rPr>
          <w:rtl/>
        </w:rPr>
        <w:tab/>
      </w:r>
      <w:r>
        <w:rPr>
          <w:rtl/>
        </w:rPr>
        <w:tab/>
        <w:t>(ההדגשה לא במקור)</w:t>
      </w:r>
    </w:p>
    <w:p w14:paraId="5C298A02" w14:textId="77777777" w:rsidR="00097756" w:rsidRDefault="00097756">
      <w:pPr>
        <w:spacing w:line="360" w:lineRule="auto"/>
        <w:jc w:val="both"/>
        <w:rPr>
          <w:rtl/>
        </w:rPr>
      </w:pPr>
    </w:p>
    <w:p w14:paraId="40A0566D" w14:textId="77777777" w:rsidR="00097756" w:rsidRDefault="006942B9">
      <w:pPr>
        <w:spacing w:line="360" w:lineRule="auto"/>
        <w:ind w:left="720"/>
        <w:jc w:val="both"/>
        <w:rPr>
          <w:rtl/>
        </w:rPr>
      </w:pPr>
      <w:r>
        <w:rPr>
          <w:rtl/>
        </w:rPr>
        <w:t>לעומת זאת, ב-</w:t>
      </w:r>
      <w:hyperlink r:id="rId36" w:history="1">
        <w:r w:rsidR="00C23558" w:rsidRPr="00C23558">
          <w:rPr>
            <w:rStyle w:val="Hyperlink"/>
            <w:rFonts w:cs="David"/>
            <w:rtl/>
          </w:rPr>
          <w:t>ת"פ (מח' – מרכז) 51034-12-10 מדינת</w:t>
        </w:r>
      </w:hyperlink>
      <w:r>
        <w:rPr>
          <w:b/>
          <w:bCs/>
          <w:rtl/>
        </w:rPr>
        <w:t xml:space="preserve"> ישראל נ' דואנקכוטה</w:t>
      </w:r>
      <w:r>
        <w:rPr>
          <w:rtl/>
        </w:rPr>
        <w:t xml:space="preserve"> [פורסם בנבו] (12.6.11) כבוד השופטת ליאורה ברודי, ציינה את הדברים הבאים:</w:t>
      </w:r>
    </w:p>
    <w:p w14:paraId="62207C6C" w14:textId="77777777" w:rsidR="00097756" w:rsidRDefault="00097756">
      <w:pPr>
        <w:spacing w:line="360" w:lineRule="auto"/>
        <w:ind w:left="360"/>
        <w:jc w:val="both"/>
        <w:rPr>
          <w:rtl/>
        </w:rPr>
      </w:pPr>
    </w:p>
    <w:p w14:paraId="1352197F" w14:textId="77777777" w:rsidR="00097756" w:rsidRDefault="006942B9">
      <w:pPr>
        <w:spacing w:line="360" w:lineRule="auto"/>
        <w:ind w:left="2880"/>
        <w:jc w:val="both"/>
        <w:rPr>
          <w:rtl/>
        </w:rPr>
      </w:pPr>
      <w:r>
        <w:rPr>
          <w:rtl/>
        </w:rPr>
        <w:t xml:space="preserve">"אשר לסם המכונה "יאבה" – מדובר בגרסה תאילנדית של "מתאמפיטאמין" (שעל פי רוב מכיל גם תערובת של קפאין). הסם נפוץ </w:t>
      </w:r>
      <w:r>
        <w:rPr>
          <w:rFonts w:hint="cs"/>
          <w:rtl/>
        </w:rPr>
        <w:t>ב</w:t>
      </w:r>
      <w:r>
        <w:rPr>
          <w:rtl/>
        </w:rPr>
        <w:t xml:space="preserve">מדינות דרום מזרח אסיה בקרב עובדים. ומשמש בעיקר כסם מרץ, ולאו דווקא למטרת בילוי והנאה. כן ידוע כי סם זה נחשב </w:t>
      </w:r>
      <w:r>
        <w:rPr>
          <w:b/>
          <w:bCs/>
          <w:rtl/>
        </w:rPr>
        <w:t>לממכר מאוד</w:t>
      </w:r>
      <w:r>
        <w:rPr>
          <w:rtl/>
        </w:rPr>
        <w:t xml:space="preserve">. הפועל היוצא </w:t>
      </w:r>
      <w:r>
        <w:rPr>
          <w:b/>
          <w:bCs/>
          <w:rtl/>
        </w:rPr>
        <w:t xml:space="preserve">מכך הוא שהנזק שנגרם בהפצת כמות סם כה גדולה </w:t>
      </w:r>
      <w:r>
        <w:rPr>
          <w:rtl/>
        </w:rPr>
        <w:t xml:space="preserve">בקרב העובדים התאילנדים הוא </w:t>
      </w:r>
      <w:r>
        <w:rPr>
          <w:b/>
          <w:bCs/>
          <w:rtl/>
        </w:rPr>
        <w:t>רב ומשמעותי</w:t>
      </w:r>
      <w:r>
        <w:rPr>
          <w:rtl/>
        </w:rPr>
        <w:t xml:space="preserve"> – כאמור בצידו הן נזק פיזי והן נזק נפשי. הנוטלים את הסם אף מסכנים את בריאותם כתוצאה מעבודה במשך שעות רבות של היממה, ללא מנוחה, לה זקוק אדם העוסק בעבודה פיזית קשה". </w:t>
      </w:r>
    </w:p>
    <w:p w14:paraId="4FA8E3F1" w14:textId="77777777" w:rsidR="00097756" w:rsidRDefault="006942B9">
      <w:pPr>
        <w:spacing w:line="360" w:lineRule="auto"/>
        <w:jc w:val="both"/>
        <w:rPr>
          <w:rtl/>
        </w:rPr>
      </w:pPr>
      <w:r>
        <w:rPr>
          <w:rtl/>
        </w:rPr>
        <w:tab/>
      </w:r>
      <w:r>
        <w:rPr>
          <w:rtl/>
        </w:rPr>
        <w:tab/>
      </w:r>
      <w:r>
        <w:rPr>
          <w:rtl/>
        </w:rPr>
        <w:tab/>
      </w:r>
    </w:p>
    <w:p w14:paraId="1D3D8758" w14:textId="77777777" w:rsidR="00097756" w:rsidRDefault="006942B9">
      <w:pPr>
        <w:spacing w:line="360" w:lineRule="auto"/>
        <w:jc w:val="both"/>
        <w:rPr>
          <w:rtl/>
        </w:rPr>
      </w:pPr>
      <w:r>
        <w:rPr>
          <w:rtl/>
        </w:rPr>
        <w:tab/>
      </w:r>
      <w:r>
        <w:rPr>
          <w:rtl/>
        </w:rPr>
        <w:tab/>
      </w:r>
      <w:r>
        <w:rPr>
          <w:rtl/>
        </w:rPr>
        <w:tab/>
      </w:r>
      <w:r>
        <w:rPr>
          <w:rtl/>
        </w:rPr>
        <w:tab/>
        <w:t>(ההדגשה לא במקור)</w:t>
      </w:r>
    </w:p>
    <w:p w14:paraId="5C7DF8EF" w14:textId="77777777" w:rsidR="00097756" w:rsidRDefault="00097756">
      <w:pPr>
        <w:spacing w:line="360" w:lineRule="auto"/>
        <w:jc w:val="both"/>
        <w:rPr>
          <w:rtl/>
        </w:rPr>
      </w:pPr>
    </w:p>
    <w:p w14:paraId="67C3CAFA" w14:textId="77777777" w:rsidR="00097756" w:rsidRDefault="006942B9">
      <w:pPr>
        <w:spacing w:line="360" w:lineRule="auto"/>
        <w:ind w:left="720" w:hanging="720"/>
        <w:jc w:val="both"/>
        <w:rPr>
          <w:rtl/>
        </w:rPr>
      </w:pPr>
      <w:r>
        <w:rPr>
          <w:rFonts w:hint="cs"/>
          <w:rtl/>
        </w:rPr>
        <w:t>23.</w:t>
      </w:r>
      <w:r>
        <w:rPr>
          <w:rtl/>
        </w:rPr>
        <w:tab/>
        <w:t>על מנת ללמוד באם מדובר בסם "קשה" או סם "קל" יש לפנות לסעיף 31</w:t>
      </w:r>
      <w:r>
        <w:rPr>
          <w:rFonts w:hint="cs"/>
          <w:rtl/>
        </w:rPr>
        <w:t xml:space="preserve">(3) </w:t>
      </w:r>
      <w:r>
        <w:rPr>
          <w:rtl/>
        </w:rPr>
        <w:t xml:space="preserve">וגם לתוספת השניה של </w:t>
      </w:r>
      <w:hyperlink r:id="rId37" w:history="1">
        <w:r w:rsidR="00C23558" w:rsidRPr="00C23558">
          <w:rPr>
            <w:rStyle w:val="Hyperlink"/>
            <w:rFonts w:cs="David"/>
            <w:rtl/>
          </w:rPr>
          <w:t>פקודת הסמים המסוכנים</w:t>
        </w:r>
      </w:hyperlink>
      <w:r>
        <w:rPr>
          <w:rtl/>
        </w:rPr>
        <w:t>. בסעיף  31(3) ל</w:t>
      </w:r>
      <w:hyperlink r:id="rId38" w:history="1">
        <w:r w:rsidR="00C23558" w:rsidRPr="00C23558">
          <w:rPr>
            <w:rStyle w:val="Hyperlink"/>
            <w:rFonts w:cs="David"/>
            <w:rtl/>
          </w:rPr>
          <w:t>פקודת הסמים המסוכנים</w:t>
        </w:r>
      </w:hyperlink>
      <w:r>
        <w:rPr>
          <w:rtl/>
        </w:rPr>
        <w:t xml:space="preserve"> נקבע כי מי שהחזיק סם מסוג המפורט בתוספת השניה בכמות העולה על הכמות המפורטת לצידו, חזקה שהחזיק בסם שלא לצריכה עצמית ועליו </w:t>
      </w:r>
      <w:r>
        <w:rPr>
          <w:rFonts w:hint="cs"/>
          <w:rtl/>
        </w:rPr>
        <w:t xml:space="preserve">הנטל לסתור את </w:t>
      </w:r>
      <w:r>
        <w:rPr>
          <w:rtl/>
        </w:rPr>
        <w:t xml:space="preserve">החזקה. בתוספת השניה נקבע כי לגבי קנבוס ושרף של קנבוס (חשיש) הכמות היא 15 גרם. לעומת זאת, בעת שמדובר בקוקאין והרואין הכמות היא 0.3 גרם. הפערים המשמעותיים בכמויות מלמדים על החומרה היתרה בהחזקת הירואין וקוקאין לעומת החזקת קנבוס, ומכאן ההגדרה של הרואין וקוקאין כסמים </w:t>
      </w:r>
      <w:r>
        <w:rPr>
          <w:rFonts w:hint="cs"/>
          <w:rtl/>
        </w:rPr>
        <w:t>"</w:t>
      </w:r>
      <w:r>
        <w:rPr>
          <w:rtl/>
        </w:rPr>
        <w:t>קשים</w:t>
      </w:r>
      <w:r>
        <w:rPr>
          <w:rFonts w:hint="cs"/>
          <w:rtl/>
        </w:rPr>
        <w:t>"</w:t>
      </w:r>
      <w:r>
        <w:rPr>
          <w:rtl/>
        </w:rPr>
        <w:t xml:space="preserve"> לעומת חשיש שהוגדר כסם </w:t>
      </w:r>
      <w:r>
        <w:rPr>
          <w:rFonts w:hint="cs"/>
          <w:rtl/>
        </w:rPr>
        <w:t>"</w:t>
      </w:r>
      <w:r>
        <w:rPr>
          <w:rtl/>
        </w:rPr>
        <w:t>קל</w:t>
      </w:r>
      <w:r>
        <w:rPr>
          <w:rFonts w:hint="cs"/>
          <w:rtl/>
        </w:rPr>
        <w:t>"</w:t>
      </w:r>
      <w:r>
        <w:rPr>
          <w:rtl/>
        </w:rPr>
        <w:t>. לגבי מתא</w:t>
      </w:r>
      <w:r>
        <w:rPr>
          <w:rFonts w:hint="cs"/>
          <w:rtl/>
        </w:rPr>
        <w:t>מ</w:t>
      </w:r>
      <w:r>
        <w:rPr>
          <w:rtl/>
        </w:rPr>
        <w:t xml:space="preserve">פטאמין הכמות היא 0.2 גרם. לגבי </w:t>
      </w:r>
      <w:r>
        <w:rPr>
          <w:rFonts w:hint="cs"/>
          <w:rtl/>
        </w:rPr>
        <w:t>אמפט</w:t>
      </w:r>
      <w:r>
        <w:rPr>
          <w:rtl/>
        </w:rPr>
        <w:t xml:space="preserve">אמין נקבעה כמות דומה של 0.2 גרם. לפיכך, </w:t>
      </w:r>
      <w:r>
        <w:rPr>
          <w:rFonts w:hint="cs"/>
          <w:rtl/>
        </w:rPr>
        <w:t xml:space="preserve">הנני קובע כי מתאמפטאמין הוא </w:t>
      </w:r>
      <w:r>
        <w:rPr>
          <w:rtl/>
        </w:rPr>
        <w:t>"סם קשה"</w:t>
      </w:r>
      <w:r>
        <w:rPr>
          <w:rFonts w:hint="cs"/>
          <w:rtl/>
        </w:rPr>
        <w:t>. כמו כן, א</w:t>
      </w:r>
      <w:r>
        <w:rPr>
          <w:rtl/>
        </w:rPr>
        <w:t xml:space="preserve">עשה אנאלוגיות, בעת קביעת מתחם </w:t>
      </w:r>
      <w:r>
        <w:rPr>
          <w:rFonts w:hint="cs"/>
          <w:rtl/>
        </w:rPr>
        <w:t xml:space="preserve">העונש </w:t>
      </w:r>
      <w:r>
        <w:rPr>
          <w:rtl/>
        </w:rPr>
        <w:t xml:space="preserve">ההולם, מפסקי דין שניתנו בעבירות שבהן היה מדובר ב-"סם קשה"  (הרואין או קוקאין) בכמויות של </w:t>
      </w:r>
      <w:r>
        <w:rPr>
          <w:u w:val="single"/>
          <w:rtl/>
        </w:rPr>
        <w:t>עשרות גרמים</w:t>
      </w:r>
      <w:r>
        <w:rPr>
          <w:rtl/>
        </w:rPr>
        <w:t>, כ</w:t>
      </w:r>
      <w:r>
        <w:rPr>
          <w:rFonts w:hint="cs"/>
          <w:rtl/>
        </w:rPr>
        <w:t>מו</w:t>
      </w:r>
      <w:r>
        <w:rPr>
          <w:rtl/>
        </w:rPr>
        <w:t xml:space="preserve"> הכמות במקרה שבפני, מאחר והפסיקה בסוגי סם אלה היא ענפה יותר מאשר בסם מסוג מתא</w:t>
      </w:r>
      <w:r>
        <w:rPr>
          <w:rFonts w:hint="cs"/>
          <w:rtl/>
        </w:rPr>
        <w:t>מ</w:t>
      </w:r>
      <w:r>
        <w:rPr>
          <w:rtl/>
        </w:rPr>
        <w:t>פטאמין, עם התייחסות מפורשת ל</w:t>
      </w:r>
      <w:r>
        <w:rPr>
          <w:b/>
          <w:bCs/>
          <w:rtl/>
        </w:rPr>
        <w:t>-"משקל".</w:t>
      </w:r>
      <w:r>
        <w:rPr>
          <w:rtl/>
        </w:rPr>
        <w:t xml:space="preserve"> </w:t>
      </w:r>
    </w:p>
    <w:p w14:paraId="5D4ED713" w14:textId="77777777" w:rsidR="00097756" w:rsidRDefault="00097756">
      <w:pPr>
        <w:spacing w:line="360" w:lineRule="auto"/>
        <w:jc w:val="both"/>
        <w:rPr>
          <w:rtl/>
        </w:rPr>
      </w:pPr>
    </w:p>
    <w:p w14:paraId="349DD037" w14:textId="77777777" w:rsidR="00097756" w:rsidRDefault="006942B9">
      <w:pPr>
        <w:spacing w:line="360" w:lineRule="auto"/>
        <w:ind w:left="720" w:hanging="720"/>
        <w:jc w:val="both"/>
        <w:rPr>
          <w:rtl/>
        </w:rPr>
      </w:pPr>
      <w:r>
        <w:rPr>
          <w:rFonts w:hint="cs"/>
          <w:rtl/>
        </w:rPr>
        <w:t>24</w:t>
      </w:r>
      <w:r>
        <w:rPr>
          <w:rtl/>
        </w:rPr>
        <w:t>.</w:t>
      </w:r>
      <w:r>
        <w:rPr>
          <w:rtl/>
        </w:rPr>
        <w:tab/>
        <w:t xml:space="preserve">למען ההשוואה, אביא בפרק הבא סקירה של הדין האנגלי </w:t>
      </w:r>
      <w:r>
        <w:rPr>
          <w:rFonts w:hint="cs"/>
          <w:rtl/>
        </w:rPr>
        <w:t>בעבירה של ייבוא סמים ואראה שגם שם, כמו בישראל בתיקון 113 ל</w:t>
      </w:r>
      <w:hyperlink r:id="rId39" w:history="1">
        <w:r w:rsidR="00C23558" w:rsidRPr="00C23558">
          <w:rPr>
            <w:rStyle w:val="Hyperlink"/>
            <w:rFonts w:cs="David"/>
            <w:rtl/>
          </w:rPr>
          <w:t>חוק העונשין</w:t>
        </w:r>
      </w:hyperlink>
      <w:r>
        <w:rPr>
          <w:rFonts w:hint="cs"/>
          <w:rtl/>
        </w:rPr>
        <w:t xml:space="preserve">, ישנם </w:t>
      </w:r>
      <w:r>
        <w:rPr>
          <w:b/>
          <w:bCs/>
          <w:rtl/>
        </w:rPr>
        <w:t>מתחמי עונש שונים</w:t>
      </w:r>
      <w:r>
        <w:rPr>
          <w:rtl/>
        </w:rPr>
        <w:t xml:space="preserve"> לנאשמים שביצעו את אות</w:t>
      </w:r>
      <w:r>
        <w:rPr>
          <w:rFonts w:hint="cs"/>
          <w:rtl/>
        </w:rPr>
        <w:t>ה</w:t>
      </w:r>
      <w:r>
        <w:rPr>
          <w:rtl/>
        </w:rPr>
        <w:t xml:space="preserve"> עביר</w:t>
      </w:r>
      <w:r>
        <w:rPr>
          <w:rFonts w:hint="cs"/>
          <w:rtl/>
        </w:rPr>
        <w:t>ה</w:t>
      </w:r>
      <w:r>
        <w:rPr>
          <w:rtl/>
        </w:rPr>
        <w:t xml:space="preserve"> </w:t>
      </w:r>
      <w:r>
        <w:rPr>
          <w:rFonts w:hint="cs"/>
          <w:rtl/>
        </w:rPr>
        <w:t xml:space="preserve">עם </w:t>
      </w:r>
      <w:r>
        <w:rPr>
          <w:rFonts w:hint="cs"/>
          <w:b/>
          <w:bCs/>
          <w:rtl/>
        </w:rPr>
        <w:t>מידת נזק זהה</w:t>
      </w:r>
      <w:r>
        <w:rPr>
          <w:rFonts w:hint="cs"/>
          <w:rtl/>
        </w:rPr>
        <w:t xml:space="preserve"> (מבחינת </w:t>
      </w:r>
      <w:r>
        <w:rPr>
          <w:rtl/>
        </w:rPr>
        <w:t>כמות הסם וסוג הסם</w:t>
      </w:r>
      <w:r>
        <w:rPr>
          <w:rFonts w:hint="cs"/>
          <w:rtl/>
        </w:rPr>
        <w:t>)</w:t>
      </w:r>
      <w:r>
        <w:rPr>
          <w:rtl/>
        </w:rPr>
        <w:t>,</w:t>
      </w:r>
      <w:r>
        <w:rPr>
          <w:rFonts w:hint="cs"/>
          <w:rtl/>
        </w:rPr>
        <w:t xml:space="preserve"> כאשר הקריטריון המאבחן בין הנאשמים לצורך איתור מתחם העונש, הוא </w:t>
      </w:r>
      <w:r>
        <w:rPr>
          <w:rFonts w:hint="cs"/>
          <w:b/>
          <w:bCs/>
          <w:rtl/>
        </w:rPr>
        <w:t>מידת האשם</w:t>
      </w:r>
      <w:r>
        <w:rPr>
          <w:rFonts w:hint="cs"/>
          <w:rtl/>
        </w:rPr>
        <w:t xml:space="preserve"> בביצוע העבירה, קרי תפקידו של כל אחד מהם בשרשרת הפצת הסם. </w:t>
      </w:r>
      <w:r>
        <w:rPr>
          <w:rtl/>
        </w:rPr>
        <w:t xml:space="preserve">  </w:t>
      </w:r>
    </w:p>
    <w:p w14:paraId="25499F6E" w14:textId="77777777" w:rsidR="00097756" w:rsidRDefault="00097756">
      <w:pPr>
        <w:spacing w:line="360" w:lineRule="auto"/>
        <w:jc w:val="both"/>
        <w:rPr>
          <w:rtl/>
        </w:rPr>
      </w:pPr>
    </w:p>
    <w:p w14:paraId="14760373" w14:textId="77777777" w:rsidR="00097756" w:rsidRDefault="006942B9">
      <w:pPr>
        <w:spacing w:line="360" w:lineRule="auto"/>
        <w:jc w:val="both"/>
        <w:rPr>
          <w:b/>
          <w:bCs/>
          <w:sz w:val="28"/>
          <w:szCs w:val="28"/>
          <w:u w:val="single"/>
          <w:rtl/>
        </w:rPr>
      </w:pPr>
      <w:r>
        <w:rPr>
          <w:b/>
          <w:bCs/>
          <w:sz w:val="28"/>
          <w:szCs w:val="28"/>
          <w:u w:val="single"/>
          <w:rtl/>
        </w:rPr>
        <w:t xml:space="preserve">המצב באנגליה </w:t>
      </w:r>
    </w:p>
    <w:p w14:paraId="0E6F0701" w14:textId="77777777" w:rsidR="00097756" w:rsidRDefault="00097756">
      <w:pPr>
        <w:spacing w:line="360" w:lineRule="auto"/>
        <w:jc w:val="both"/>
        <w:rPr>
          <w:rtl/>
        </w:rPr>
      </w:pPr>
    </w:p>
    <w:p w14:paraId="546C7BFE" w14:textId="77777777" w:rsidR="00097756" w:rsidRDefault="006942B9">
      <w:pPr>
        <w:spacing w:line="360" w:lineRule="auto"/>
        <w:jc w:val="both"/>
        <w:rPr>
          <w:sz w:val="28"/>
          <w:szCs w:val="28"/>
          <w:u w:val="single"/>
          <w:rtl/>
        </w:rPr>
      </w:pPr>
      <w:r>
        <w:rPr>
          <w:sz w:val="28"/>
          <w:szCs w:val="28"/>
          <w:u w:val="single"/>
          <w:rtl/>
        </w:rPr>
        <w:t>הקמת מועצה שתנסח הנחיות ענישה</w:t>
      </w:r>
    </w:p>
    <w:p w14:paraId="60DD95D0" w14:textId="77777777" w:rsidR="00097756" w:rsidRDefault="00097756">
      <w:pPr>
        <w:spacing w:line="360" w:lineRule="auto"/>
        <w:jc w:val="both"/>
        <w:rPr>
          <w:rtl/>
        </w:rPr>
      </w:pPr>
    </w:p>
    <w:p w14:paraId="2FC944E6" w14:textId="77777777" w:rsidR="00097756" w:rsidRDefault="006942B9">
      <w:pPr>
        <w:spacing w:line="360" w:lineRule="auto"/>
        <w:ind w:left="708" w:hanging="850"/>
        <w:jc w:val="both"/>
        <w:rPr>
          <w:rtl/>
        </w:rPr>
      </w:pPr>
      <w:r>
        <w:rPr>
          <w:rFonts w:hint="cs"/>
          <w:rtl/>
        </w:rPr>
        <w:t>25</w:t>
      </w:r>
      <w:r>
        <w:rPr>
          <w:rtl/>
        </w:rPr>
        <w:t>.</w:t>
      </w:r>
      <w:r>
        <w:rPr>
          <w:rtl/>
        </w:rPr>
        <w:tab/>
      </w:r>
      <w:r>
        <w:rPr>
          <w:rFonts w:hint="cs"/>
          <w:rtl/>
        </w:rPr>
        <w:t xml:space="preserve">באנגליה הוקמה מועצה הנקראת </w:t>
      </w:r>
      <w:r>
        <w:t>sentencing council</w:t>
      </w:r>
      <w:r>
        <w:rPr>
          <w:rFonts w:hint="cs"/>
          <w:rtl/>
        </w:rPr>
        <w:t xml:space="preserve"> בשנת 2009 </w:t>
      </w:r>
      <w:r>
        <w:rPr>
          <w:rtl/>
        </w:rPr>
        <w:t>מכוח סעיף 118 ל-</w:t>
      </w:r>
      <w:r>
        <w:t xml:space="preserve"> </w:t>
      </w:r>
      <w:r>
        <w:rPr>
          <w:b/>
          <w:bCs/>
        </w:rPr>
        <w:t>Coroners and Justice Act  2009</w:t>
      </w:r>
      <w:r>
        <w:t xml:space="preserve"> </w:t>
      </w:r>
      <w:r>
        <w:rPr>
          <w:rFonts w:hint="cs"/>
          <w:rtl/>
        </w:rPr>
        <w:t xml:space="preserve"> </w:t>
      </w:r>
      <w:r>
        <w:rPr>
          <w:rtl/>
        </w:rPr>
        <w:t>(להלן</w:t>
      </w:r>
      <w:r>
        <w:rPr>
          <w:rFonts w:hint="cs"/>
          <w:rtl/>
        </w:rPr>
        <w:t>:</w:t>
      </w:r>
      <w:r>
        <w:rPr>
          <w:rtl/>
        </w:rPr>
        <w:t xml:space="preserve"> </w:t>
      </w:r>
      <w:r>
        <w:rPr>
          <w:b/>
          <w:bCs/>
          <w:rtl/>
        </w:rPr>
        <w:t>החוק</w:t>
      </w:r>
      <w:r>
        <w:rPr>
          <w:rtl/>
        </w:rPr>
        <w:t>).</w:t>
      </w:r>
      <w:r>
        <w:rPr>
          <w:rFonts w:hint="cs"/>
          <w:rtl/>
        </w:rPr>
        <w:t xml:space="preserve"> </w:t>
      </w:r>
      <w:r>
        <w:rPr>
          <w:rtl/>
        </w:rPr>
        <w:t>ניתן לעיין בנוסח המעודכן של החוק באתר שלהל</w:t>
      </w:r>
      <w:r>
        <w:rPr>
          <w:rFonts w:hint="cs"/>
          <w:rtl/>
        </w:rPr>
        <w:t>ן</w:t>
      </w:r>
      <w:r>
        <w:t xml:space="preserve"> </w:t>
      </w:r>
      <w:r w:rsidRPr="00A45930">
        <w:rPr>
          <w:rFonts w:cs="Times New Roman"/>
          <w:color w:val="000000"/>
        </w:rPr>
        <w:t>www.legislation.gov.uk</w:t>
      </w:r>
      <w:r>
        <w:t xml:space="preserve"> </w:t>
      </w:r>
      <w:r>
        <w:rPr>
          <w:rFonts w:hint="cs"/>
          <w:rtl/>
        </w:rPr>
        <w:t>. תפקיד המועצה לנסח הנחיות ענישה (</w:t>
      </w:r>
      <w:r>
        <w:t>sentencing guidelines</w:t>
      </w:r>
      <w:r>
        <w:rPr>
          <w:rFonts w:hint="cs"/>
          <w:rtl/>
        </w:rPr>
        <w:t xml:space="preserve">) שיחייבו את בתי המשפט, וזאת על מנת להבטיח </w:t>
      </w:r>
      <w:r>
        <w:rPr>
          <w:rFonts w:hint="cs"/>
          <w:b/>
          <w:bCs/>
          <w:rtl/>
        </w:rPr>
        <w:t>אחידות בדרך קביעת העונש</w:t>
      </w:r>
      <w:r>
        <w:rPr>
          <w:rFonts w:hint="cs"/>
          <w:rtl/>
        </w:rPr>
        <w:t xml:space="preserve">, וזאת להבדיל </w:t>
      </w:r>
      <w:r>
        <w:rPr>
          <w:rFonts w:hint="cs"/>
          <w:b/>
          <w:bCs/>
          <w:rtl/>
        </w:rPr>
        <w:t>מתוצאות ענישה אחידות</w:t>
      </w:r>
      <w:r>
        <w:rPr>
          <w:rFonts w:hint="cs"/>
          <w:rtl/>
        </w:rPr>
        <w:t>. המועצה הנוכחית הינה גוף שממשיך את פעילותן של וועדות שונות שהיו בעבר באנגליה בנושא הנחיות ענישה. ל</w:t>
      </w:r>
      <w:r>
        <w:rPr>
          <w:rtl/>
        </w:rPr>
        <w:t xml:space="preserve">התפתחות הדין באנגליה בנושא הנחיות הענישה, ראו : רות קנאי "בין אמנות למדע : גזירת הדין כאומנות" </w:t>
      </w:r>
      <w:r>
        <w:rPr>
          <w:b/>
          <w:bCs/>
          <w:rtl/>
        </w:rPr>
        <w:t>עלי משפט</w:t>
      </w:r>
      <w:r>
        <w:rPr>
          <w:rtl/>
        </w:rPr>
        <w:t xml:space="preserve"> ח' (תש"ע) 217, 229 – 231. ראו גם : </w:t>
      </w:r>
    </w:p>
    <w:p w14:paraId="5764FA74" w14:textId="77777777" w:rsidR="00097756" w:rsidRDefault="00097756">
      <w:pPr>
        <w:spacing w:line="360" w:lineRule="auto"/>
        <w:ind w:left="708" w:hanging="850"/>
        <w:jc w:val="both"/>
        <w:rPr>
          <w:rtl/>
        </w:rPr>
      </w:pPr>
    </w:p>
    <w:p w14:paraId="57E9183E" w14:textId="77777777" w:rsidR="00097756" w:rsidRDefault="006942B9">
      <w:pPr>
        <w:spacing w:line="360" w:lineRule="auto"/>
        <w:jc w:val="both"/>
      </w:pPr>
      <w:r>
        <w:t xml:space="preserve">Andrew Ashworth </w:t>
      </w:r>
      <w:r>
        <w:rPr>
          <w:b/>
          <w:bCs/>
        </w:rPr>
        <w:t>Sentencing and Criminal Justice</w:t>
      </w:r>
      <w:r>
        <w:t xml:space="preserve"> (5</w:t>
      </w:r>
      <w:r>
        <w:rPr>
          <w:vertAlign w:val="superscript"/>
        </w:rPr>
        <w:t>th</w:t>
      </w:r>
      <w:r>
        <w:t xml:space="preserve"> edition,                                  </w:t>
      </w:r>
    </w:p>
    <w:p w14:paraId="2453F624" w14:textId="77777777" w:rsidR="00097756" w:rsidRDefault="006942B9">
      <w:pPr>
        <w:spacing w:line="360" w:lineRule="auto"/>
        <w:jc w:val="both"/>
        <w:rPr>
          <w:rtl/>
        </w:rPr>
      </w:pPr>
      <w:smartTag w:uri="urn:schemas-microsoft-com:office:smarttags" w:element="place">
        <w:smartTag w:uri="urn:schemas-microsoft-com:office:smarttags" w:element="PlaceName">
          <w:r>
            <w:t>Cambridge</w:t>
          </w:r>
        </w:smartTag>
        <w:r>
          <w:t xml:space="preserve"> </w:t>
        </w:r>
        <w:smartTag w:uri="urn:schemas-microsoft-com:office:smarttags" w:element="PlaceType">
          <w:r>
            <w:t>University</w:t>
          </w:r>
        </w:smartTag>
      </w:smartTag>
      <w:r>
        <w:t xml:space="preserve"> Press, 2010) pp. 51 – 65.                                                             </w:t>
      </w:r>
    </w:p>
    <w:p w14:paraId="441680F8" w14:textId="77777777" w:rsidR="00097756" w:rsidRDefault="006942B9">
      <w:pPr>
        <w:spacing w:line="360" w:lineRule="auto"/>
        <w:ind w:left="720" w:hanging="720"/>
        <w:jc w:val="both"/>
        <w:rPr>
          <w:rtl/>
        </w:rPr>
      </w:pPr>
      <w:r>
        <w:rPr>
          <w:rtl/>
        </w:rPr>
        <w:t>2</w:t>
      </w:r>
      <w:r>
        <w:rPr>
          <w:rFonts w:hint="cs"/>
          <w:rtl/>
        </w:rPr>
        <w:t>6</w:t>
      </w:r>
      <w:r>
        <w:rPr>
          <w:rtl/>
        </w:rPr>
        <w:t>.</w:t>
      </w:r>
      <w:r>
        <w:rPr>
          <w:rtl/>
        </w:rPr>
        <w:tab/>
      </w:r>
      <w:r>
        <w:rPr>
          <w:rFonts w:hint="cs"/>
          <w:rtl/>
        </w:rPr>
        <w:t>כמו בדין האנגלי, תיקון 113 ל</w:t>
      </w:r>
      <w:hyperlink r:id="rId40" w:history="1">
        <w:r w:rsidR="00C23558" w:rsidRPr="00C23558">
          <w:rPr>
            <w:rStyle w:val="Hyperlink"/>
            <w:rFonts w:cs="David"/>
            <w:rtl/>
          </w:rPr>
          <w:t>חוק העונשין</w:t>
        </w:r>
      </w:hyperlink>
      <w:r>
        <w:rPr>
          <w:rFonts w:hint="cs"/>
          <w:rtl/>
        </w:rPr>
        <w:t xml:space="preserve"> מטרתו להביא </w:t>
      </w:r>
      <w:r>
        <w:rPr>
          <w:rFonts w:hint="cs"/>
          <w:b/>
          <w:bCs/>
          <w:rtl/>
        </w:rPr>
        <w:t xml:space="preserve">לאחידות בדרך קביעת העונש, ולא לתוצאות ענישה אחידות </w:t>
      </w:r>
      <w:r>
        <w:rPr>
          <w:rFonts w:hint="cs"/>
          <w:rtl/>
        </w:rPr>
        <w:t xml:space="preserve">(ראו דברי ההסבר להצעת חוק העונשין תיקון (92) (הבניית שיקול הדעת השיפוטי בענישה) התשס"ו </w:t>
      </w:r>
      <w:r>
        <w:rPr>
          <w:rtl/>
        </w:rPr>
        <w:t>–</w:t>
      </w:r>
      <w:r>
        <w:rPr>
          <w:rFonts w:hint="cs"/>
          <w:rtl/>
        </w:rPr>
        <w:t xml:space="preserve"> 2006 (הצ"ח 241, טז' בסיון התשס"ו, 12 ביוני 2006, עמ' 446)).</w:t>
      </w:r>
    </w:p>
    <w:p w14:paraId="2E5E8548" w14:textId="77777777" w:rsidR="00097756" w:rsidRDefault="00097756">
      <w:pPr>
        <w:spacing w:line="360" w:lineRule="auto"/>
        <w:jc w:val="both"/>
        <w:rPr>
          <w:rtl/>
        </w:rPr>
      </w:pPr>
    </w:p>
    <w:p w14:paraId="7B2BF72A" w14:textId="77777777" w:rsidR="00097756" w:rsidRDefault="006942B9">
      <w:pPr>
        <w:tabs>
          <w:tab w:val="left" w:pos="6585"/>
        </w:tabs>
        <w:spacing w:line="360" w:lineRule="auto"/>
        <w:jc w:val="both"/>
        <w:rPr>
          <w:sz w:val="28"/>
          <w:szCs w:val="28"/>
          <w:u w:val="single"/>
          <w:rtl/>
        </w:rPr>
      </w:pPr>
      <w:r>
        <w:rPr>
          <w:sz w:val="28"/>
          <w:szCs w:val="28"/>
          <w:u w:val="single"/>
          <w:rtl/>
        </w:rPr>
        <w:t xml:space="preserve">חומרת העבירה תיקבע על פי </w:t>
      </w:r>
      <w:r>
        <w:rPr>
          <w:rFonts w:hint="cs"/>
          <w:sz w:val="28"/>
          <w:szCs w:val="28"/>
          <w:u w:val="single"/>
          <w:rtl/>
        </w:rPr>
        <w:t>"</w:t>
      </w:r>
      <w:r>
        <w:rPr>
          <w:sz w:val="28"/>
          <w:szCs w:val="28"/>
          <w:u w:val="single"/>
          <w:rtl/>
        </w:rPr>
        <w:t>מידת האשם</w:t>
      </w:r>
      <w:r>
        <w:rPr>
          <w:rFonts w:hint="cs"/>
          <w:sz w:val="28"/>
          <w:szCs w:val="28"/>
          <w:u w:val="single"/>
          <w:rtl/>
        </w:rPr>
        <w:t>"</w:t>
      </w:r>
      <w:r>
        <w:rPr>
          <w:sz w:val="28"/>
          <w:szCs w:val="28"/>
          <w:u w:val="single"/>
          <w:rtl/>
        </w:rPr>
        <w:t xml:space="preserve"> בביצוע העבירה ו</w:t>
      </w:r>
      <w:r>
        <w:rPr>
          <w:rFonts w:hint="cs"/>
          <w:sz w:val="28"/>
          <w:szCs w:val="28"/>
          <w:u w:val="single"/>
          <w:rtl/>
        </w:rPr>
        <w:t>"</w:t>
      </w:r>
      <w:r>
        <w:rPr>
          <w:sz w:val="28"/>
          <w:szCs w:val="28"/>
          <w:u w:val="single"/>
          <w:rtl/>
        </w:rPr>
        <w:t>מידת הנזק</w:t>
      </w:r>
      <w:r>
        <w:rPr>
          <w:rFonts w:hint="cs"/>
          <w:sz w:val="28"/>
          <w:szCs w:val="28"/>
          <w:u w:val="single"/>
          <w:rtl/>
        </w:rPr>
        <w:t>"</w:t>
      </w:r>
    </w:p>
    <w:p w14:paraId="60B6088E" w14:textId="77777777" w:rsidR="00097756" w:rsidRDefault="00097756">
      <w:pPr>
        <w:spacing w:line="360" w:lineRule="auto"/>
        <w:jc w:val="both"/>
        <w:rPr>
          <w:rtl/>
        </w:rPr>
      </w:pPr>
    </w:p>
    <w:p w14:paraId="42732AFE" w14:textId="77777777" w:rsidR="00097756" w:rsidRDefault="006942B9">
      <w:pPr>
        <w:spacing w:line="360" w:lineRule="auto"/>
        <w:ind w:left="720" w:hanging="720"/>
        <w:jc w:val="both"/>
        <w:rPr>
          <w:rtl/>
        </w:rPr>
      </w:pPr>
      <w:r>
        <w:rPr>
          <w:rFonts w:hint="cs"/>
          <w:rtl/>
        </w:rPr>
        <w:t>27</w:t>
      </w:r>
      <w:r>
        <w:rPr>
          <w:rtl/>
        </w:rPr>
        <w:t>.</w:t>
      </w:r>
      <w:r>
        <w:rPr>
          <w:rtl/>
        </w:rPr>
        <w:tab/>
        <w:t xml:space="preserve">בדין האנגלי בסעיף 143(1) לחוק הנקרא </w:t>
      </w:r>
      <w:r>
        <w:rPr>
          <w:b/>
          <w:bCs/>
          <w:rtl/>
        </w:rPr>
        <w:t xml:space="preserve"> </w:t>
      </w:r>
      <w:r>
        <w:rPr>
          <w:b/>
          <w:bCs/>
        </w:rPr>
        <w:t>Criminal Justice Act 2003</w:t>
      </w:r>
      <w:r>
        <w:rPr>
          <w:rFonts w:hint="cs"/>
          <w:rtl/>
        </w:rPr>
        <w:t>,</w:t>
      </w:r>
      <w:r>
        <w:rPr>
          <w:rtl/>
        </w:rPr>
        <w:t xml:space="preserve"> נקבע כדלקמן : </w:t>
      </w:r>
    </w:p>
    <w:p w14:paraId="57453255" w14:textId="77777777" w:rsidR="00097756" w:rsidRDefault="00097756">
      <w:pPr>
        <w:spacing w:line="360" w:lineRule="auto"/>
        <w:jc w:val="both"/>
        <w:rPr>
          <w:rtl/>
        </w:rPr>
      </w:pPr>
    </w:p>
    <w:p w14:paraId="14A8BB7A" w14:textId="77777777" w:rsidR="00097756" w:rsidRDefault="006942B9">
      <w:pPr>
        <w:bidi w:val="0"/>
        <w:spacing w:line="360" w:lineRule="auto"/>
        <w:ind w:right="2006"/>
        <w:jc w:val="both"/>
      </w:pPr>
      <w:r>
        <w:t>“In considering the</w:t>
      </w:r>
      <w:r>
        <w:rPr>
          <w:b/>
          <w:bCs/>
        </w:rPr>
        <w:t xml:space="preserve"> seriousness </w:t>
      </w:r>
      <w:r>
        <w:t xml:space="preserve">of any offence, the court must consider the offender’s </w:t>
      </w:r>
      <w:r>
        <w:rPr>
          <w:b/>
          <w:bCs/>
        </w:rPr>
        <w:t>culpability in committing the offence</w:t>
      </w:r>
      <w:r>
        <w:t xml:space="preserve"> and any </w:t>
      </w:r>
      <w:r>
        <w:rPr>
          <w:b/>
          <w:bCs/>
        </w:rPr>
        <w:t>harm</w:t>
      </w:r>
      <w:r>
        <w:t xml:space="preserve"> which the offence caused, was intended to cause or might foreseeably have caused.” </w:t>
      </w:r>
    </w:p>
    <w:p w14:paraId="282CED92" w14:textId="77777777" w:rsidR="00097756" w:rsidRDefault="006942B9">
      <w:pPr>
        <w:spacing w:line="360" w:lineRule="auto"/>
        <w:jc w:val="both"/>
        <w:rPr>
          <w:rtl/>
        </w:rPr>
      </w:pPr>
      <w:r>
        <w:rPr>
          <w:rtl/>
        </w:rPr>
        <w:tab/>
      </w:r>
      <w:r>
        <w:rPr>
          <w:rtl/>
        </w:rPr>
        <w:tab/>
      </w:r>
      <w:r>
        <w:rPr>
          <w:rtl/>
        </w:rPr>
        <w:tab/>
      </w:r>
      <w:r>
        <w:rPr>
          <w:rtl/>
        </w:rPr>
        <w:tab/>
        <w:t xml:space="preserve">(ההדגשה לא במקור) </w:t>
      </w:r>
    </w:p>
    <w:p w14:paraId="5EA2C0FF" w14:textId="77777777" w:rsidR="00097756" w:rsidRDefault="00097756">
      <w:pPr>
        <w:spacing w:line="360" w:lineRule="auto"/>
        <w:jc w:val="both"/>
        <w:rPr>
          <w:rtl/>
        </w:rPr>
      </w:pPr>
    </w:p>
    <w:p w14:paraId="24D2D101" w14:textId="77777777" w:rsidR="00097756" w:rsidRDefault="006942B9">
      <w:pPr>
        <w:spacing w:line="360" w:lineRule="auto"/>
        <w:ind w:left="720" w:hanging="720"/>
        <w:jc w:val="both"/>
        <w:rPr>
          <w:rtl/>
        </w:rPr>
      </w:pPr>
      <w:r>
        <w:rPr>
          <w:rFonts w:hint="cs"/>
          <w:rtl/>
        </w:rPr>
        <w:t>28.</w:t>
      </w:r>
      <w:r>
        <w:rPr>
          <w:rFonts w:hint="cs"/>
          <w:rtl/>
        </w:rPr>
        <w:tab/>
      </w:r>
      <w:r>
        <w:rPr>
          <w:rtl/>
        </w:rPr>
        <w:t xml:space="preserve">ניתן לעיין בנוסח המעודכן של החוק </w:t>
      </w:r>
      <w:r>
        <w:rPr>
          <w:rFonts w:hint="cs"/>
          <w:rtl/>
        </w:rPr>
        <w:t xml:space="preserve">הנ"ל </w:t>
      </w:r>
      <w:r>
        <w:rPr>
          <w:rtl/>
        </w:rPr>
        <w:t xml:space="preserve">באתר שלהלן: </w:t>
      </w:r>
      <w:r w:rsidRPr="00A45930">
        <w:rPr>
          <w:rFonts w:cs="Times New Roman"/>
          <w:color w:val="000000"/>
        </w:rPr>
        <w:t>www.legislation.gov.uk</w:t>
      </w:r>
      <w:r>
        <w:t xml:space="preserve">. </w:t>
      </w:r>
      <w:r>
        <w:rPr>
          <w:rFonts w:hint="cs"/>
          <w:rtl/>
        </w:rPr>
        <w:t xml:space="preserve"> על מנת לבאר את אופן יישומו של הסעיף הנ"ל, </w:t>
      </w:r>
      <w:r>
        <w:rPr>
          <w:rtl/>
        </w:rPr>
        <w:t xml:space="preserve">המועצה (באחד מגלגוליה הקודמים) פרסמה הנחיות ענישה כלליות (שהינן בתוקף עד היום) ואשר חלות על כל סוגי העבירות בנוגע לאופן הגדרת חומרתה של עבירה </w:t>
      </w:r>
      <w:r>
        <w:rPr>
          <w:rFonts w:hint="cs"/>
          <w:rtl/>
        </w:rPr>
        <w:t>(</w:t>
      </w:r>
      <w:r>
        <w:t>seriousness of the offence</w:t>
      </w:r>
      <w:r>
        <w:rPr>
          <w:rFonts w:hint="cs"/>
          <w:rtl/>
        </w:rPr>
        <w:t xml:space="preserve">). הנחיות אלה באות להבהיר את היחס שבין שני </w:t>
      </w:r>
      <w:r>
        <w:rPr>
          <w:rtl/>
        </w:rPr>
        <w:t>ה</w:t>
      </w:r>
      <w:r>
        <w:rPr>
          <w:rFonts w:hint="cs"/>
          <w:rtl/>
        </w:rPr>
        <w:t xml:space="preserve">פרמטרים </w:t>
      </w:r>
      <w:r>
        <w:rPr>
          <w:rtl/>
        </w:rPr>
        <w:t>המנחים</w:t>
      </w:r>
      <w:r>
        <w:rPr>
          <w:rFonts w:hint="cs"/>
          <w:rtl/>
        </w:rPr>
        <w:t xml:space="preserve"> בקביעת חומרת העבירה והם "</w:t>
      </w:r>
      <w:r>
        <w:rPr>
          <w:rtl/>
        </w:rPr>
        <w:t>האשם</w:t>
      </w:r>
      <w:r>
        <w:rPr>
          <w:rFonts w:hint="cs"/>
          <w:rtl/>
        </w:rPr>
        <w:t xml:space="preserve">" </w:t>
      </w:r>
      <w:r>
        <w:t>(culpability)</w:t>
      </w:r>
      <w:r>
        <w:rPr>
          <w:rtl/>
        </w:rPr>
        <w:t xml:space="preserve"> בביצוע העבירה ו</w:t>
      </w:r>
      <w:r>
        <w:rPr>
          <w:rFonts w:hint="cs"/>
          <w:rtl/>
        </w:rPr>
        <w:t>"</w:t>
      </w:r>
      <w:r>
        <w:rPr>
          <w:rtl/>
        </w:rPr>
        <w:t>הנזק</w:t>
      </w:r>
      <w:r>
        <w:rPr>
          <w:rFonts w:hint="cs"/>
          <w:rtl/>
        </w:rPr>
        <w:t xml:space="preserve">" </w:t>
      </w:r>
      <w:r>
        <w:t>(harm)</w:t>
      </w:r>
      <w:r>
        <w:rPr>
          <w:rtl/>
        </w:rPr>
        <w:t xml:space="preserve"> שנגרם או </w:t>
      </w:r>
      <w:r>
        <w:rPr>
          <w:rFonts w:hint="cs"/>
          <w:rtl/>
        </w:rPr>
        <w:t xml:space="preserve">שהיתה כוונה לגרום להתרחשותו או שהיה צפוי להיגרם מביצוע העבירה. </w:t>
      </w:r>
      <w:r>
        <w:rPr>
          <w:rtl/>
        </w:rPr>
        <w:t>הנחיות אלה נקראות</w:t>
      </w:r>
      <w:r>
        <w:rPr>
          <w:rFonts w:hint="cs"/>
          <w:rtl/>
        </w:rPr>
        <w:t xml:space="preserve">: </w:t>
      </w:r>
    </w:p>
    <w:p w14:paraId="46A8C916" w14:textId="77777777" w:rsidR="00097756" w:rsidRDefault="006942B9">
      <w:pPr>
        <w:spacing w:line="360" w:lineRule="auto"/>
        <w:ind w:left="720"/>
        <w:jc w:val="both"/>
        <w:rPr>
          <w:rtl/>
        </w:rPr>
      </w:pPr>
      <w:r>
        <w:rPr>
          <w:rtl/>
        </w:rPr>
        <w:t xml:space="preserve"> </w:t>
      </w:r>
      <w:r>
        <w:rPr>
          <w:b/>
          <w:bCs/>
        </w:rPr>
        <w:t>Overarching Principles : Seriousness</w:t>
      </w:r>
      <w:r>
        <w:rPr>
          <w:rtl/>
        </w:rPr>
        <w:t xml:space="preserve"> (להלן: </w:t>
      </w:r>
      <w:r>
        <w:rPr>
          <w:b/>
          <w:bCs/>
          <w:rtl/>
        </w:rPr>
        <w:t>ההנחיות להגדרת חומרת העבירה</w:t>
      </w:r>
      <w:r>
        <w:rPr>
          <w:rtl/>
        </w:rPr>
        <w:t xml:space="preserve">). </w:t>
      </w:r>
      <w:r>
        <w:rPr>
          <w:rFonts w:hint="cs"/>
          <w:rtl/>
        </w:rPr>
        <w:t xml:space="preserve">ההנחיות פורסמו בשנת 2004 ועודכנו בשנת 2007. </w:t>
      </w:r>
      <w:r>
        <w:rPr>
          <w:rtl/>
        </w:rPr>
        <w:t xml:space="preserve">ניתן למצוא את ההנחיות באתר האינטרנט של המועצה בכתובת שלהלן : </w:t>
      </w:r>
      <w:r w:rsidRPr="00A45930">
        <w:rPr>
          <w:rFonts w:cs="Times New Roman"/>
          <w:color w:val="000000"/>
        </w:rPr>
        <w:t>www.sentencingcouncil.judiciary.gov.uk</w:t>
      </w:r>
      <w:r>
        <w:t>.</w:t>
      </w:r>
      <w:r>
        <w:rPr>
          <w:rtl/>
        </w:rPr>
        <w:t xml:space="preserve"> </w:t>
      </w:r>
    </w:p>
    <w:p w14:paraId="543733E6" w14:textId="77777777" w:rsidR="00097756" w:rsidRDefault="00097756">
      <w:pPr>
        <w:spacing w:line="360" w:lineRule="auto"/>
        <w:ind w:left="720"/>
        <w:jc w:val="both"/>
        <w:rPr>
          <w:rtl/>
        </w:rPr>
      </w:pPr>
    </w:p>
    <w:p w14:paraId="64CECF67" w14:textId="77777777" w:rsidR="00097756" w:rsidRDefault="006942B9">
      <w:pPr>
        <w:spacing w:line="360" w:lineRule="auto"/>
        <w:jc w:val="both"/>
        <w:rPr>
          <w:sz w:val="28"/>
          <w:szCs w:val="28"/>
          <w:u w:val="single"/>
          <w:rtl/>
        </w:rPr>
      </w:pPr>
      <w:r>
        <w:rPr>
          <w:rFonts w:hint="cs"/>
          <w:sz w:val="28"/>
          <w:szCs w:val="28"/>
          <w:u w:val="single"/>
          <w:rtl/>
        </w:rPr>
        <w:t>קביעת מידת האשם לפי מצבו הנפשי של הנאשם ביחס לנזק</w:t>
      </w:r>
    </w:p>
    <w:p w14:paraId="6CF77BE1" w14:textId="77777777" w:rsidR="00097756" w:rsidRDefault="00097756">
      <w:pPr>
        <w:spacing w:line="360" w:lineRule="auto"/>
        <w:ind w:left="720"/>
        <w:jc w:val="both"/>
        <w:rPr>
          <w:sz w:val="28"/>
          <w:szCs w:val="28"/>
          <w:rtl/>
        </w:rPr>
      </w:pPr>
    </w:p>
    <w:p w14:paraId="6D58624B" w14:textId="77777777" w:rsidR="00097756" w:rsidRDefault="006942B9">
      <w:pPr>
        <w:spacing w:line="360" w:lineRule="auto"/>
        <w:jc w:val="both"/>
        <w:rPr>
          <w:rtl/>
        </w:rPr>
      </w:pPr>
      <w:r>
        <w:rPr>
          <w:rFonts w:hint="cs"/>
          <w:rtl/>
        </w:rPr>
        <w:t>29.</w:t>
      </w:r>
      <w:r>
        <w:rPr>
          <w:rFonts w:hint="cs"/>
          <w:rtl/>
        </w:rPr>
        <w:tab/>
      </w:r>
      <w:r>
        <w:rPr>
          <w:rtl/>
        </w:rPr>
        <w:t>בסעיפים 1.6 ו- 1.7 להנחיות להגדרת חומרת העבירה נקבע כדלקמן:</w:t>
      </w:r>
    </w:p>
    <w:p w14:paraId="72BFC550" w14:textId="77777777" w:rsidR="00097756" w:rsidRDefault="00097756">
      <w:pPr>
        <w:spacing w:line="360" w:lineRule="auto"/>
        <w:jc w:val="both"/>
        <w:rPr>
          <w:rtl/>
        </w:rPr>
      </w:pPr>
    </w:p>
    <w:p w14:paraId="420187D2" w14:textId="77777777" w:rsidR="00097756" w:rsidRDefault="00097756">
      <w:pPr>
        <w:spacing w:line="360" w:lineRule="auto"/>
        <w:jc w:val="both"/>
        <w:rPr>
          <w:rtl/>
        </w:rPr>
      </w:pPr>
    </w:p>
    <w:p w14:paraId="4FC46392" w14:textId="77777777" w:rsidR="00097756" w:rsidRDefault="006942B9">
      <w:pPr>
        <w:pStyle w:val="aa"/>
        <w:rPr>
          <w:rFonts w:cs="David"/>
        </w:rPr>
      </w:pPr>
      <w:r>
        <w:rPr>
          <w:rFonts w:cs="David"/>
        </w:rPr>
        <w:t xml:space="preserve">“1.6.    Four levels of criminal culpability can be identified for   </w:t>
      </w:r>
    </w:p>
    <w:p w14:paraId="3C2CC18A" w14:textId="77777777" w:rsidR="00097756" w:rsidRDefault="006942B9">
      <w:pPr>
        <w:pStyle w:val="aa"/>
        <w:rPr>
          <w:rFonts w:cs="David"/>
        </w:rPr>
      </w:pPr>
      <w:r>
        <w:rPr>
          <w:rFonts w:cs="David"/>
        </w:rPr>
        <w:t xml:space="preserve">            sentencing purposes.</w:t>
      </w:r>
    </w:p>
    <w:p w14:paraId="1C099B62" w14:textId="77777777" w:rsidR="00097756" w:rsidRDefault="006942B9">
      <w:pPr>
        <w:pStyle w:val="aa"/>
        <w:rPr>
          <w:rFonts w:cs="David"/>
        </w:rPr>
      </w:pPr>
      <w:r>
        <w:rPr>
          <w:rFonts w:cs="David"/>
        </w:rPr>
        <w:t xml:space="preserve"> </w:t>
      </w:r>
    </w:p>
    <w:p w14:paraId="379AC6AF" w14:textId="77777777" w:rsidR="00097756" w:rsidRDefault="006942B9">
      <w:pPr>
        <w:numPr>
          <w:ilvl w:val="1"/>
          <w:numId w:val="4"/>
        </w:numPr>
        <w:tabs>
          <w:tab w:val="right" w:pos="6300"/>
        </w:tabs>
        <w:bidi w:val="0"/>
        <w:spacing w:line="360" w:lineRule="auto"/>
        <w:ind w:right="2006"/>
        <w:jc w:val="both"/>
      </w:pPr>
      <w:r>
        <w:t xml:space="preserve">Where the offender : </w:t>
      </w:r>
    </w:p>
    <w:p w14:paraId="47C4F75F" w14:textId="77777777" w:rsidR="00097756" w:rsidRDefault="006942B9">
      <w:pPr>
        <w:numPr>
          <w:ilvl w:val="0"/>
          <w:numId w:val="5"/>
        </w:numPr>
        <w:tabs>
          <w:tab w:val="right" w:pos="6300"/>
        </w:tabs>
        <w:bidi w:val="0"/>
        <w:spacing w:line="360" w:lineRule="auto"/>
        <w:ind w:right="2006"/>
        <w:jc w:val="both"/>
      </w:pPr>
      <w:r>
        <w:t xml:space="preserve">has the </w:t>
      </w:r>
      <w:r>
        <w:rPr>
          <w:b/>
          <w:bCs/>
        </w:rPr>
        <w:t>intention</w:t>
      </w:r>
      <w:r>
        <w:t xml:space="preserve">, with the highest culpability when an offence is planned. The worse the harm intended, the greater the seriousness . </w:t>
      </w:r>
    </w:p>
    <w:p w14:paraId="6A52E282" w14:textId="77777777" w:rsidR="00097756" w:rsidRDefault="006942B9">
      <w:pPr>
        <w:numPr>
          <w:ilvl w:val="0"/>
          <w:numId w:val="5"/>
        </w:numPr>
        <w:tabs>
          <w:tab w:val="right" w:pos="6300"/>
        </w:tabs>
        <w:bidi w:val="0"/>
        <w:spacing w:line="360" w:lineRule="auto"/>
        <w:ind w:right="2006"/>
        <w:jc w:val="both"/>
      </w:pPr>
      <w:r>
        <w:t xml:space="preserve">is </w:t>
      </w:r>
      <w:r>
        <w:rPr>
          <w:b/>
          <w:bCs/>
        </w:rPr>
        <w:t>reckless</w:t>
      </w:r>
      <w:r>
        <w:t xml:space="preserve"> as to whether the harm is caused, that is, where the offender appreciates at least some harm would be caused but proceeds giving no thought to the consequences even though the extent of the risk would be obvious to most people. </w:t>
      </w:r>
    </w:p>
    <w:p w14:paraId="08C87DC1" w14:textId="77777777" w:rsidR="00097756" w:rsidRDefault="006942B9">
      <w:pPr>
        <w:numPr>
          <w:ilvl w:val="0"/>
          <w:numId w:val="5"/>
        </w:numPr>
        <w:tabs>
          <w:tab w:val="right" w:pos="6300"/>
        </w:tabs>
        <w:bidi w:val="0"/>
        <w:spacing w:line="360" w:lineRule="auto"/>
        <w:ind w:right="2006"/>
        <w:jc w:val="both"/>
      </w:pPr>
      <w:r>
        <w:t xml:space="preserve">has </w:t>
      </w:r>
      <w:r>
        <w:rPr>
          <w:b/>
          <w:bCs/>
        </w:rPr>
        <w:t>knowledge</w:t>
      </w:r>
      <w:r>
        <w:t xml:space="preserve"> of the specific risks entailed by his actions even though he does not intend to cause the harm that results. </w:t>
      </w:r>
    </w:p>
    <w:p w14:paraId="0E8D1781" w14:textId="77777777" w:rsidR="00097756" w:rsidRDefault="006942B9">
      <w:pPr>
        <w:numPr>
          <w:ilvl w:val="0"/>
          <w:numId w:val="5"/>
        </w:numPr>
        <w:tabs>
          <w:tab w:val="right" w:pos="6300"/>
        </w:tabs>
        <w:bidi w:val="0"/>
        <w:spacing w:line="360" w:lineRule="auto"/>
        <w:ind w:right="2006"/>
        <w:jc w:val="both"/>
      </w:pPr>
      <w:r>
        <w:t xml:space="preserve">is guilty of </w:t>
      </w:r>
      <w:r>
        <w:rPr>
          <w:b/>
          <w:bCs/>
        </w:rPr>
        <w:t>negligence</w:t>
      </w:r>
      <w:r>
        <w:t>.</w:t>
      </w:r>
      <w:r>
        <w:tab/>
      </w:r>
      <w:r>
        <w:tab/>
      </w:r>
    </w:p>
    <w:p w14:paraId="55CB60CA" w14:textId="77777777" w:rsidR="00097756" w:rsidRDefault="00097756">
      <w:pPr>
        <w:tabs>
          <w:tab w:val="right" w:pos="6300"/>
        </w:tabs>
        <w:bidi w:val="0"/>
        <w:spacing w:line="360" w:lineRule="auto"/>
        <w:ind w:left="780" w:right="2006"/>
        <w:jc w:val="both"/>
      </w:pPr>
    </w:p>
    <w:p w14:paraId="764D16AC" w14:textId="77777777" w:rsidR="00097756" w:rsidRDefault="006942B9">
      <w:pPr>
        <w:tabs>
          <w:tab w:val="right" w:pos="6300"/>
        </w:tabs>
        <w:bidi w:val="0"/>
        <w:spacing w:line="360" w:lineRule="auto"/>
        <w:ind w:left="780" w:right="2006"/>
        <w:jc w:val="both"/>
      </w:pPr>
      <w:r>
        <w:t xml:space="preserve">Note : There are offences where liability is strict and no culpability need be proved for the purposes of obtaining a conviction, but the degree of culpability is still important when deciding sentence. The extent to which recklessness, knowledge or negligence are involved in a particular offence will vary.” </w:t>
      </w:r>
    </w:p>
    <w:p w14:paraId="066BB6E7" w14:textId="77777777" w:rsidR="00097756" w:rsidRDefault="00097756">
      <w:pPr>
        <w:spacing w:line="360" w:lineRule="auto"/>
        <w:jc w:val="both"/>
        <w:rPr>
          <w:rtl/>
        </w:rPr>
      </w:pPr>
    </w:p>
    <w:p w14:paraId="6D547D7A" w14:textId="77777777" w:rsidR="00097756" w:rsidRDefault="006942B9">
      <w:pPr>
        <w:spacing w:line="360" w:lineRule="auto"/>
        <w:jc w:val="both"/>
        <w:rPr>
          <w:rtl/>
        </w:rPr>
      </w:pPr>
      <w:r>
        <w:rPr>
          <w:rtl/>
        </w:rPr>
        <w:t xml:space="preserve">                                                                                   (ההדגשה במקור) </w:t>
      </w:r>
    </w:p>
    <w:p w14:paraId="5D5EAF0C" w14:textId="77777777" w:rsidR="00097756" w:rsidRDefault="00097756">
      <w:pPr>
        <w:spacing w:line="360" w:lineRule="auto"/>
        <w:jc w:val="both"/>
        <w:rPr>
          <w:rtl/>
        </w:rPr>
      </w:pPr>
    </w:p>
    <w:p w14:paraId="146E57C6" w14:textId="77777777" w:rsidR="00097756" w:rsidRDefault="006942B9">
      <w:pPr>
        <w:spacing w:line="360" w:lineRule="auto"/>
        <w:ind w:left="720" w:hanging="720"/>
        <w:jc w:val="both"/>
        <w:rPr>
          <w:rtl/>
        </w:rPr>
      </w:pPr>
      <w:r>
        <w:rPr>
          <w:rFonts w:hint="cs"/>
          <w:rtl/>
        </w:rPr>
        <w:t>30</w:t>
      </w:r>
      <w:r>
        <w:rPr>
          <w:rtl/>
        </w:rPr>
        <w:t>.</w:t>
      </w:r>
      <w:r>
        <w:rPr>
          <w:rtl/>
        </w:rPr>
        <w:tab/>
        <w:t>יוצא מכך, שקיימת חשיבות בעת קביעת מידת האשם בביצוע העבירה למצב הנפשי של הנאשם ב</w:t>
      </w:r>
      <w:r>
        <w:rPr>
          <w:rFonts w:hint="cs"/>
          <w:rtl/>
        </w:rPr>
        <w:t>יחס לנזק</w:t>
      </w:r>
      <w:r>
        <w:rPr>
          <w:rtl/>
        </w:rPr>
        <w:t>. אם העבירה בוצעה מתוך "</w:t>
      </w:r>
      <w:r>
        <w:rPr>
          <w:b/>
          <w:bCs/>
          <w:rtl/>
        </w:rPr>
        <w:t>כוונה</w:t>
      </w:r>
      <w:r>
        <w:rPr>
          <w:rtl/>
        </w:rPr>
        <w:t xml:space="preserve">" לגרום את הנזק, הדבר יראה כאשם בדרגה הגבוהה ביותר שלו. </w:t>
      </w:r>
      <w:r>
        <w:rPr>
          <w:rFonts w:hint="cs"/>
          <w:rtl/>
        </w:rPr>
        <w:t xml:space="preserve">ככל שהנאשם רצה לגרום לנזק גדול יותר, אזי חומרת העבירה תהיה בהתאם. דרגה </w:t>
      </w:r>
      <w:r>
        <w:rPr>
          <w:rtl/>
        </w:rPr>
        <w:t>נמוכה יותר של אשם היא בעת שהעבירה בוצעה במצב דברים של "</w:t>
      </w:r>
      <w:r>
        <w:rPr>
          <w:rFonts w:hint="cs"/>
          <w:b/>
          <w:bCs/>
          <w:rtl/>
        </w:rPr>
        <w:t>פזיזות</w:t>
      </w:r>
      <w:r>
        <w:rPr>
          <w:b/>
          <w:bCs/>
          <w:rtl/>
        </w:rPr>
        <w:t xml:space="preserve"> או קלות דעת</w:t>
      </w:r>
      <w:r>
        <w:rPr>
          <w:rtl/>
        </w:rPr>
        <w:t>" ל</w:t>
      </w:r>
      <w:r>
        <w:rPr>
          <w:rFonts w:hint="cs"/>
          <w:rtl/>
        </w:rPr>
        <w:t>גבי ה</w:t>
      </w:r>
      <w:r>
        <w:rPr>
          <w:rtl/>
        </w:rPr>
        <w:t>אפשרות שייגרם נזק מביצוע. לאחר מכן, ישנה דרגת אשם נמוכה יותר שנובעת מ-"</w:t>
      </w:r>
      <w:r>
        <w:rPr>
          <w:b/>
          <w:bCs/>
          <w:rtl/>
        </w:rPr>
        <w:t>ידיעה</w:t>
      </w:r>
      <w:r>
        <w:rPr>
          <w:rtl/>
        </w:rPr>
        <w:t>" של הסיכונים הנלווים למעשים שבוצעו ע</w:t>
      </w:r>
      <w:r>
        <w:rPr>
          <w:rFonts w:hint="cs"/>
          <w:rtl/>
        </w:rPr>
        <w:t>ל ידי</w:t>
      </w:r>
      <w:r>
        <w:rPr>
          <w:rtl/>
        </w:rPr>
        <w:t xml:space="preserve"> הנאשם גם אם אין כוונה לגרום לנזק שנגרם בפועל או שהיה צפוי להיגרם. דרגת האשם הנמוכה ביותר היא של</w:t>
      </w:r>
      <w:r>
        <w:rPr>
          <w:b/>
          <w:bCs/>
          <w:rtl/>
        </w:rPr>
        <w:t xml:space="preserve"> </w:t>
      </w:r>
      <w:r>
        <w:rPr>
          <w:rFonts w:hint="cs"/>
          <w:b/>
          <w:bCs/>
          <w:rtl/>
        </w:rPr>
        <w:t>"</w:t>
      </w:r>
      <w:r>
        <w:rPr>
          <w:b/>
          <w:bCs/>
          <w:rtl/>
        </w:rPr>
        <w:t>רשלנות</w:t>
      </w:r>
      <w:r>
        <w:rPr>
          <w:rFonts w:hint="cs"/>
          <w:b/>
          <w:bCs/>
          <w:rtl/>
        </w:rPr>
        <w:t>"</w:t>
      </w:r>
      <w:r>
        <w:rPr>
          <w:rtl/>
        </w:rPr>
        <w:t xml:space="preserve">. גם במקרים שבהם מדובר בעבירה של אחריות קפידה, עדיין יש חובה לבחון את מידת האשם בביצוע העבירה בעת קביעת גזר הדין. כמו כן, "עוצמת" </w:t>
      </w:r>
      <w:r>
        <w:rPr>
          <w:rFonts w:hint="cs"/>
          <w:rtl/>
        </w:rPr>
        <w:t xml:space="preserve">הפזיזות, </w:t>
      </w:r>
      <w:r>
        <w:rPr>
          <w:rtl/>
        </w:rPr>
        <w:t xml:space="preserve">הידיעה </w:t>
      </w:r>
      <w:r>
        <w:rPr>
          <w:rFonts w:hint="cs"/>
          <w:rtl/>
        </w:rPr>
        <w:t>א</w:t>
      </w:r>
      <w:r>
        <w:rPr>
          <w:rtl/>
        </w:rPr>
        <w:t>ו</w:t>
      </w:r>
      <w:r>
        <w:rPr>
          <w:rFonts w:hint="cs"/>
          <w:rtl/>
        </w:rPr>
        <w:t xml:space="preserve"> </w:t>
      </w:r>
      <w:r>
        <w:rPr>
          <w:rtl/>
        </w:rPr>
        <w:t xml:space="preserve">הרשלנות, יכולה להשתנות ממקרה למקרה. </w:t>
      </w:r>
    </w:p>
    <w:p w14:paraId="6829F66F" w14:textId="77777777" w:rsidR="00097756" w:rsidRDefault="00097756">
      <w:pPr>
        <w:spacing w:line="360" w:lineRule="auto"/>
        <w:jc w:val="both"/>
        <w:rPr>
          <w:rtl/>
        </w:rPr>
      </w:pPr>
    </w:p>
    <w:p w14:paraId="2CDFE04F" w14:textId="77777777" w:rsidR="00097756" w:rsidRDefault="006942B9">
      <w:pPr>
        <w:spacing w:line="360" w:lineRule="auto"/>
        <w:jc w:val="both"/>
        <w:rPr>
          <w:sz w:val="28"/>
          <w:szCs w:val="28"/>
          <w:u w:val="single"/>
          <w:rtl/>
        </w:rPr>
      </w:pPr>
      <w:r>
        <w:rPr>
          <w:rFonts w:hint="cs"/>
          <w:sz w:val="28"/>
          <w:szCs w:val="28"/>
          <w:u w:val="single"/>
          <w:rtl/>
        </w:rPr>
        <w:t xml:space="preserve">מידת האשם בעבירה של ייבוא סמים תיקבע לפי "התפקיד" בשרשרת הפצת הסם </w:t>
      </w:r>
    </w:p>
    <w:p w14:paraId="23AD0454" w14:textId="77777777" w:rsidR="00097756" w:rsidRDefault="006942B9">
      <w:pPr>
        <w:spacing w:line="360" w:lineRule="auto"/>
        <w:jc w:val="both"/>
        <w:rPr>
          <w:rtl/>
        </w:rPr>
      </w:pPr>
      <w:r>
        <w:rPr>
          <w:rFonts w:hint="cs"/>
          <w:rtl/>
        </w:rPr>
        <w:tab/>
      </w:r>
    </w:p>
    <w:p w14:paraId="3F8BC4E3" w14:textId="77777777" w:rsidR="00097756" w:rsidRDefault="006942B9">
      <w:pPr>
        <w:spacing w:line="360" w:lineRule="auto"/>
        <w:ind w:left="720" w:hanging="720"/>
        <w:jc w:val="both"/>
        <w:rPr>
          <w:rtl/>
        </w:rPr>
      </w:pPr>
      <w:r>
        <w:rPr>
          <w:rFonts w:hint="cs"/>
          <w:rtl/>
        </w:rPr>
        <w:t>31.</w:t>
      </w:r>
      <w:r>
        <w:rPr>
          <w:rFonts w:hint="cs"/>
          <w:rtl/>
        </w:rPr>
        <w:tab/>
        <w:t xml:space="preserve">בנוסף לארבע דרגות האשם שנקבעו בהנחיות להגדרת חומרת העבירה, ואשר חלות על כל סוגי העבירות, קיימות גם דרגות אשם שהינן ייחודיות לעבירה ספציפית, לרבות בעבירות סמים. </w:t>
      </w:r>
      <w:r>
        <w:rPr>
          <w:rtl/>
        </w:rPr>
        <w:t xml:space="preserve">המועצה פרסמה מספר הנחיות </w:t>
      </w:r>
      <w:r>
        <w:rPr>
          <w:rFonts w:hint="cs"/>
          <w:rtl/>
        </w:rPr>
        <w:t xml:space="preserve">ענישה </w:t>
      </w:r>
      <w:r>
        <w:rPr>
          <w:rtl/>
        </w:rPr>
        <w:t xml:space="preserve">לפי סוגי עבירות (כגון רכוש, אלימות ועוד) וביניהן הנחיות ענישה בעבירות סמים :  </w:t>
      </w:r>
      <w:r>
        <w:rPr>
          <w:b/>
          <w:bCs/>
        </w:rPr>
        <w:t>Drug Offences Definitive Guideline</w:t>
      </w:r>
      <w:r>
        <w:rPr>
          <w:b/>
          <w:bCs/>
          <w:rtl/>
        </w:rPr>
        <w:t xml:space="preserve"> </w:t>
      </w:r>
      <w:r>
        <w:rPr>
          <w:rtl/>
        </w:rPr>
        <w:t xml:space="preserve">(להלן: </w:t>
      </w:r>
      <w:r>
        <w:rPr>
          <w:b/>
          <w:bCs/>
          <w:rtl/>
        </w:rPr>
        <w:t xml:space="preserve">הנחיות </w:t>
      </w:r>
      <w:r>
        <w:rPr>
          <w:rFonts w:hint="cs"/>
          <w:b/>
          <w:bCs/>
          <w:rtl/>
        </w:rPr>
        <w:t xml:space="preserve">ענישה </w:t>
      </w:r>
      <w:r>
        <w:rPr>
          <w:b/>
          <w:bCs/>
          <w:rtl/>
        </w:rPr>
        <w:t>בעבירות סמים</w:t>
      </w:r>
      <w:r>
        <w:rPr>
          <w:rtl/>
        </w:rPr>
        <w:t xml:space="preserve">) ואשר חלות על כלל הנאשמים שגילם הוא מעל 18 שנים. ההנחיות פורסמו בינואר 2012 ועודכנו במרץ 2012. ניתן למצוא את הנוסח המלא </w:t>
      </w:r>
      <w:r>
        <w:rPr>
          <w:rFonts w:hint="cs"/>
          <w:rtl/>
        </w:rPr>
        <w:t xml:space="preserve">והמעודכן </w:t>
      </w:r>
      <w:r>
        <w:rPr>
          <w:rtl/>
        </w:rPr>
        <w:t xml:space="preserve">של ההנחיות בעבירות סמים באתר של המועצה בכתובת שלהלן: </w:t>
      </w:r>
      <w:r w:rsidRPr="00A45930">
        <w:rPr>
          <w:rFonts w:cs="Times New Roman"/>
          <w:color w:val="000000"/>
        </w:rPr>
        <w:t>www.sentencingcouncil.judiciary.gov.uk</w:t>
      </w:r>
      <w:r>
        <w:rPr>
          <w:rtl/>
        </w:rPr>
        <w:t xml:space="preserve">. </w:t>
      </w:r>
    </w:p>
    <w:p w14:paraId="700CFF0B" w14:textId="77777777" w:rsidR="00097756" w:rsidRDefault="00097756">
      <w:pPr>
        <w:spacing w:line="360" w:lineRule="auto"/>
        <w:jc w:val="both"/>
        <w:rPr>
          <w:rtl/>
        </w:rPr>
      </w:pPr>
    </w:p>
    <w:p w14:paraId="3DA14D3F" w14:textId="77777777" w:rsidR="00097756" w:rsidRDefault="006942B9">
      <w:pPr>
        <w:spacing w:line="360" w:lineRule="auto"/>
        <w:jc w:val="both"/>
        <w:rPr>
          <w:rtl/>
        </w:rPr>
      </w:pPr>
      <w:r>
        <w:rPr>
          <w:rtl/>
        </w:rPr>
        <w:t>3</w:t>
      </w:r>
      <w:r>
        <w:rPr>
          <w:rFonts w:hint="cs"/>
          <w:rtl/>
        </w:rPr>
        <w:t>2</w:t>
      </w:r>
      <w:r>
        <w:rPr>
          <w:rtl/>
        </w:rPr>
        <w:t>.</w:t>
      </w:r>
      <w:r>
        <w:rPr>
          <w:rtl/>
        </w:rPr>
        <w:tab/>
        <w:t xml:space="preserve">הנחיות </w:t>
      </w:r>
      <w:r>
        <w:rPr>
          <w:rFonts w:hint="cs"/>
          <w:rtl/>
        </w:rPr>
        <w:t xml:space="preserve">הענישה </w:t>
      </w:r>
      <w:r>
        <w:rPr>
          <w:rtl/>
        </w:rPr>
        <w:t>בעבירות סמים מחולקות לפי סוגי העבירות על פי המסגרות הבאות</w:t>
      </w:r>
      <w:r>
        <w:t xml:space="preserve"> : </w:t>
      </w:r>
    </w:p>
    <w:p w14:paraId="701D344A" w14:textId="77777777" w:rsidR="00097756" w:rsidRDefault="00097756">
      <w:pPr>
        <w:spacing w:line="360" w:lineRule="auto"/>
        <w:jc w:val="both"/>
      </w:pPr>
    </w:p>
    <w:p w14:paraId="2B6BE2E3" w14:textId="77777777" w:rsidR="00097756" w:rsidRDefault="006942B9">
      <w:pPr>
        <w:spacing w:line="360" w:lineRule="auto"/>
        <w:ind w:firstLine="720"/>
        <w:jc w:val="both"/>
      </w:pPr>
      <w:r>
        <w:rPr>
          <w:rtl/>
        </w:rPr>
        <w:t>א.</w:t>
      </w:r>
      <w:r>
        <w:t xml:space="preserve">  </w:t>
      </w:r>
      <w:r>
        <w:tab/>
      </w:r>
      <w:r>
        <w:rPr>
          <w:rtl/>
        </w:rPr>
        <w:t xml:space="preserve">ייבוא ; </w:t>
      </w:r>
    </w:p>
    <w:p w14:paraId="64EBD66F" w14:textId="77777777" w:rsidR="00097756" w:rsidRDefault="006942B9">
      <w:pPr>
        <w:spacing w:line="360" w:lineRule="auto"/>
        <w:ind w:firstLine="720"/>
        <w:jc w:val="both"/>
      </w:pPr>
      <w:r>
        <w:rPr>
          <w:rtl/>
        </w:rPr>
        <w:t>ב.</w:t>
      </w:r>
      <w:r>
        <w:t xml:space="preserve"> </w:t>
      </w:r>
      <w:r>
        <w:rPr>
          <w:rtl/>
        </w:rPr>
        <w:tab/>
        <w:t>אספקה או הצעה לספק, וכן החזקה של סם עם כוונה לספקו לאחר;</w:t>
      </w:r>
    </w:p>
    <w:p w14:paraId="468E5477" w14:textId="77777777" w:rsidR="00097756" w:rsidRDefault="006942B9">
      <w:pPr>
        <w:spacing w:line="360" w:lineRule="auto"/>
        <w:ind w:firstLine="720"/>
        <w:jc w:val="both"/>
      </w:pPr>
      <w:r>
        <w:rPr>
          <w:rtl/>
        </w:rPr>
        <w:t>ג.</w:t>
      </w:r>
      <w:r>
        <w:t xml:space="preserve"> </w:t>
      </w:r>
      <w:r>
        <w:rPr>
          <w:rtl/>
        </w:rPr>
        <w:tab/>
        <w:t>ייצור של סם או גידול של שתלי קנבוס ;</w:t>
      </w:r>
    </w:p>
    <w:p w14:paraId="5D4B2189" w14:textId="77777777" w:rsidR="00097756" w:rsidRDefault="006942B9">
      <w:pPr>
        <w:spacing w:line="360" w:lineRule="auto"/>
        <w:ind w:firstLine="720"/>
        <w:jc w:val="both"/>
        <w:rPr>
          <w:rtl/>
        </w:rPr>
      </w:pPr>
      <w:r>
        <w:rPr>
          <w:rtl/>
        </w:rPr>
        <w:t>ד.</w:t>
      </w:r>
      <w:r>
        <w:t xml:space="preserve"> </w:t>
      </w:r>
      <w:r>
        <w:rPr>
          <w:rtl/>
        </w:rPr>
        <w:tab/>
        <w:t xml:space="preserve">התרת שימוש בחצרים; </w:t>
      </w:r>
    </w:p>
    <w:p w14:paraId="2652697A" w14:textId="77777777" w:rsidR="00097756" w:rsidRDefault="006942B9">
      <w:pPr>
        <w:spacing w:line="360" w:lineRule="auto"/>
        <w:ind w:firstLine="720"/>
        <w:jc w:val="both"/>
        <w:rPr>
          <w:rtl/>
        </w:rPr>
      </w:pPr>
      <w:r>
        <w:rPr>
          <w:rtl/>
        </w:rPr>
        <w:t>ה.</w:t>
      </w:r>
      <w:r>
        <w:t xml:space="preserve"> </w:t>
      </w:r>
      <w:r>
        <w:rPr>
          <w:rtl/>
        </w:rPr>
        <w:tab/>
        <w:t xml:space="preserve">החזקה רגילה של סם. </w:t>
      </w:r>
    </w:p>
    <w:p w14:paraId="42A52597" w14:textId="77777777" w:rsidR="00097756" w:rsidRDefault="00097756">
      <w:pPr>
        <w:spacing w:line="360" w:lineRule="auto"/>
        <w:jc w:val="both"/>
        <w:rPr>
          <w:rtl/>
        </w:rPr>
      </w:pPr>
    </w:p>
    <w:p w14:paraId="549FFB81" w14:textId="77777777" w:rsidR="00097756" w:rsidRDefault="006942B9">
      <w:pPr>
        <w:spacing w:line="360" w:lineRule="auto"/>
        <w:ind w:left="720" w:hanging="720"/>
        <w:jc w:val="both"/>
        <w:rPr>
          <w:rtl/>
        </w:rPr>
      </w:pPr>
      <w:r>
        <w:rPr>
          <w:rtl/>
        </w:rPr>
        <w:t>3</w:t>
      </w:r>
      <w:r>
        <w:rPr>
          <w:rFonts w:hint="cs"/>
          <w:rtl/>
        </w:rPr>
        <w:t>3</w:t>
      </w:r>
      <w:r>
        <w:rPr>
          <w:rtl/>
        </w:rPr>
        <w:t>.</w:t>
      </w:r>
      <w:r>
        <w:rPr>
          <w:rtl/>
        </w:rPr>
        <w:tab/>
        <w:t>לכל אחת מהמסגרות הנ"ל שמחולקות לפי סוג העבירה ישנן הנחיות ענישה נפרדות. כמו כן, בכל סוג עבירה ישנן הנחיות משנה לפי סוג הסם. בנוסף ישנם גם מתחמי עבירה ועונשי מוצא</w:t>
      </w:r>
      <w:r>
        <w:rPr>
          <w:rFonts w:hint="cs"/>
          <w:rtl/>
        </w:rPr>
        <w:t xml:space="preserve"> שנקבעים לפי מידת האשם ומידת הנזק. </w:t>
      </w:r>
      <w:r>
        <w:rPr>
          <w:rtl/>
        </w:rPr>
        <w:t xml:space="preserve">למען ההמחשה ניקח למשל את העבירה של ייבוא סמים. </w:t>
      </w:r>
    </w:p>
    <w:p w14:paraId="1880620D" w14:textId="77777777" w:rsidR="00097756" w:rsidRDefault="00097756">
      <w:pPr>
        <w:spacing w:line="360" w:lineRule="auto"/>
        <w:jc w:val="both"/>
        <w:rPr>
          <w:rtl/>
        </w:rPr>
      </w:pPr>
    </w:p>
    <w:p w14:paraId="103E4C91" w14:textId="77777777" w:rsidR="00097756" w:rsidRDefault="006942B9">
      <w:pPr>
        <w:spacing w:line="360" w:lineRule="auto"/>
        <w:ind w:left="720" w:hanging="720"/>
        <w:jc w:val="both"/>
        <w:rPr>
          <w:rtl/>
        </w:rPr>
      </w:pPr>
      <w:r>
        <w:rPr>
          <w:rFonts w:hint="cs"/>
          <w:rtl/>
        </w:rPr>
        <w:t>34</w:t>
      </w:r>
      <w:r>
        <w:rPr>
          <w:rtl/>
        </w:rPr>
        <w:t>.</w:t>
      </w:r>
      <w:r>
        <w:rPr>
          <w:rtl/>
        </w:rPr>
        <w:tab/>
        <w:t xml:space="preserve">אלמנט </w:t>
      </w:r>
      <w:r>
        <w:rPr>
          <w:b/>
          <w:bCs/>
          <w:rtl/>
        </w:rPr>
        <w:t>מידת האשם</w:t>
      </w:r>
      <w:r>
        <w:rPr>
          <w:rtl/>
        </w:rPr>
        <w:t xml:space="preserve"> </w:t>
      </w:r>
      <w:r>
        <w:rPr>
          <w:rFonts w:hint="cs"/>
          <w:rtl/>
        </w:rPr>
        <w:t xml:space="preserve">לגבי העבירה של </w:t>
      </w:r>
      <w:r>
        <w:rPr>
          <w:rFonts w:hint="cs"/>
          <w:b/>
          <w:bCs/>
          <w:rtl/>
        </w:rPr>
        <w:t>ייבוא סמים</w:t>
      </w:r>
      <w:r>
        <w:rPr>
          <w:rFonts w:hint="cs"/>
          <w:rtl/>
        </w:rPr>
        <w:t xml:space="preserve"> </w:t>
      </w:r>
      <w:r>
        <w:rPr>
          <w:rtl/>
        </w:rPr>
        <w:t>מחולק</w:t>
      </w:r>
      <w:r>
        <w:rPr>
          <w:rFonts w:hint="cs"/>
          <w:rtl/>
        </w:rPr>
        <w:t xml:space="preserve"> על פי הנחיות הענישה בעבירות סמים, </w:t>
      </w:r>
      <w:r>
        <w:rPr>
          <w:rtl/>
        </w:rPr>
        <w:t xml:space="preserve">לשלוש </w:t>
      </w:r>
      <w:r>
        <w:rPr>
          <w:rFonts w:hint="cs"/>
          <w:rtl/>
        </w:rPr>
        <w:t xml:space="preserve">קטגוריות משנה של אשם. </w:t>
      </w:r>
      <w:r>
        <w:rPr>
          <w:rtl/>
        </w:rPr>
        <w:t xml:space="preserve">קיומו של אחד או יותר מהמאפיינים שמפורטים </w:t>
      </w:r>
      <w:r>
        <w:rPr>
          <w:rFonts w:hint="cs"/>
          <w:rtl/>
        </w:rPr>
        <w:t xml:space="preserve">באחת מקטגוריות המשנה </w:t>
      </w:r>
      <w:r>
        <w:rPr>
          <w:rtl/>
        </w:rPr>
        <w:t xml:space="preserve">ייקבע את מידת האשם של הנאשם: </w:t>
      </w:r>
    </w:p>
    <w:p w14:paraId="410C00DC" w14:textId="77777777" w:rsidR="00097756" w:rsidRDefault="00097756">
      <w:pPr>
        <w:spacing w:line="360" w:lineRule="auto"/>
        <w:ind w:left="720" w:hanging="720"/>
        <w:jc w:val="both"/>
        <w:rPr>
          <w:rtl/>
        </w:rPr>
      </w:pPr>
    </w:p>
    <w:p w14:paraId="0489DBE1" w14:textId="77777777" w:rsidR="00097756" w:rsidRDefault="006942B9">
      <w:pPr>
        <w:spacing w:line="360" w:lineRule="auto"/>
        <w:ind w:left="1440" w:hanging="720"/>
        <w:jc w:val="both"/>
        <w:rPr>
          <w:rtl/>
        </w:rPr>
      </w:pPr>
      <w:r>
        <w:rPr>
          <w:rtl/>
        </w:rPr>
        <w:t xml:space="preserve">א. </w:t>
      </w:r>
      <w:r>
        <w:rPr>
          <w:rtl/>
        </w:rPr>
        <w:tab/>
      </w:r>
      <w:r>
        <w:rPr>
          <w:b/>
          <w:bCs/>
          <w:rtl/>
        </w:rPr>
        <w:t>תפקיד מוביל</w:t>
      </w:r>
      <w:r>
        <w:rPr>
          <w:b/>
          <w:bCs/>
        </w:rPr>
        <w:t xml:space="preserve"> : </w:t>
      </w:r>
      <w:r>
        <w:t xml:space="preserve">(leading role) </w:t>
      </w:r>
      <w:r>
        <w:rPr>
          <w:rtl/>
        </w:rPr>
        <w:t>התארגנות רחבת היקף לשם קניה ומכירה של סמים</w:t>
      </w:r>
      <w:r>
        <w:rPr>
          <w:rFonts w:hint="cs"/>
          <w:rtl/>
        </w:rPr>
        <w:t xml:space="preserve"> בהיקף מסחרי</w:t>
      </w:r>
      <w:r>
        <w:rPr>
          <w:rtl/>
        </w:rPr>
        <w:t>; קשרים משמעותיים בשרשרת הפצת הסם</w:t>
      </w:r>
      <w:r>
        <w:rPr>
          <w:rFonts w:hint="cs"/>
          <w:rtl/>
        </w:rPr>
        <w:t xml:space="preserve"> ויכולת השפעה משמעותית על אחרים בתוך השרשרת</w:t>
      </w:r>
      <w:r>
        <w:rPr>
          <w:rtl/>
        </w:rPr>
        <w:t xml:space="preserve">; קשרים הדוקים עם הספק המקורי; ציפייה לעשיית רווחים כספיים משמעותיים; שימוש בעסק ככיסוי לפעילות עבריינית; שימוש לרעה בתפקיד </w:t>
      </w:r>
      <w:r>
        <w:rPr>
          <w:rFonts w:hint="cs"/>
          <w:rtl/>
        </w:rPr>
        <w:t xml:space="preserve">שמבוסס על אמון ואחריות  </w:t>
      </w:r>
      <w:r>
        <w:rPr>
          <w:rtl/>
        </w:rPr>
        <w:t>(כגון עובד</w:t>
      </w:r>
      <w:r>
        <w:rPr>
          <w:rFonts w:hint="cs"/>
          <w:rtl/>
        </w:rPr>
        <w:t xml:space="preserve"> ציבור).</w:t>
      </w:r>
    </w:p>
    <w:p w14:paraId="37C5060E" w14:textId="77777777" w:rsidR="00097756" w:rsidRDefault="00097756">
      <w:pPr>
        <w:spacing w:line="360" w:lineRule="auto"/>
        <w:ind w:left="1440" w:hanging="720"/>
        <w:jc w:val="both"/>
        <w:rPr>
          <w:rtl/>
        </w:rPr>
      </w:pPr>
    </w:p>
    <w:p w14:paraId="1C860D39" w14:textId="77777777" w:rsidR="00097756" w:rsidRDefault="006942B9">
      <w:pPr>
        <w:spacing w:line="360" w:lineRule="auto"/>
        <w:ind w:left="1440" w:hanging="720"/>
        <w:jc w:val="both"/>
        <w:rPr>
          <w:rtl/>
        </w:rPr>
      </w:pPr>
      <w:r>
        <w:rPr>
          <w:rtl/>
        </w:rPr>
        <w:t>ב.</w:t>
      </w:r>
      <w:r>
        <w:rPr>
          <w:rtl/>
        </w:rPr>
        <w:tab/>
      </w:r>
      <w:r>
        <w:rPr>
          <w:b/>
          <w:bCs/>
          <w:rtl/>
        </w:rPr>
        <w:t>תפקיד משמעותי</w:t>
      </w:r>
      <w:r>
        <w:t xml:space="preserve"> : (significant role) </w:t>
      </w:r>
      <w:r>
        <w:rPr>
          <w:rtl/>
        </w:rPr>
        <w:t xml:space="preserve">תפקיד ניהולי או ביצועי בשרשרת הפצת הסם; יכולת השפעה על אחרים בין על דרך של הפחדה, הפעלת לחץ או מתן טובת הנאה; מונע מטעמים כספיים או טובת הנאה אחרת, בין אם פועל לבד ובין אם לא; קיומה של מודעות והבנה להיקף פעילותו. </w:t>
      </w:r>
    </w:p>
    <w:p w14:paraId="5DB5F7C8" w14:textId="77777777" w:rsidR="00097756" w:rsidRDefault="00097756">
      <w:pPr>
        <w:spacing w:line="360" w:lineRule="auto"/>
        <w:ind w:firstLine="720"/>
        <w:jc w:val="both"/>
        <w:rPr>
          <w:rtl/>
        </w:rPr>
      </w:pPr>
    </w:p>
    <w:p w14:paraId="28EF96B7" w14:textId="77777777" w:rsidR="00097756" w:rsidRDefault="006942B9">
      <w:pPr>
        <w:spacing w:line="360" w:lineRule="auto"/>
        <w:ind w:left="1440" w:hanging="720"/>
        <w:jc w:val="both"/>
        <w:rPr>
          <w:rtl/>
        </w:rPr>
      </w:pPr>
      <w:r>
        <w:rPr>
          <w:rtl/>
        </w:rPr>
        <w:t xml:space="preserve">ג. </w:t>
      </w:r>
      <w:r>
        <w:rPr>
          <w:rtl/>
        </w:rPr>
        <w:tab/>
      </w:r>
      <w:r>
        <w:rPr>
          <w:b/>
          <w:bCs/>
          <w:rtl/>
        </w:rPr>
        <w:t>תפקיד מופחת</w:t>
      </w:r>
      <w:r>
        <w:t xml:space="preserve"> (lesser role) </w:t>
      </w:r>
      <w:r>
        <w:rPr>
          <w:rFonts w:hint="cs"/>
          <w:rtl/>
        </w:rPr>
        <w:t xml:space="preserve">: </w:t>
      </w:r>
      <w:r>
        <w:rPr>
          <w:rtl/>
        </w:rPr>
        <w:t xml:space="preserve">מבצע פעולה מוגדרת לפי הוראות שמקבל; ביצוע העבירה היה כתוצאה מפחד, לחץ או כפייה; </w:t>
      </w:r>
      <w:r>
        <w:rPr>
          <w:rFonts w:hint="cs"/>
          <w:rtl/>
        </w:rPr>
        <w:t>מעורבות הנובעת מנאיביות או ניצול</w:t>
      </w:r>
      <w:r>
        <w:rPr>
          <w:rtl/>
        </w:rPr>
        <w:t xml:space="preserve">; חסר כל השפעה על </w:t>
      </w:r>
      <w:r>
        <w:rPr>
          <w:rFonts w:hint="cs"/>
          <w:rtl/>
        </w:rPr>
        <w:t xml:space="preserve">אלא המצויים </w:t>
      </w:r>
      <w:r>
        <w:rPr>
          <w:rtl/>
        </w:rPr>
        <w:t xml:space="preserve">בדרג גבוה </w:t>
      </w:r>
      <w:r>
        <w:rPr>
          <w:rFonts w:hint="cs"/>
          <w:rtl/>
        </w:rPr>
        <w:t>מ</w:t>
      </w:r>
      <w:r>
        <w:rPr>
          <w:rtl/>
        </w:rPr>
        <w:t>מנו</w:t>
      </w:r>
      <w:r>
        <w:rPr>
          <w:rFonts w:hint="cs"/>
          <w:rtl/>
        </w:rPr>
        <w:t xml:space="preserve"> בשרשרת הפצת הסם</w:t>
      </w:r>
      <w:r>
        <w:rPr>
          <w:rtl/>
        </w:rPr>
        <w:t xml:space="preserve">; מודעות או הבנה נמוכים ביותר, אם בכלל, על היקף הפעילות; </w:t>
      </w:r>
      <w:r>
        <w:rPr>
          <w:rFonts w:hint="cs"/>
          <w:rtl/>
        </w:rPr>
        <w:t xml:space="preserve">במקרה שבו </w:t>
      </w:r>
      <w:r>
        <w:rPr>
          <w:rtl/>
        </w:rPr>
        <w:t>פעל לבד,</w:t>
      </w:r>
      <w:r>
        <w:rPr>
          <w:rFonts w:hint="cs"/>
          <w:rtl/>
        </w:rPr>
        <w:t xml:space="preserve"> יש לבדוק אם ייבא את הסם </w:t>
      </w:r>
      <w:r>
        <w:rPr>
          <w:rtl/>
        </w:rPr>
        <w:t>לשימושו העצמי, בהתחשב בס</w:t>
      </w:r>
      <w:r>
        <w:rPr>
          <w:rFonts w:hint="cs"/>
          <w:rtl/>
        </w:rPr>
        <w:t>וג</w:t>
      </w:r>
      <w:r>
        <w:rPr>
          <w:rtl/>
        </w:rPr>
        <w:t xml:space="preserve"> האישום ונסיבות</w:t>
      </w:r>
      <w:r>
        <w:rPr>
          <w:rFonts w:hint="cs"/>
          <w:rtl/>
        </w:rPr>
        <w:t xml:space="preserve"> המקרה. </w:t>
      </w:r>
    </w:p>
    <w:p w14:paraId="0A75A2E8" w14:textId="77777777" w:rsidR="00097756" w:rsidRDefault="00097756">
      <w:pPr>
        <w:spacing w:line="360" w:lineRule="auto"/>
        <w:jc w:val="both"/>
        <w:rPr>
          <w:sz w:val="28"/>
          <w:szCs w:val="28"/>
          <w:u w:val="single"/>
          <w:rtl/>
        </w:rPr>
      </w:pPr>
    </w:p>
    <w:p w14:paraId="5DF74924" w14:textId="77777777" w:rsidR="00097756" w:rsidRDefault="006942B9">
      <w:pPr>
        <w:spacing w:line="360" w:lineRule="auto"/>
        <w:jc w:val="both"/>
        <w:rPr>
          <w:sz w:val="28"/>
          <w:szCs w:val="28"/>
          <w:u w:val="single"/>
          <w:rtl/>
        </w:rPr>
      </w:pPr>
      <w:r>
        <w:rPr>
          <w:rFonts w:hint="cs"/>
          <w:sz w:val="28"/>
          <w:szCs w:val="28"/>
          <w:u w:val="single"/>
          <w:rtl/>
        </w:rPr>
        <w:t xml:space="preserve">סוג הסם כקריטריון מנחה בקביעת מידת הנזק  </w:t>
      </w:r>
    </w:p>
    <w:p w14:paraId="72BDC005" w14:textId="77777777" w:rsidR="00097756" w:rsidRDefault="00097756">
      <w:pPr>
        <w:spacing w:line="360" w:lineRule="auto"/>
        <w:jc w:val="both"/>
        <w:rPr>
          <w:rtl/>
        </w:rPr>
      </w:pPr>
    </w:p>
    <w:p w14:paraId="747C66C4" w14:textId="77777777" w:rsidR="00097756" w:rsidRDefault="006942B9">
      <w:pPr>
        <w:spacing w:line="360" w:lineRule="auto"/>
        <w:ind w:left="720" w:hanging="720"/>
        <w:jc w:val="both"/>
        <w:rPr>
          <w:rtl/>
        </w:rPr>
      </w:pPr>
      <w:r>
        <w:rPr>
          <w:rtl/>
        </w:rPr>
        <w:t>3</w:t>
      </w:r>
      <w:r>
        <w:rPr>
          <w:rFonts w:hint="cs"/>
          <w:rtl/>
        </w:rPr>
        <w:t>5</w:t>
      </w:r>
      <w:r>
        <w:rPr>
          <w:rtl/>
        </w:rPr>
        <w:t>.</w:t>
      </w:r>
      <w:r>
        <w:rPr>
          <w:rtl/>
        </w:rPr>
        <w:tab/>
        <w:t>החוק הרלבנטי באנגליה המסדיר את נושא הסמים המסוכנים</w:t>
      </w:r>
      <w:r>
        <w:rPr>
          <w:rFonts w:hint="cs"/>
          <w:rtl/>
        </w:rPr>
        <w:t xml:space="preserve"> הוא:</w:t>
      </w:r>
    </w:p>
    <w:p w14:paraId="637F5D38" w14:textId="77777777" w:rsidR="00097756" w:rsidRDefault="006942B9">
      <w:pPr>
        <w:spacing w:line="360" w:lineRule="auto"/>
        <w:ind w:left="720"/>
        <w:jc w:val="both"/>
      </w:pPr>
      <w:r>
        <w:rPr>
          <w:rFonts w:hint="cs"/>
          <w:rtl/>
        </w:rPr>
        <w:t xml:space="preserve"> </w:t>
      </w:r>
      <w:r>
        <w:rPr>
          <w:b/>
          <w:bCs/>
        </w:rPr>
        <w:t>Misuse of Drugs Act 1971</w:t>
      </w:r>
      <w:r>
        <w:rPr>
          <w:b/>
          <w:bCs/>
          <w:rtl/>
        </w:rPr>
        <w:t xml:space="preserve"> </w:t>
      </w:r>
      <w:r>
        <w:rPr>
          <w:rtl/>
        </w:rPr>
        <w:t>(להלן</w:t>
      </w:r>
      <w:r>
        <w:rPr>
          <w:rFonts w:hint="cs"/>
          <w:rtl/>
        </w:rPr>
        <w:t>:</w:t>
      </w:r>
      <w:r>
        <w:rPr>
          <w:rtl/>
        </w:rPr>
        <w:t xml:space="preserve"> </w:t>
      </w:r>
      <w:r>
        <w:rPr>
          <w:b/>
          <w:bCs/>
          <w:rtl/>
        </w:rPr>
        <w:t>חוק הסמים</w:t>
      </w:r>
      <w:r>
        <w:rPr>
          <w:rtl/>
        </w:rPr>
        <w:t xml:space="preserve">), ואשר הינו </w:t>
      </w:r>
      <w:r>
        <w:rPr>
          <w:rFonts w:hint="cs"/>
          <w:rtl/>
        </w:rPr>
        <w:t xml:space="preserve">החוק </w:t>
      </w:r>
      <w:r>
        <w:rPr>
          <w:rtl/>
        </w:rPr>
        <w:t xml:space="preserve">המקביל </w:t>
      </w:r>
      <w:r>
        <w:rPr>
          <w:rFonts w:hint="cs"/>
          <w:rtl/>
        </w:rPr>
        <w:t xml:space="preserve">באנגליה </w:t>
      </w:r>
      <w:r>
        <w:rPr>
          <w:rtl/>
        </w:rPr>
        <w:t>ל</w:t>
      </w:r>
      <w:hyperlink r:id="rId41" w:history="1">
        <w:r w:rsidR="00C23558" w:rsidRPr="00C23558">
          <w:rPr>
            <w:rStyle w:val="Hyperlink"/>
            <w:rFonts w:cs="David"/>
            <w:rtl/>
          </w:rPr>
          <w:t>פקודת הסמים המסוכנים</w:t>
        </w:r>
      </w:hyperlink>
      <w:r>
        <w:rPr>
          <w:rtl/>
        </w:rPr>
        <w:t xml:space="preserve"> שחלה בישראל. ניתן לעיין בנוסח המעודכן של החוק באתר שלהלן: </w:t>
      </w:r>
      <w:r w:rsidRPr="00A45930">
        <w:rPr>
          <w:rFonts w:cs="Times New Roman"/>
          <w:color w:val="000000"/>
        </w:rPr>
        <w:t>www.legislation.gov.uk</w:t>
      </w:r>
      <w:r>
        <w:t xml:space="preserve">. </w:t>
      </w:r>
    </w:p>
    <w:p w14:paraId="28281C77" w14:textId="77777777" w:rsidR="00097756" w:rsidRDefault="00097756">
      <w:pPr>
        <w:spacing w:line="360" w:lineRule="auto"/>
        <w:jc w:val="both"/>
        <w:rPr>
          <w:rtl/>
        </w:rPr>
      </w:pPr>
    </w:p>
    <w:p w14:paraId="25D8C305" w14:textId="77777777" w:rsidR="00097756" w:rsidRDefault="006942B9">
      <w:pPr>
        <w:spacing w:line="360" w:lineRule="auto"/>
        <w:ind w:left="720" w:hanging="720"/>
        <w:jc w:val="both"/>
        <w:rPr>
          <w:rtl/>
        </w:rPr>
      </w:pPr>
      <w:r>
        <w:rPr>
          <w:rtl/>
        </w:rPr>
        <w:t>3</w:t>
      </w:r>
      <w:r>
        <w:rPr>
          <w:rFonts w:hint="cs"/>
          <w:rtl/>
        </w:rPr>
        <w:t>6</w:t>
      </w:r>
      <w:r>
        <w:rPr>
          <w:rtl/>
        </w:rPr>
        <w:t>.</w:t>
      </w:r>
      <w:r>
        <w:rPr>
          <w:rtl/>
        </w:rPr>
        <w:tab/>
        <w:t>סעיף 2</w:t>
      </w:r>
      <w:r>
        <w:t xml:space="preserve"> </w:t>
      </w:r>
      <w:r>
        <w:rPr>
          <w:rtl/>
        </w:rPr>
        <w:t>לחוק הסמים קובע שלוש קבוצות של סמים</w:t>
      </w:r>
      <w:r>
        <w:t xml:space="preserve">  Class A, Class B, Class C </w:t>
      </w:r>
      <w:r>
        <w:rPr>
          <w:rtl/>
        </w:rPr>
        <w:t>ובתוספות לחוק ישנה קלסיפיקציה של סוגי הסם השונים לפי שלוש הקבוצות הנ"ל</w:t>
      </w:r>
      <w:r>
        <w:rPr>
          <w:rFonts w:hint="cs"/>
          <w:rtl/>
        </w:rPr>
        <w:t xml:space="preserve">, כאשר קטגוריה של </w:t>
      </w:r>
      <w:r>
        <w:t>Class A</w:t>
      </w:r>
      <w:r>
        <w:rPr>
          <w:rFonts w:hint="cs"/>
          <w:rtl/>
        </w:rPr>
        <w:t xml:space="preserve"> היא הקטגוריה החמורה מבין השלוש. </w:t>
      </w:r>
      <w:r>
        <w:rPr>
          <w:rtl/>
        </w:rPr>
        <w:t xml:space="preserve">עבירות הסמים מוגדרות בסעיפים שונים לפי סוגן וחלות על כל שלוש קבוצות </w:t>
      </w:r>
      <w:r>
        <w:rPr>
          <w:rFonts w:hint="cs"/>
          <w:rtl/>
        </w:rPr>
        <w:t xml:space="preserve">הסמים </w:t>
      </w:r>
      <w:r>
        <w:rPr>
          <w:rtl/>
        </w:rPr>
        <w:t>שצוינו לעיל : איסור ייבוא וייצוא (סעיף 3</w:t>
      </w:r>
      <w:r>
        <w:rPr>
          <w:rFonts w:hint="cs"/>
          <w:rtl/>
        </w:rPr>
        <w:t xml:space="preserve"> לחוק הסמים</w:t>
      </w:r>
      <w:r>
        <w:rPr>
          <w:rtl/>
        </w:rPr>
        <w:t>), איסור ייצור ואספקה (סעיף 4), איסור החזקה (סעיף 5), איסור שימוש בחצרים (סעיף 8). כמו כן, ישנה עבירה נפרדת של איסור גידול קנבוס (סעיף 6). בעבירה של החזקת סם שלא כדין ישנה הבחנה בין החזקה רגילה (</w:t>
      </w:r>
      <w:r>
        <w:t>possession of drug</w:t>
      </w:r>
      <w:r>
        <w:rPr>
          <w:rtl/>
        </w:rPr>
        <w:t xml:space="preserve">) (סעיף 5(1)) לבין החזקת סם במטרה לספקו לאחר </w:t>
      </w:r>
      <w:r>
        <w:t>possession with intent to supply)</w:t>
      </w:r>
      <w:r>
        <w:rPr>
          <w:rFonts w:hint="cs"/>
          <w:rtl/>
        </w:rPr>
        <w:t xml:space="preserve">). </w:t>
      </w:r>
    </w:p>
    <w:p w14:paraId="07BE5CBA" w14:textId="77777777" w:rsidR="00097756" w:rsidRDefault="00097756">
      <w:pPr>
        <w:spacing w:line="360" w:lineRule="auto"/>
        <w:jc w:val="both"/>
        <w:rPr>
          <w:rtl/>
        </w:rPr>
      </w:pPr>
    </w:p>
    <w:p w14:paraId="2CF8111B" w14:textId="77777777" w:rsidR="00097756" w:rsidRDefault="006942B9">
      <w:pPr>
        <w:spacing w:line="360" w:lineRule="auto"/>
        <w:ind w:left="720" w:hanging="720"/>
        <w:jc w:val="both"/>
        <w:rPr>
          <w:rtl/>
        </w:rPr>
      </w:pPr>
      <w:r>
        <w:rPr>
          <w:rtl/>
        </w:rPr>
        <w:t>3</w:t>
      </w:r>
      <w:r>
        <w:rPr>
          <w:rFonts w:hint="cs"/>
          <w:rtl/>
        </w:rPr>
        <w:t>7</w:t>
      </w:r>
      <w:r>
        <w:rPr>
          <w:rtl/>
        </w:rPr>
        <w:t>.</w:t>
      </w:r>
      <w:r>
        <w:rPr>
          <w:rtl/>
        </w:rPr>
        <w:tab/>
        <w:t>בתוספת הרביעית לחוק הסמים, ואשר נושאת כותרת</w:t>
      </w:r>
      <w:r>
        <w:t xml:space="preserve"> Prosecution and Punishment of Offences </w:t>
      </w:r>
      <w:r>
        <w:rPr>
          <w:rFonts w:hint="cs"/>
          <w:rtl/>
        </w:rPr>
        <w:t xml:space="preserve"> </w:t>
      </w:r>
      <w:r>
        <w:rPr>
          <w:rtl/>
        </w:rPr>
        <w:t xml:space="preserve">ישנה טבלה מפורטת לפי סוגי העבירות שהובאו לעיל ואשר מגדירה את העונש המקסימאלי לכל סוג של עבירה </w:t>
      </w:r>
      <w:r>
        <w:rPr>
          <w:rFonts w:hint="cs"/>
          <w:rtl/>
        </w:rPr>
        <w:t>ו</w:t>
      </w:r>
      <w:r>
        <w:rPr>
          <w:rtl/>
        </w:rPr>
        <w:t xml:space="preserve">לכל קבוצת סם. </w:t>
      </w:r>
    </w:p>
    <w:p w14:paraId="43B501DD" w14:textId="77777777" w:rsidR="00097756" w:rsidRDefault="00097756">
      <w:pPr>
        <w:spacing w:line="360" w:lineRule="auto"/>
        <w:jc w:val="both"/>
        <w:rPr>
          <w:rtl/>
        </w:rPr>
      </w:pPr>
    </w:p>
    <w:p w14:paraId="121558F3" w14:textId="77777777" w:rsidR="00097756" w:rsidRDefault="006942B9">
      <w:pPr>
        <w:spacing w:line="360" w:lineRule="auto"/>
        <w:ind w:left="720" w:hanging="720"/>
        <w:jc w:val="both"/>
        <w:rPr>
          <w:rtl/>
        </w:rPr>
      </w:pPr>
      <w:r>
        <w:rPr>
          <w:rFonts w:hint="cs"/>
          <w:rtl/>
        </w:rPr>
        <w:t xml:space="preserve">38. </w:t>
      </w:r>
      <w:r>
        <w:rPr>
          <w:rFonts w:hint="cs"/>
          <w:rtl/>
        </w:rPr>
        <w:tab/>
        <w:t xml:space="preserve">סוג הסם משפיע באופן ישיר על הגדרת העונש המקסימאלי לעבירה. כך למשל בעבירת ייבוא סמים, העונש המקסימאלי יהיה גבוה יותר בעת שמדובר בסם מקטגוריית </w:t>
      </w:r>
      <w:r>
        <w:t>Class A</w:t>
      </w:r>
      <w:r>
        <w:rPr>
          <w:rFonts w:hint="cs"/>
          <w:rtl/>
        </w:rPr>
        <w:t>, כגון הרואין וקוקאין,  לעומת העונש המקסימאלי בעת שמדובר בייבוא של סם מסוג</w:t>
      </w:r>
    </w:p>
    <w:p w14:paraId="580217B3" w14:textId="77777777" w:rsidR="00097756" w:rsidRDefault="006942B9">
      <w:pPr>
        <w:spacing w:line="360" w:lineRule="auto"/>
        <w:ind w:left="720"/>
        <w:jc w:val="both"/>
        <w:rPr>
          <w:rtl/>
        </w:rPr>
      </w:pPr>
      <w:r>
        <w:rPr>
          <w:rFonts w:hint="cs"/>
          <w:rtl/>
        </w:rPr>
        <w:t xml:space="preserve"> </w:t>
      </w:r>
      <w:r>
        <w:t>Class B</w:t>
      </w:r>
      <w:r>
        <w:rPr>
          <w:rFonts w:hint="cs"/>
          <w:rtl/>
        </w:rPr>
        <w:t>, כגון קנבוס ושרף קנבוס (חשיש). להלן טבלה להמחשה :</w:t>
      </w:r>
    </w:p>
    <w:p w14:paraId="63541B6C" w14:textId="77777777" w:rsidR="00097756" w:rsidRDefault="00097756">
      <w:pPr>
        <w:spacing w:line="360" w:lineRule="auto"/>
        <w:jc w:val="both"/>
        <w:rPr>
          <w:rtl/>
        </w:rPr>
      </w:pPr>
    </w:p>
    <w:tbl>
      <w:tblPr>
        <w:bidiVisual/>
        <w:tblW w:w="0" w:type="auto"/>
        <w:tblInd w:w="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1"/>
        <w:gridCol w:w="2907"/>
        <w:gridCol w:w="2907"/>
      </w:tblGrid>
      <w:tr w:rsidR="00097756" w14:paraId="03D4A054" w14:textId="77777777">
        <w:tc>
          <w:tcPr>
            <w:tcW w:w="2091" w:type="dxa"/>
          </w:tcPr>
          <w:p w14:paraId="2CACDF91" w14:textId="77777777" w:rsidR="00097756" w:rsidRDefault="006942B9">
            <w:pPr>
              <w:spacing w:line="360" w:lineRule="auto"/>
              <w:jc w:val="both"/>
              <w:rPr>
                <w:b/>
                <w:bCs/>
                <w:rtl/>
              </w:rPr>
            </w:pPr>
            <w:r>
              <w:rPr>
                <w:rFonts w:hint="cs"/>
                <w:b/>
                <w:bCs/>
                <w:rtl/>
              </w:rPr>
              <w:t xml:space="preserve">קטגוריית סם </w:t>
            </w:r>
          </w:p>
        </w:tc>
        <w:tc>
          <w:tcPr>
            <w:tcW w:w="2907" w:type="dxa"/>
          </w:tcPr>
          <w:p w14:paraId="7F0995A3" w14:textId="77777777" w:rsidR="00097756" w:rsidRDefault="006942B9">
            <w:pPr>
              <w:spacing w:line="360" w:lineRule="auto"/>
              <w:jc w:val="both"/>
              <w:rPr>
                <w:b/>
                <w:bCs/>
                <w:rtl/>
              </w:rPr>
            </w:pPr>
            <w:r>
              <w:rPr>
                <w:rFonts w:hint="cs"/>
                <w:b/>
                <w:bCs/>
                <w:rtl/>
              </w:rPr>
              <w:t xml:space="preserve">דוגמאות של סוגי סמים </w:t>
            </w:r>
          </w:p>
        </w:tc>
        <w:tc>
          <w:tcPr>
            <w:tcW w:w="2907" w:type="dxa"/>
          </w:tcPr>
          <w:p w14:paraId="2DBE97DC" w14:textId="77777777" w:rsidR="00097756" w:rsidRDefault="006942B9">
            <w:pPr>
              <w:spacing w:line="360" w:lineRule="auto"/>
              <w:jc w:val="both"/>
              <w:rPr>
                <w:b/>
                <w:bCs/>
                <w:rtl/>
              </w:rPr>
            </w:pPr>
            <w:r>
              <w:rPr>
                <w:rFonts w:hint="cs"/>
                <w:b/>
                <w:bCs/>
                <w:rtl/>
              </w:rPr>
              <w:t>עונש מקסימאלי בעבירה של ייבוא סמים</w:t>
            </w:r>
          </w:p>
        </w:tc>
      </w:tr>
      <w:tr w:rsidR="00097756" w14:paraId="480C27A5" w14:textId="77777777">
        <w:tc>
          <w:tcPr>
            <w:tcW w:w="2091" w:type="dxa"/>
          </w:tcPr>
          <w:p w14:paraId="0F175BFC" w14:textId="77777777" w:rsidR="00097756" w:rsidRDefault="006942B9">
            <w:pPr>
              <w:spacing w:line="360" w:lineRule="auto"/>
              <w:jc w:val="both"/>
              <w:rPr>
                <w:b/>
                <w:bCs/>
              </w:rPr>
            </w:pPr>
            <w:r>
              <w:rPr>
                <w:b/>
                <w:bCs/>
              </w:rPr>
              <w:t>Class A</w:t>
            </w:r>
          </w:p>
        </w:tc>
        <w:tc>
          <w:tcPr>
            <w:tcW w:w="2907" w:type="dxa"/>
          </w:tcPr>
          <w:p w14:paraId="0E307F22" w14:textId="77777777" w:rsidR="00097756" w:rsidRDefault="006942B9">
            <w:pPr>
              <w:spacing w:line="360" w:lineRule="auto"/>
              <w:jc w:val="both"/>
            </w:pPr>
            <w:r>
              <w:rPr>
                <w:rFonts w:hint="cs"/>
                <w:rtl/>
              </w:rPr>
              <w:t xml:space="preserve">הרואין, קוקאין, אקסטזי, </w:t>
            </w:r>
            <w:r>
              <w:t>LSD</w:t>
            </w:r>
          </w:p>
        </w:tc>
        <w:tc>
          <w:tcPr>
            <w:tcW w:w="2907" w:type="dxa"/>
          </w:tcPr>
          <w:p w14:paraId="7589F1BF" w14:textId="77777777" w:rsidR="00097756" w:rsidRDefault="006942B9">
            <w:pPr>
              <w:spacing w:line="360" w:lineRule="auto"/>
              <w:jc w:val="both"/>
              <w:rPr>
                <w:rtl/>
              </w:rPr>
            </w:pPr>
            <w:r>
              <w:rPr>
                <w:rFonts w:hint="cs"/>
                <w:rtl/>
              </w:rPr>
              <w:t>מאסר עולם</w:t>
            </w:r>
          </w:p>
        </w:tc>
      </w:tr>
      <w:tr w:rsidR="00097756" w14:paraId="2C6A40D3" w14:textId="77777777">
        <w:tc>
          <w:tcPr>
            <w:tcW w:w="2091" w:type="dxa"/>
          </w:tcPr>
          <w:p w14:paraId="1559B724" w14:textId="77777777" w:rsidR="00097756" w:rsidRDefault="006942B9">
            <w:pPr>
              <w:spacing w:line="360" w:lineRule="auto"/>
              <w:jc w:val="both"/>
              <w:rPr>
                <w:b/>
                <w:bCs/>
              </w:rPr>
            </w:pPr>
            <w:r>
              <w:rPr>
                <w:b/>
                <w:bCs/>
              </w:rPr>
              <w:t>Class B</w:t>
            </w:r>
          </w:p>
        </w:tc>
        <w:tc>
          <w:tcPr>
            <w:tcW w:w="2907" w:type="dxa"/>
          </w:tcPr>
          <w:p w14:paraId="2DD39D85" w14:textId="77777777" w:rsidR="00097756" w:rsidRDefault="006942B9">
            <w:pPr>
              <w:spacing w:line="360" w:lineRule="auto"/>
              <w:jc w:val="both"/>
              <w:rPr>
                <w:rtl/>
              </w:rPr>
            </w:pPr>
            <w:r>
              <w:rPr>
                <w:rFonts w:hint="cs"/>
                <w:rtl/>
              </w:rPr>
              <w:t>קנבוס, אמפטאמין וקטאמין</w:t>
            </w:r>
          </w:p>
        </w:tc>
        <w:tc>
          <w:tcPr>
            <w:tcW w:w="2907" w:type="dxa"/>
          </w:tcPr>
          <w:p w14:paraId="2A4ECF0F" w14:textId="77777777" w:rsidR="00097756" w:rsidRDefault="006942B9">
            <w:pPr>
              <w:spacing w:line="360" w:lineRule="auto"/>
              <w:jc w:val="both"/>
              <w:rPr>
                <w:rtl/>
              </w:rPr>
            </w:pPr>
            <w:r>
              <w:rPr>
                <w:rFonts w:hint="cs"/>
                <w:rtl/>
              </w:rPr>
              <w:t>14 שנות מאסר בפועל ו/או קנס</w:t>
            </w:r>
          </w:p>
        </w:tc>
      </w:tr>
    </w:tbl>
    <w:p w14:paraId="0345B858" w14:textId="77777777" w:rsidR="00097756" w:rsidRDefault="00097756">
      <w:pPr>
        <w:spacing w:line="360" w:lineRule="auto"/>
        <w:jc w:val="both"/>
        <w:rPr>
          <w:rtl/>
        </w:rPr>
      </w:pPr>
    </w:p>
    <w:p w14:paraId="24BDCBB5" w14:textId="77777777" w:rsidR="00097756" w:rsidRDefault="00097756">
      <w:pPr>
        <w:spacing w:line="360" w:lineRule="auto"/>
        <w:jc w:val="both"/>
        <w:rPr>
          <w:rtl/>
        </w:rPr>
      </w:pPr>
    </w:p>
    <w:p w14:paraId="203C9A07" w14:textId="77777777" w:rsidR="00097756" w:rsidRDefault="006942B9">
      <w:pPr>
        <w:spacing w:line="360" w:lineRule="auto"/>
        <w:jc w:val="both"/>
        <w:rPr>
          <w:sz w:val="28"/>
          <w:szCs w:val="28"/>
          <w:u w:val="single"/>
          <w:rtl/>
        </w:rPr>
      </w:pPr>
      <w:r>
        <w:rPr>
          <w:rFonts w:hint="cs"/>
          <w:sz w:val="28"/>
          <w:szCs w:val="28"/>
          <w:u w:val="single"/>
          <w:rtl/>
        </w:rPr>
        <w:t xml:space="preserve">כמות הסם כקריטריון מנחה בקביעת מידת הנזק </w:t>
      </w:r>
    </w:p>
    <w:p w14:paraId="4FEDBCA8" w14:textId="77777777" w:rsidR="00097756" w:rsidRDefault="00097756">
      <w:pPr>
        <w:spacing w:line="360" w:lineRule="auto"/>
        <w:jc w:val="both"/>
        <w:rPr>
          <w:rtl/>
        </w:rPr>
      </w:pPr>
    </w:p>
    <w:p w14:paraId="6E6B691F" w14:textId="77777777" w:rsidR="00097756" w:rsidRDefault="006942B9">
      <w:pPr>
        <w:spacing w:line="360" w:lineRule="auto"/>
        <w:ind w:left="720" w:hanging="720"/>
        <w:jc w:val="both"/>
        <w:rPr>
          <w:rtl/>
        </w:rPr>
      </w:pPr>
      <w:r>
        <w:rPr>
          <w:rFonts w:hint="cs"/>
          <w:rtl/>
        </w:rPr>
        <w:t>39.</w:t>
      </w:r>
      <w:r>
        <w:rPr>
          <w:rFonts w:hint="cs"/>
          <w:rtl/>
        </w:rPr>
        <w:tab/>
        <w:t>בנוסף לקריטריון בדבר</w:t>
      </w:r>
      <w:r>
        <w:rPr>
          <w:rFonts w:hint="cs"/>
          <w:b/>
          <w:bCs/>
          <w:rtl/>
        </w:rPr>
        <w:t xml:space="preserve"> "סוג הסם"</w:t>
      </w:r>
      <w:r>
        <w:rPr>
          <w:rFonts w:hint="cs"/>
          <w:rtl/>
        </w:rPr>
        <w:t xml:space="preserve">, לצורך קביעת מידת הנזק שנגרם לחברה או שהיה צפוי להיגרם לה מביצוע העבירה, קיים קריטריון נוסף והוא </w:t>
      </w:r>
      <w:r>
        <w:rPr>
          <w:rFonts w:hint="cs"/>
          <w:b/>
          <w:bCs/>
          <w:rtl/>
        </w:rPr>
        <w:t>"כמות הסם"</w:t>
      </w:r>
      <w:r>
        <w:rPr>
          <w:rFonts w:hint="cs"/>
          <w:rtl/>
        </w:rPr>
        <w:t xml:space="preserve">. על פי הפרק שדן </w:t>
      </w:r>
      <w:r>
        <w:rPr>
          <w:rFonts w:hint="cs"/>
          <w:b/>
          <w:bCs/>
          <w:rtl/>
        </w:rPr>
        <w:t>בייבוא סמים</w:t>
      </w:r>
      <w:r>
        <w:rPr>
          <w:rFonts w:hint="cs"/>
          <w:rtl/>
        </w:rPr>
        <w:t xml:space="preserve"> בהנחיות ענישה בעבירות סמים, קיימות ארבע קטגוריות משנה של נזק (קטגוריות 1 עד 4) לפי כמות הסם וסוג הסם, כפי שניתן לראות מהטבלה שלהלן : </w:t>
      </w:r>
    </w:p>
    <w:p w14:paraId="29ACC047" w14:textId="77777777" w:rsidR="00097756" w:rsidRDefault="00097756">
      <w:pPr>
        <w:spacing w:line="360" w:lineRule="auto"/>
        <w:jc w:val="both"/>
        <w:rPr>
          <w:rtl/>
        </w:rPr>
      </w:pPr>
    </w:p>
    <w:tbl>
      <w:tblPr>
        <w:bidiVisual/>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9"/>
        <w:gridCol w:w="1704"/>
        <w:gridCol w:w="1586"/>
        <w:gridCol w:w="1823"/>
        <w:gridCol w:w="1237"/>
      </w:tblGrid>
      <w:tr w:rsidR="00097756" w14:paraId="0024B4FD" w14:textId="77777777">
        <w:trPr>
          <w:jc w:val="right"/>
        </w:trPr>
        <w:tc>
          <w:tcPr>
            <w:tcW w:w="1239" w:type="dxa"/>
          </w:tcPr>
          <w:p w14:paraId="63591A90" w14:textId="77777777" w:rsidR="00097756" w:rsidRDefault="006942B9">
            <w:pPr>
              <w:spacing w:line="360" w:lineRule="auto"/>
              <w:jc w:val="both"/>
              <w:rPr>
                <w:b/>
                <w:bCs/>
                <w:rtl/>
              </w:rPr>
            </w:pPr>
            <w:r>
              <w:rPr>
                <w:rFonts w:hint="cs"/>
                <w:b/>
                <w:bCs/>
                <w:rtl/>
              </w:rPr>
              <w:t xml:space="preserve">קטגוריית נזק/ </w:t>
            </w:r>
          </w:p>
          <w:p w14:paraId="6C5CFE0C" w14:textId="77777777" w:rsidR="00097756" w:rsidRDefault="006942B9">
            <w:pPr>
              <w:spacing w:line="360" w:lineRule="auto"/>
              <w:jc w:val="both"/>
              <w:rPr>
                <w:b/>
                <w:bCs/>
              </w:rPr>
            </w:pPr>
            <w:r>
              <w:rPr>
                <w:b/>
                <w:bCs/>
                <w:rtl/>
              </w:rPr>
              <w:t xml:space="preserve">סוג הסם </w:t>
            </w:r>
          </w:p>
        </w:tc>
        <w:tc>
          <w:tcPr>
            <w:tcW w:w="1704" w:type="dxa"/>
          </w:tcPr>
          <w:p w14:paraId="468AF63D" w14:textId="77777777" w:rsidR="00097756" w:rsidRDefault="006942B9">
            <w:pPr>
              <w:spacing w:line="360" w:lineRule="auto"/>
              <w:jc w:val="both"/>
              <w:rPr>
                <w:b/>
                <w:bCs/>
              </w:rPr>
            </w:pPr>
            <w:r>
              <w:rPr>
                <w:b/>
                <w:bCs/>
                <w:rtl/>
              </w:rPr>
              <w:t>קטגורי</w:t>
            </w:r>
            <w:r>
              <w:rPr>
                <w:rFonts w:hint="cs"/>
                <w:b/>
                <w:bCs/>
                <w:rtl/>
              </w:rPr>
              <w:t>ה</w:t>
            </w:r>
            <w:r>
              <w:rPr>
                <w:b/>
                <w:bCs/>
                <w:rtl/>
              </w:rPr>
              <w:t xml:space="preserve"> 1 </w:t>
            </w:r>
          </w:p>
        </w:tc>
        <w:tc>
          <w:tcPr>
            <w:tcW w:w="1586" w:type="dxa"/>
          </w:tcPr>
          <w:p w14:paraId="5C1560F1" w14:textId="77777777" w:rsidR="00097756" w:rsidRDefault="006942B9">
            <w:pPr>
              <w:spacing w:line="360" w:lineRule="auto"/>
              <w:jc w:val="both"/>
              <w:rPr>
                <w:b/>
                <w:bCs/>
              </w:rPr>
            </w:pPr>
            <w:r>
              <w:rPr>
                <w:b/>
                <w:bCs/>
                <w:rtl/>
              </w:rPr>
              <w:t>קטגורי</w:t>
            </w:r>
            <w:r>
              <w:rPr>
                <w:rFonts w:hint="cs"/>
                <w:b/>
                <w:bCs/>
                <w:rtl/>
              </w:rPr>
              <w:t>ה</w:t>
            </w:r>
            <w:r>
              <w:rPr>
                <w:b/>
                <w:bCs/>
                <w:rtl/>
              </w:rPr>
              <w:t xml:space="preserve"> 2</w:t>
            </w:r>
          </w:p>
        </w:tc>
        <w:tc>
          <w:tcPr>
            <w:tcW w:w="1823" w:type="dxa"/>
          </w:tcPr>
          <w:p w14:paraId="3B34F523" w14:textId="77777777" w:rsidR="00097756" w:rsidRDefault="006942B9">
            <w:pPr>
              <w:spacing w:line="360" w:lineRule="auto"/>
              <w:jc w:val="both"/>
              <w:rPr>
                <w:b/>
                <w:bCs/>
              </w:rPr>
            </w:pPr>
            <w:r>
              <w:rPr>
                <w:b/>
                <w:bCs/>
                <w:rtl/>
              </w:rPr>
              <w:t>קטגורי</w:t>
            </w:r>
            <w:r>
              <w:rPr>
                <w:rFonts w:hint="cs"/>
                <w:b/>
                <w:bCs/>
                <w:rtl/>
              </w:rPr>
              <w:t xml:space="preserve">ה </w:t>
            </w:r>
            <w:r>
              <w:rPr>
                <w:b/>
                <w:bCs/>
                <w:rtl/>
              </w:rPr>
              <w:t>3</w:t>
            </w:r>
          </w:p>
        </w:tc>
        <w:tc>
          <w:tcPr>
            <w:tcW w:w="1237" w:type="dxa"/>
          </w:tcPr>
          <w:p w14:paraId="79AD15A8" w14:textId="77777777" w:rsidR="00097756" w:rsidRDefault="006942B9">
            <w:pPr>
              <w:spacing w:line="360" w:lineRule="auto"/>
              <w:jc w:val="both"/>
              <w:rPr>
                <w:b/>
                <w:bCs/>
              </w:rPr>
            </w:pPr>
            <w:r>
              <w:rPr>
                <w:b/>
                <w:bCs/>
                <w:rtl/>
              </w:rPr>
              <w:t>קטגורי</w:t>
            </w:r>
            <w:r>
              <w:rPr>
                <w:rFonts w:hint="cs"/>
                <w:b/>
                <w:bCs/>
                <w:rtl/>
              </w:rPr>
              <w:t>ה</w:t>
            </w:r>
            <w:r>
              <w:rPr>
                <w:b/>
                <w:bCs/>
                <w:rtl/>
              </w:rPr>
              <w:t xml:space="preserve"> 4</w:t>
            </w:r>
          </w:p>
        </w:tc>
      </w:tr>
      <w:tr w:rsidR="00097756" w14:paraId="150E509B" w14:textId="77777777">
        <w:trPr>
          <w:jc w:val="right"/>
        </w:trPr>
        <w:tc>
          <w:tcPr>
            <w:tcW w:w="1239" w:type="dxa"/>
          </w:tcPr>
          <w:p w14:paraId="1B3FF134" w14:textId="77777777" w:rsidR="00097756" w:rsidRDefault="006942B9">
            <w:pPr>
              <w:spacing w:line="360" w:lineRule="auto"/>
              <w:jc w:val="both"/>
              <w:rPr>
                <w:b/>
                <w:bCs/>
                <w:rtl/>
              </w:rPr>
            </w:pPr>
            <w:r>
              <w:rPr>
                <w:b/>
                <w:bCs/>
                <w:rtl/>
              </w:rPr>
              <w:t xml:space="preserve">הרואין </w:t>
            </w:r>
          </w:p>
          <w:p w14:paraId="7F152092" w14:textId="77777777" w:rsidR="00097756" w:rsidRDefault="006942B9">
            <w:pPr>
              <w:spacing w:line="360" w:lineRule="auto"/>
              <w:jc w:val="both"/>
              <w:rPr>
                <w:b/>
                <w:bCs/>
              </w:rPr>
            </w:pPr>
            <w:r>
              <w:rPr>
                <w:b/>
                <w:bCs/>
                <w:rtl/>
              </w:rPr>
              <w:t xml:space="preserve">או קוקאין </w:t>
            </w:r>
          </w:p>
        </w:tc>
        <w:tc>
          <w:tcPr>
            <w:tcW w:w="1704" w:type="dxa"/>
          </w:tcPr>
          <w:p w14:paraId="688F709B" w14:textId="77777777" w:rsidR="00097756" w:rsidRDefault="006942B9">
            <w:pPr>
              <w:spacing w:line="360" w:lineRule="auto"/>
              <w:jc w:val="both"/>
            </w:pPr>
            <w:r>
              <w:rPr>
                <w:rtl/>
              </w:rPr>
              <w:t xml:space="preserve">5 ק"ג </w:t>
            </w:r>
          </w:p>
        </w:tc>
        <w:tc>
          <w:tcPr>
            <w:tcW w:w="1586" w:type="dxa"/>
          </w:tcPr>
          <w:p w14:paraId="61DFD5FB" w14:textId="77777777" w:rsidR="00097756" w:rsidRDefault="006942B9">
            <w:pPr>
              <w:spacing w:line="360" w:lineRule="auto"/>
              <w:jc w:val="both"/>
            </w:pPr>
            <w:r>
              <w:rPr>
                <w:rtl/>
              </w:rPr>
              <w:t xml:space="preserve">1 ק"ג </w:t>
            </w:r>
          </w:p>
        </w:tc>
        <w:tc>
          <w:tcPr>
            <w:tcW w:w="1823" w:type="dxa"/>
          </w:tcPr>
          <w:p w14:paraId="6320D8B2" w14:textId="77777777" w:rsidR="00097756" w:rsidRDefault="006942B9">
            <w:pPr>
              <w:spacing w:line="360" w:lineRule="auto"/>
              <w:jc w:val="both"/>
            </w:pPr>
            <w:r>
              <w:rPr>
                <w:rtl/>
              </w:rPr>
              <w:t xml:space="preserve">150 גרם </w:t>
            </w:r>
          </w:p>
        </w:tc>
        <w:tc>
          <w:tcPr>
            <w:tcW w:w="1237" w:type="dxa"/>
          </w:tcPr>
          <w:p w14:paraId="7E260EAF" w14:textId="77777777" w:rsidR="00097756" w:rsidRDefault="006942B9">
            <w:pPr>
              <w:spacing w:line="360" w:lineRule="auto"/>
              <w:jc w:val="both"/>
            </w:pPr>
            <w:r>
              <w:rPr>
                <w:rtl/>
              </w:rPr>
              <w:t>5 גרם</w:t>
            </w:r>
          </w:p>
        </w:tc>
      </w:tr>
      <w:tr w:rsidR="00097756" w14:paraId="3C1E4A31" w14:textId="77777777">
        <w:trPr>
          <w:jc w:val="right"/>
        </w:trPr>
        <w:tc>
          <w:tcPr>
            <w:tcW w:w="1239" w:type="dxa"/>
          </w:tcPr>
          <w:p w14:paraId="6136F5B1" w14:textId="77777777" w:rsidR="00097756" w:rsidRDefault="006942B9">
            <w:pPr>
              <w:spacing w:line="360" w:lineRule="auto"/>
              <w:jc w:val="both"/>
              <w:rPr>
                <w:b/>
                <w:bCs/>
              </w:rPr>
            </w:pPr>
            <w:r>
              <w:rPr>
                <w:b/>
                <w:bCs/>
                <w:rtl/>
              </w:rPr>
              <w:t xml:space="preserve">אקסטזי </w:t>
            </w:r>
          </w:p>
        </w:tc>
        <w:tc>
          <w:tcPr>
            <w:tcW w:w="1704" w:type="dxa"/>
          </w:tcPr>
          <w:p w14:paraId="147C67A9" w14:textId="77777777" w:rsidR="00097756" w:rsidRDefault="006942B9">
            <w:pPr>
              <w:spacing w:line="360" w:lineRule="auto"/>
              <w:jc w:val="both"/>
            </w:pPr>
            <w:r>
              <w:rPr>
                <w:rtl/>
              </w:rPr>
              <w:t xml:space="preserve">10,000 טבליות </w:t>
            </w:r>
          </w:p>
        </w:tc>
        <w:tc>
          <w:tcPr>
            <w:tcW w:w="1586" w:type="dxa"/>
          </w:tcPr>
          <w:p w14:paraId="03A18881" w14:textId="77777777" w:rsidR="00097756" w:rsidRDefault="006942B9">
            <w:pPr>
              <w:spacing w:line="360" w:lineRule="auto"/>
              <w:jc w:val="both"/>
            </w:pPr>
            <w:r>
              <w:rPr>
                <w:rtl/>
              </w:rPr>
              <w:t xml:space="preserve">2,000 טבליות </w:t>
            </w:r>
          </w:p>
        </w:tc>
        <w:tc>
          <w:tcPr>
            <w:tcW w:w="1823" w:type="dxa"/>
          </w:tcPr>
          <w:p w14:paraId="66FE62A0" w14:textId="77777777" w:rsidR="00097756" w:rsidRDefault="006942B9">
            <w:pPr>
              <w:spacing w:line="360" w:lineRule="auto"/>
              <w:jc w:val="both"/>
            </w:pPr>
            <w:r>
              <w:rPr>
                <w:rtl/>
              </w:rPr>
              <w:t xml:space="preserve">300 טבליות </w:t>
            </w:r>
          </w:p>
        </w:tc>
        <w:tc>
          <w:tcPr>
            <w:tcW w:w="1237" w:type="dxa"/>
          </w:tcPr>
          <w:p w14:paraId="481A82F2" w14:textId="77777777" w:rsidR="00097756" w:rsidRDefault="006942B9">
            <w:pPr>
              <w:spacing w:line="360" w:lineRule="auto"/>
              <w:jc w:val="both"/>
            </w:pPr>
            <w:r>
              <w:rPr>
                <w:rtl/>
              </w:rPr>
              <w:t xml:space="preserve">20 טבליות </w:t>
            </w:r>
          </w:p>
        </w:tc>
      </w:tr>
      <w:tr w:rsidR="00097756" w14:paraId="0FAF8E24" w14:textId="77777777">
        <w:trPr>
          <w:jc w:val="right"/>
        </w:trPr>
        <w:tc>
          <w:tcPr>
            <w:tcW w:w="1239" w:type="dxa"/>
          </w:tcPr>
          <w:p w14:paraId="71111031" w14:textId="77777777" w:rsidR="00097756" w:rsidRDefault="006942B9">
            <w:pPr>
              <w:spacing w:line="360" w:lineRule="auto"/>
              <w:jc w:val="both"/>
              <w:rPr>
                <w:b/>
                <w:bCs/>
              </w:rPr>
            </w:pPr>
            <w:r>
              <w:rPr>
                <w:b/>
                <w:bCs/>
              </w:rPr>
              <w:t>LSD</w:t>
            </w:r>
          </w:p>
        </w:tc>
        <w:tc>
          <w:tcPr>
            <w:tcW w:w="1704" w:type="dxa"/>
          </w:tcPr>
          <w:p w14:paraId="36A71233" w14:textId="77777777" w:rsidR="00097756" w:rsidRDefault="006942B9">
            <w:pPr>
              <w:spacing w:line="360" w:lineRule="auto"/>
              <w:jc w:val="both"/>
            </w:pPr>
            <w:r>
              <w:rPr>
                <w:rtl/>
              </w:rPr>
              <w:t xml:space="preserve">250,000 ריבועים </w:t>
            </w:r>
          </w:p>
        </w:tc>
        <w:tc>
          <w:tcPr>
            <w:tcW w:w="1586" w:type="dxa"/>
          </w:tcPr>
          <w:p w14:paraId="427205AB" w14:textId="77777777" w:rsidR="00097756" w:rsidRDefault="006942B9">
            <w:pPr>
              <w:spacing w:line="360" w:lineRule="auto"/>
              <w:jc w:val="both"/>
            </w:pPr>
            <w:r>
              <w:rPr>
                <w:rtl/>
              </w:rPr>
              <w:t xml:space="preserve">25,000 ריבועים </w:t>
            </w:r>
          </w:p>
        </w:tc>
        <w:tc>
          <w:tcPr>
            <w:tcW w:w="1823" w:type="dxa"/>
          </w:tcPr>
          <w:p w14:paraId="2B50547A" w14:textId="77777777" w:rsidR="00097756" w:rsidRDefault="006942B9">
            <w:pPr>
              <w:spacing w:line="360" w:lineRule="auto"/>
              <w:jc w:val="both"/>
            </w:pPr>
            <w:r>
              <w:rPr>
                <w:rtl/>
              </w:rPr>
              <w:t>2,500 ריבועים</w:t>
            </w:r>
          </w:p>
        </w:tc>
        <w:tc>
          <w:tcPr>
            <w:tcW w:w="1237" w:type="dxa"/>
          </w:tcPr>
          <w:p w14:paraId="43C5A09D" w14:textId="77777777" w:rsidR="00097756" w:rsidRDefault="006942B9">
            <w:pPr>
              <w:spacing w:line="360" w:lineRule="auto"/>
              <w:jc w:val="both"/>
            </w:pPr>
            <w:r>
              <w:rPr>
                <w:rtl/>
              </w:rPr>
              <w:t xml:space="preserve">170  ריבועים </w:t>
            </w:r>
          </w:p>
        </w:tc>
      </w:tr>
      <w:tr w:rsidR="00097756" w14:paraId="48ABE35A" w14:textId="77777777">
        <w:trPr>
          <w:jc w:val="right"/>
        </w:trPr>
        <w:tc>
          <w:tcPr>
            <w:tcW w:w="1239" w:type="dxa"/>
          </w:tcPr>
          <w:p w14:paraId="5CECAC28" w14:textId="77777777" w:rsidR="00097756" w:rsidRDefault="006942B9">
            <w:pPr>
              <w:spacing w:line="360" w:lineRule="auto"/>
              <w:jc w:val="both"/>
              <w:rPr>
                <w:b/>
                <w:bCs/>
              </w:rPr>
            </w:pPr>
            <w:r>
              <w:rPr>
                <w:b/>
                <w:bCs/>
                <w:rtl/>
              </w:rPr>
              <w:t>אמפ</w:t>
            </w:r>
            <w:r>
              <w:rPr>
                <w:rFonts w:hint="cs"/>
                <w:b/>
                <w:bCs/>
                <w:rtl/>
              </w:rPr>
              <w:t>ט</w:t>
            </w:r>
            <w:r>
              <w:rPr>
                <w:b/>
                <w:bCs/>
                <w:rtl/>
              </w:rPr>
              <w:t xml:space="preserve">אמין </w:t>
            </w:r>
          </w:p>
        </w:tc>
        <w:tc>
          <w:tcPr>
            <w:tcW w:w="1704" w:type="dxa"/>
          </w:tcPr>
          <w:p w14:paraId="7E955365" w14:textId="77777777" w:rsidR="00097756" w:rsidRDefault="006942B9">
            <w:pPr>
              <w:spacing w:line="360" w:lineRule="auto"/>
              <w:jc w:val="both"/>
            </w:pPr>
            <w:r>
              <w:rPr>
                <w:rtl/>
              </w:rPr>
              <w:t xml:space="preserve">20 ק"ג </w:t>
            </w:r>
          </w:p>
        </w:tc>
        <w:tc>
          <w:tcPr>
            <w:tcW w:w="1586" w:type="dxa"/>
          </w:tcPr>
          <w:p w14:paraId="41AD33DD" w14:textId="77777777" w:rsidR="00097756" w:rsidRDefault="006942B9">
            <w:pPr>
              <w:spacing w:line="360" w:lineRule="auto"/>
              <w:jc w:val="both"/>
            </w:pPr>
            <w:r>
              <w:rPr>
                <w:rtl/>
              </w:rPr>
              <w:t xml:space="preserve">4 ק"ג </w:t>
            </w:r>
          </w:p>
        </w:tc>
        <w:tc>
          <w:tcPr>
            <w:tcW w:w="1823" w:type="dxa"/>
          </w:tcPr>
          <w:p w14:paraId="2CAB8DF6" w14:textId="77777777" w:rsidR="00097756" w:rsidRDefault="006942B9">
            <w:pPr>
              <w:spacing w:line="360" w:lineRule="auto"/>
              <w:jc w:val="both"/>
            </w:pPr>
            <w:r>
              <w:rPr>
                <w:rtl/>
              </w:rPr>
              <w:t xml:space="preserve">750 גרם </w:t>
            </w:r>
          </w:p>
        </w:tc>
        <w:tc>
          <w:tcPr>
            <w:tcW w:w="1237" w:type="dxa"/>
          </w:tcPr>
          <w:p w14:paraId="4C71E6B1" w14:textId="77777777" w:rsidR="00097756" w:rsidRDefault="006942B9">
            <w:pPr>
              <w:spacing w:line="360" w:lineRule="auto"/>
              <w:jc w:val="both"/>
            </w:pPr>
            <w:r>
              <w:rPr>
                <w:rtl/>
              </w:rPr>
              <w:t xml:space="preserve">20 גרם </w:t>
            </w:r>
          </w:p>
        </w:tc>
      </w:tr>
      <w:tr w:rsidR="00097756" w14:paraId="23227385" w14:textId="77777777">
        <w:trPr>
          <w:jc w:val="right"/>
        </w:trPr>
        <w:tc>
          <w:tcPr>
            <w:tcW w:w="1239" w:type="dxa"/>
          </w:tcPr>
          <w:p w14:paraId="053DBF60" w14:textId="77777777" w:rsidR="00097756" w:rsidRDefault="006942B9">
            <w:pPr>
              <w:spacing w:line="360" w:lineRule="auto"/>
              <w:jc w:val="both"/>
              <w:rPr>
                <w:b/>
                <w:bCs/>
              </w:rPr>
            </w:pPr>
            <w:r>
              <w:rPr>
                <w:b/>
                <w:bCs/>
                <w:rtl/>
              </w:rPr>
              <w:t>קנבוס</w:t>
            </w:r>
          </w:p>
        </w:tc>
        <w:tc>
          <w:tcPr>
            <w:tcW w:w="1704" w:type="dxa"/>
          </w:tcPr>
          <w:p w14:paraId="2CE38AE3" w14:textId="77777777" w:rsidR="00097756" w:rsidRDefault="006942B9">
            <w:pPr>
              <w:spacing w:line="360" w:lineRule="auto"/>
              <w:jc w:val="both"/>
            </w:pPr>
            <w:r>
              <w:rPr>
                <w:rtl/>
              </w:rPr>
              <w:t xml:space="preserve">200 ק"ג </w:t>
            </w:r>
          </w:p>
        </w:tc>
        <w:tc>
          <w:tcPr>
            <w:tcW w:w="1586" w:type="dxa"/>
          </w:tcPr>
          <w:p w14:paraId="3053E51B" w14:textId="77777777" w:rsidR="00097756" w:rsidRDefault="006942B9">
            <w:pPr>
              <w:spacing w:line="360" w:lineRule="auto"/>
              <w:jc w:val="both"/>
            </w:pPr>
            <w:r>
              <w:rPr>
                <w:rtl/>
              </w:rPr>
              <w:t xml:space="preserve">40 ק"ג </w:t>
            </w:r>
          </w:p>
        </w:tc>
        <w:tc>
          <w:tcPr>
            <w:tcW w:w="1823" w:type="dxa"/>
          </w:tcPr>
          <w:p w14:paraId="1D8910F5" w14:textId="77777777" w:rsidR="00097756" w:rsidRDefault="006942B9">
            <w:pPr>
              <w:spacing w:line="360" w:lineRule="auto"/>
              <w:jc w:val="both"/>
            </w:pPr>
            <w:r>
              <w:rPr>
                <w:rtl/>
              </w:rPr>
              <w:t xml:space="preserve">6 ק"ג </w:t>
            </w:r>
          </w:p>
        </w:tc>
        <w:tc>
          <w:tcPr>
            <w:tcW w:w="1237" w:type="dxa"/>
          </w:tcPr>
          <w:p w14:paraId="2E5C39CF" w14:textId="77777777" w:rsidR="00097756" w:rsidRDefault="006942B9">
            <w:pPr>
              <w:spacing w:line="360" w:lineRule="auto"/>
              <w:jc w:val="both"/>
            </w:pPr>
            <w:r>
              <w:rPr>
                <w:rtl/>
              </w:rPr>
              <w:t xml:space="preserve">100 גרם </w:t>
            </w:r>
          </w:p>
        </w:tc>
      </w:tr>
      <w:tr w:rsidR="00097756" w14:paraId="6DD1EA34" w14:textId="77777777">
        <w:trPr>
          <w:jc w:val="right"/>
        </w:trPr>
        <w:tc>
          <w:tcPr>
            <w:tcW w:w="1239" w:type="dxa"/>
          </w:tcPr>
          <w:p w14:paraId="7BB68D6E" w14:textId="77777777" w:rsidR="00097756" w:rsidRDefault="006942B9">
            <w:pPr>
              <w:spacing w:line="360" w:lineRule="auto"/>
              <w:jc w:val="both"/>
              <w:rPr>
                <w:b/>
                <w:bCs/>
              </w:rPr>
            </w:pPr>
            <w:r>
              <w:rPr>
                <w:b/>
                <w:bCs/>
                <w:rtl/>
              </w:rPr>
              <w:t xml:space="preserve">קטאמין </w:t>
            </w:r>
          </w:p>
        </w:tc>
        <w:tc>
          <w:tcPr>
            <w:tcW w:w="1704" w:type="dxa"/>
          </w:tcPr>
          <w:p w14:paraId="255CA62E" w14:textId="77777777" w:rsidR="00097756" w:rsidRDefault="006942B9">
            <w:pPr>
              <w:spacing w:line="360" w:lineRule="auto"/>
              <w:jc w:val="both"/>
            </w:pPr>
            <w:r>
              <w:rPr>
                <w:rtl/>
              </w:rPr>
              <w:t xml:space="preserve">5 ק"ג </w:t>
            </w:r>
          </w:p>
        </w:tc>
        <w:tc>
          <w:tcPr>
            <w:tcW w:w="1586" w:type="dxa"/>
          </w:tcPr>
          <w:p w14:paraId="6E5FF7DE" w14:textId="77777777" w:rsidR="00097756" w:rsidRDefault="006942B9">
            <w:pPr>
              <w:spacing w:line="360" w:lineRule="auto"/>
              <w:jc w:val="both"/>
            </w:pPr>
            <w:r>
              <w:rPr>
                <w:rtl/>
              </w:rPr>
              <w:t xml:space="preserve">1 ק"ג </w:t>
            </w:r>
          </w:p>
        </w:tc>
        <w:tc>
          <w:tcPr>
            <w:tcW w:w="1823" w:type="dxa"/>
          </w:tcPr>
          <w:p w14:paraId="72B4F296" w14:textId="77777777" w:rsidR="00097756" w:rsidRDefault="006942B9">
            <w:pPr>
              <w:spacing w:line="360" w:lineRule="auto"/>
              <w:jc w:val="both"/>
            </w:pPr>
            <w:r>
              <w:rPr>
                <w:rtl/>
              </w:rPr>
              <w:t xml:space="preserve">150 גרם </w:t>
            </w:r>
          </w:p>
        </w:tc>
        <w:tc>
          <w:tcPr>
            <w:tcW w:w="1237" w:type="dxa"/>
          </w:tcPr>
          <w:p w14:paraId="22CB56E9" w14:textId="77777777" w:rsidR="00097756" w:rsidRDefault="006942B9">
            <w:pPr>
              <w:spacing w:line="360" w:lineRule="auto"/>
              <w:jc w:val="both"/>
            </w:pPr>
            <w:r>
              <w:rPr>
                <w:rtl/>
              </w:rPr>
              <w:t xml:space="preserve">5 גרם </w:t>
            </w:r>
          </w:p>
        </w:tc>
      </w:tr>
    </w:tbl>
    <w:p w14:paraId="2912CA9F" w14:textId="77777777" w:rsidR="00097756" w:rsidRDefault="00097756">
      <w:pPr>
        <w:spacing w:line="360" w:lineRule="auto"/>
        <w:jc w:val="both"/>
        <w:rPr>
          <w:rtl/>
        </w:rPr>
      </w:pPr>
    </w:p>
    <w:p w14:paraId="50F407CF" w14:textId="77777777" w:rsidR="00097756" w:rsidRDefault="00097756">
      <w:pPr>
        <w:spacing w:line="360" w:lineRule="auto"/>
        <w:jc w:val="both"/>
        <w:rPr>
          <w:rtl/>
        </w:rPr>
      </w:pPr>
    </w:p>
    <w:p w14:paraId="3CDC6611" w14:textId="77777777" w:rsidR="00097756" w:rsidRDefault="006942B9">
      <w:pPr>
        <w:spacing w:line="360" w:lineRule="auto"/>
        <w:ind w:left="720" w:hanging="720"/>
        <w:jc w:val="both"/>
        <w:rPr>
          <w:rtl/>
        </w:rPr>
      </w:pPr>
      <w:r>
        <w:rPr>
          <w:rFonts w:hint="cs"/>
          <w:rtl/>
        </w:rPr>
        <w:t>40.</w:t>
      </w:r>
      <w:r>
        <w:rPr>
          <w:rFonts w:hint="cs"/>
          <w:rtl/>
        </w:rPr>
        <w:tab/>
      </w:r>
      <w:r>
        <w:rPr>
          <w:rtl/>
        </w:rPr>
        <w:t>כמויות הביניים ייבחנו על פי השאלה לאיזו כמות בקטגוריות הנ"ל הכמות ש</w:t>
      </w:r>
      <w:r>
        <w:rPr>
          <w:rFonts w:hint="cs"/>
          <w:rtl/>
        </w:rPr>
        <w:t>יובאה</w:t>
      </w:r>
      <w:r>
        <w:rPr>
          <w:rtl/>
        </w:rPr>
        <w:t xml:space="preserve"> היא קרובה יותר. כך למשל,</w:t>
      </w:r>
      <w:r>
        <w:rPr>
          <w:rFonts w:hint="cs"/>
          <w:rtl/>
        </w:rPr>
        <w:t xml:space="preserve"> כמות של</w:t>
      </w:r>
      <w:r>
        <w:rPr>
          <w:rtl/>
        </w:rPr>
        <w:t xml:space="preserve"> 15 גרם הרואין תהיה שייכת לקטגוריה 4 בעוד ש</w:t>
      </w:r>
      <w:r>
        <w:rPr>
          <w:rFonts w:hint="cs"/>
          <w:rtl/>
        </w:rPr>
        <w:t xml:space="preserve">כמות </w:t>
      </w:r>
      <w:r>
        <w:rPr>
          <w:rtl/>
        </w:rPr>
        <w:t xml:space="preserve"> של 115 גרם תהיה שייכת לקטגוריה 3. </w:t>
      </w:r>
    </w:p>
    <w:p w14:paraId="6E447A28" w14:textId="77777777" w:rsidR="00097756" w:rsidRDefault="00097756">
      <w:pPr>
        <w:spacing w:line="360" w:lineRule="auto"/>
        <w:jc w:val="both"/>
        <w:rPr>
          <w:i/>
          <w:iCs/>
          <w:u w:val="single"/>
          <w:rtl/>
        </w:rPr>
      </w:pPr>
    </w:p>
    <w:p w14:paraId="540F4485" w14:textId="77777777" w:rsidR="00097756" w:rsidRDefault="006942B9">
      <w:pPr>
        <w:spacing w:line="360" w:lineRule="auto"/>
        <w:jc w:val="both"/>
        <w:rPr>
          <w:sz w:val="28"/>
          <w:szCs w:val="28"/>
          <w:u w:val="single"/>
          <w:rtl/>
        </w:rPr>
      </w:pPr>
      <w:r>
        <w:rPr>
          <w:rFonts w:hint="cs"/>
          <w:sz w:val="28"/>
          <w:szCs w:val="28"/>
          <w:u w:val="single"/>
          <w:rtl/>
        </w:rPr>
        <w:t xml:space="preserve">איתור מתחם העונש לפי מידת האשם ומידת הנזק </w:t>
      </w:r>
    </w:p>
    <w:p w14:paraId="68C4830C" w14:textId="77777777" w:rsidR="00097756" w:rsidRDefault="00097756">
      <w:pPr>
        <w:spacing w:line="360" w:lineRule="auto"/>
        <w:jc w:val="both"/>
        <w:rPr>
          <w:i/>
          <w:iCs/>
          <w:sz w:val="28"/>
          <w:szCs w:val="28"/>
          <w:rtl/>
        </w:rPr>
      </w:pPr>
    </w:p>
    <w:p w14:paraId="55E4504E" w14:textId="77777777" w:rsidR="00097756" w:rsidRDefault="006942B9">
      <w:pPr>
        <w:spacing w:line="360" w:lineRule="auto"/>
        <w:ind w:left="720" w:hanging="720"/>
        <w:jc w:val="both"/>
        <w:rPr>
          <w:rtl/>
        </w:rPr>
      </w:pPr>
      <w:r>
        <w:rPr>
          <w:rtl/>
        </w:rPr>
        <w:t>4</w:t>
      </w:r>
      <w:r>
        <w:rPr>
          <w:rFonts w:hint="cs"/>
          <w:rtl/>
        </w:rPr>
        <w:t>1</w:t>
      </w:r>
      <w:r>
        <w:rPr>
          <w:rtl/>
        </w:rPr>
        <w:t>.</w:t>
      </w:r>
      <w:r>
        <w:rPr>
          <w:rtl/>
        </w:rPr>
        <w:tab/>
      </w:r>
      <w:r>
        <w:rPr>
          <w:rFonts w:hint="cs"/>
          <w:rtl/>
        </w:rPr>
        <w:t xml:space="preserve">לפי הנחיות הענישה בעבירות סמים, </w:t>
      </w:r>
      <w:r>
        <w:rPr>
          <w:rtl/>
        </w:rPr>
        <w:t>לאחר שבית המשפט קבע את קטגוריית העבירה</w:t>
      </w:r>
      <w:r>
        <w:rPr>
          <w:rFonts w:hint="cs"/>
          <w:rtl/>
        </w:rPr>
        <w:t xml:space="preserve"> (היינו מידת האשם ומידת הנזק), </w:t>
      </w:r>
      <w:r>
        <w:rPr>
          <w:rtl/>
        </w:rPr>
        <w:t>על בית המשפט לאתר את</w:t>
      </w:r>
      <w:r>
        <w:rPr>
          <w:rFonts w:hint="cs"/>
          <w:rtl/>
        </w:rPr>
        <w:t xml:space="preserve"> "מתחם העבירה" </w:t>
      </w:r>
      <w:r>
        <w:t>(offence range)</w:t>
      </w:r>
      <w:r>
        <w:rPr>
          <w:rtl/>
        </w:rPr>
        <w:t xml:space="preserve"> </w:t>
      </w:r>
      <w:r>
        <w:rPr>
          <w:rFonts w:hint="cs"/>
          <w:rtl/>
        </w:rPr>
        <w:t xml:space="preserve"> הרלבנטי לנאשם מתוך מספר מתחמים ה</w:t>
      </w:r>
      <w:r>
        <w:rPr>
          <w:rtl/>
        </w:rPr>
        <w:t>מפורט</w:t>
      </w:r>
      <w:r>
        <w:rPr>
          <w:rFonts w:hint="cs"/>
          <w:rtl/>
        </w:rPr>
        <w:t>ים</w:t>
      </w:r>
      <w:r>
        <w:rPr>
          <w:rtl/>
        </w:rPr>
        <w:t xml:space="preserve"> בהנחיות.</w:t>
      </w:r>
      <w:r>
        <w:rPr>
          <w:rFonts w:hint="cs"/>
          <w:rtl/>
        </w:rPr>
        <w:t xml:space="preserve"> הביטוי "מתחם העבירה" הינו הביטוי המקביל באנגליה לביטוי "מתחם העונש ההולם" ב</w:t>
      </w:r>
      <w:hyperlink r:id="rId42" w:history="1">
        <w:r w:rsidR="00C23558" w:rsidRPr="00C23558">
          <w:rPr>
            <w:rStyle w:val="Hyperlink"/>
            <w:rFonts w:cs="David"/>
            <w:rtl/>
          </w:rPr>
          <w:t>חוק העונשין</w:t>
        </w:r>
      </w:hyperlink>
      <w:r>
        <w:rPr>
          <w:rFonts w:hint="cs"/>
          <w:rtl/>
        </w:rPr>
        <w:t xml:space="preserve"> בישראל. למען הנוחות נקרא להלן לביטוי "מתחם העבירה" בדין האנגליה "</w:t>
      </w:r>
      <w:r>
        <w:rPr>
          <w:rFonts w:hint="cs"/>
          <w:b/>
          <w:bCs/>
          <w:rtl/>
        </w:rPr>
        <w:t>מתחם העונש</w:t>
      </w:r>
      <w:r>
        <w:rPr>
          <w:rFonts w:hint="cs"/>
          <w:rtl/>
        </w:rPr>
        <w:t xml:space="preserve">".  בתוך כל מתחם עונש ישנו עונש מוצא </w:t>
      </w:r>
      <w:r>
        <w:t>(starting point)</w:t>
      </w:r>
      <w:r>
        <w:rPr>
          <w:rtl/>
        </w:rPr>
        <w:t xml:space="preserve"> </w:t>
      </w:r>
      <w:r>
        <w:rPr>
          <w:rFonts w:hint="cs"/>
          <w:rtl/>
        </w:rPr>
        <w:t xml:space="preserve">שהינו </w:t>
      </w:r>
      <w:r>
        <w:rPr>
          <w:rtl/>
        </w:rPr>
        <w:t>העונש ההתחלתי שבית המשפט מתחיל ממנו</w:t>
      </w:r>
      <w:r>
        <w:rPr>
          <w:rFonts w:hint="cs"/>
          <w:rtl/>
        </w:rPr>
        <w:t>.</w:t>
      </w:r>
      <w:r>
        <w:rPr>
          <w:rtl/>
        </w:rPr>
        <w:t xml:space="preserve"> לאחר שבית המשפט שוקל את מכלול הנסיבות הוא יכול </w:t>
      </w:r>
      <w:r>
        <w:rPr>
          <w:rFonts w:hint="cs"/>
          <w:rtl/>
        </w:rPr>
        <w:t xml:space="preserve">לקבוע את העונש המתאים בתוך המתחם בכך שיעלה מעונש </w:t>
      </w:r>
      <w:r>
        <w:rPr>
          <w:rtl/>
        </w:rPr>
        <w:t xml:space="preserve">המוצא עד לתקרה של המתחם, או לחילופין </w:t>
      </w:r>
      <w:r>
        <w:rPr>
          <w:rFonts w:hint="cs"/>
          <w:rtl/>
        </w:rPr>
        <w:t>לרדת</w:t>
      </w:r>
      <w:r>
        <w:rPr>
          <w:rtl/>
        </w:rPr>
        <w:t xml:space="preserve"> מעונש המוצא עד לנקודה התחתונה בתוך המתחם. עונש המוצא ומתחם העונש חל על כל הנאשמים. במקרים חריגים ומיוחדים,</w:t>
      </w:r>
      <w:r>
        <w:rPr>
          <w:rFonts w:hint="cs"/>
          <w:rtl/>
        </w:rPr>
        <w:t xml:space="preserve"> בשל שיקולי צדק, </w:t>
      </w:r>
      <w:r>
        <w:rPr>
          <w:rtl/>
        </w:rPr>
        <w:t>בית המשפט יכול לפסוק שלא לפי המתחם, וזאת בין לקולא ובין לחומרה.</w:t>
      </w:r>
      <w:r>
        <w:rPr>
          <w:rFonts w:hint="cs"/>
          <w:rtl/>
        </w:rPr>
        <w:t xml:space="preserve"> בטבלה שלהלן</w:t>
      </w:r>
      <w:r>
        <w:rPr>
          <w:rtl/>
        </w:rPr>
        <w:t xml:space="preserve"> נביא דוגמא</w:t>
      </w:r>
      <w:r>
        <w:rPr>
          <w:rFonts w:hint="cs"/>
          <w:rtl/>
        </w:rPr>
        <w:t xml:space="preserve"> למתחמי עונש בעבירה של </w:t>
      </w:r>
      <w:r>
        <w:rPr>
          <w:rFonts w:hint="cs"/>
          <w:b/>
          <w:bCs/>
          <w:rtl/>
        </w:rPr>
        <w:t xml:space="preserve">ייבוא סמים </w:t>
      </w:r>
      <w:r>
        <w:rPr>
          <w:b/>
          <w:bCs/>
          <w:rtl/>
        </w:rPr>
        <w:t xml:space="preserve">מסוג </w:t>
      </w:r>
      <w:r>
        <w:rPr>
          <w:b/>
          <w:bCs/>
        </w:rPr>
        <w:t>Class A</w:t>
      </w:r>
      <w:r>
        <w:rPr>
          <w:rtl/>
        </w:rPr>
        <w:t xml:space="preserve"> (</w:t>
      </w:r>
      <w:r>
        <w:rPr>
          <w:rFonts w:hint="cs"/>
          <w:rtl/>
        </w:rPr>
        <w:t xml:space="preserve">כגון </w:t>
      </w:r>
      <w:r>
        <w:rPr>
          <w:rtl/>
        </w:rPr>
        <w:t xml:space="preserve">הרואין וקוקאין). המספרים המפורטים בטבלה לגבי העונש הם שנות מאסר בפועל. מתחם העונש </w:t>
      </w:r>
      <w:r>
        <w:rPr>
          <w:rFonts w:hint="cs"/>
          <w:rtl/>
        </w:rPr>
        <w:t>מושפע מ</w:t>
      </w:r>
      <w:r>
        <w:rPr>
          <w:rtl/>
        </w:rPr>
        <w:t xml:space="preserve">קטגוריית </w:t>
      </w:r>
      <w:r>
        <w:rPr>
          <w:rFonts w:hint="cs"/>
          <w:rtl/>
        </w:rPr>
        <w:t>ה</w:t>
      </w:r>
      <w:r>
        <w:rPr>
          <w:rtl/>
        </w:rPr>
        <w:t xml:space="preserve">אשם (תפקיד מוביל, </w:t>
      </w:r>
      <w:r>
        <w:rPr>
          <w:rFonts w:hint="cs"/>
          <w:rtl/>
        </w:rPr>
        <w:t xml:space="preserve">תפקיד </w:t>
      </w:r>
      <w:r>
        <w:rPr>
          <w:rtl/>
        </w:rPr>
        <w:t>משמעותי ו</w:t>
      </w:r>
      <w:r>
        <w:rPr>
          <w:rFonts w:hint="cs"/>
          <w:rtl/>
        </w:rPr>
        <w:t xml:space="preserve">תפקיד </w:t>
      </w:r>
      <w:r>
        <w:rPr>
          <w:rtl/>
        </w:rPr>
        <w:t xml:space="preserve">מופחת), </w:t>
      </w:r>
      <w:r>
        <w:rPr>
          <w:rFonts w:hint="cs"/>
          <w:rtl/>
        </w:rPr>
        <w:t>ומ</w:t>
      </w:r>
      <w:r>
        <w:rPr>
          <w:rtl/>
        </w:rPr>
        <w:t>קטגוריית הנזק (קטגוריות 1 עד 4, לפי כמות הסם).</w:t>
      </w:r>
      <w:r>
        <w:rPr>
          <w:rFonts w:hint="cs"/>
          <w:rtl/>
        </w:rPr>
        <w:t xml:space="preserve"> כאשר מדובר ב</w:t>
      </w:r>
      <w:r>
        <w:rPr>
          <w:rtl/>
        </w:rPr>
        <w:t>כמויות סם</w:t>
      </w:r>
      <w:r>
        <w:rPr>
          <w:rFonts w:hint="cs"/>
          <w:rtl/>
        </w:rPr>
        <w:t xml:space="preserve"> המצויות </w:t>
      </w:r>
      <w:r>
        <w:rPr>
          <w:rtl/>
        </w:rPr>
        <w:t xml:space="preserve"> בקטגוריה 4 ישנה הפנייה בהנחיות הענישה הנוגעות לייבוא </w:t>
      </w:r>
      <w:r>
        <w:rPr>
          <w:rFonts w:hint="cs"/>
          <w:rtl/>
        </w:rPr>
        <w:t xml:space="preserve">סמים </w:t>
      </w:r>
      <w:r>
        <w:rPr>
          <w:rtl/>
        </w:rPr>
        <w:t xml:space="preserve">להנחיות הענישה הנוגעות להחזקה של סם על מנת לספקו לאחר (היינו החזקת סם שלא לצריכה עצמית) ,ומטעמי נוחות </w:t>
      </w:r>
      <w:r>
        <w:rPr>
          <w:rFonts w:hint="cs"/>
          <w:rtl/>
        </w:rPr>
        <w:t xml:space="preserve">הכנסתי אל תוך הטבלה </w:t>
      </w:r>
      <w:r>
        <w:rPr>
          <w:rtl/>
        </w:rPr>
        <w:t>גם את האמור בהנחיות בעניין החזקת סם</w:t>
      </w:r>
      <w:r>
        <w:rPr>
          <w:rFonts w:hint="cs"/>
          <w:rtl/>
        </w:rPr>
        <w:t xml:space="preserve"> על מנת לספקו לאחר, כאשר מדובר בכמות סם השייכת לקטגוריה 4.  </w:t>
      </w:r>
    </w:p>
    <w:p w14:paraId="32E99E39" w14:textId="77777777" w:rsidR="00097756" w:rsidRDefault="00097756">
      <w:pPr>
        <w:spacing w:line="360" w:lineRule="auto"/>
        <w:jc w:val="both"/>
        <w:rPr>
          <w:rtl/>
        </w:rPr>
      </w:pPr>
    </w:p>
    <w:tbl>
      <w:tblPr>
        <w:bidiVisual/>
        <w:tblW w:w="0" w:type="auto"/>
        <w:jc w:val="righ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843"/>
        <w:gridCol w:w="1843"/>
        <w:gridCol w:w="2038"/>
        <w:gridCol w:w="2181"/>
      </w:tblGrid>
      <w:tr w:rsidR="00097756" w14:paraId="3A3602C3" w14:textId="77777777">
        <w:trPr>
          <w:jc w:val="right"/>
        </w:trPr>
        <w:tc>
          <w:tcPr>
            <w:tcW w:w="1843" w:type="dxa"/>
            <w:tcBorders>
              <w:top w:val="single" w:sz="4" w:space="0" w:color="auto"/>
              <w:bottom w:val="single" w:sz="4" w:space="0" w:color="auto"/>
              <w:right w:val="single" w:sz="4" w:space="0" w:color="auto"/>
            </w:tcBorders>
          </w:tcPr>
          <w:p w14:paraId="4767BB09" w14:textId="77777777" w:rsidR="00097756" w:rsidRDefault="006942B9">
            <w:pPr>
              <w:spacing w:line="360" w:lineRule="auto"/>
              <w:jc w:val="both"/>
              <w:rPr>
                <w:b/>
                <w:bCs/>
                <w:rtl/>
              </w:rPr>
            </w:pPr>
            <w:r>
              <w:rPr>
                <w:b/>
                <w:bCs/>
                <w:rtl/>
              </w:rPr>
              <w:t>קטגוריית אשם /</w:t>
            </w:r>
          </w:p>
          <w:p w14:paraId="717F294D" w14:textId="77777777" w:rsidR="00097756" w:rsidRDefault="006942B9">
            <w:pPr>
              <w:spacing w:line="360" w:lineRule="auto"/>
              <w:jc w:val="both"/>
              <w:rPr>
                <w:b/>
                <w:bCs/>
                <w:rtl/>
              </w:rPr>
            </w:pPr>
            <w:r>
              <w:rPr>
                <w:b/>
                <w:bCs/>
                <w:rtl/>
              </w:rPr>
              <w:t xml:space="preserve">קטגוריית נזק </w:t>
            </w:r>
          </w:p>
        </w:tc>
        <w:tc>
          <w:tcPr>
            <w:tcW w:w="1843" w:type="dxa"/>
            <w:tcBorders>
              <w:top w:val="single" w:sz="4" w:space="0" w:color="auto"/>
              <w:left w:val="single" w:sz="4" w:space="0" w:color="auto"/>
              <w:bottom w:val="single" w:sz="4" w:space="0" w:color="auto"/>
              <w:right w:val="single" w:sz="4" w:space="0" w:color="auto"/>
            </w:tcBorders>
          </w:tcPr>
          <w:p w14:paraId="3660516E" w14:textId="77777777" w:rsidR="00097756" w:rsidRDefault="006942B9">
            <w:pPr>
              <w:spacing w:line="360" w:lineRule="auto"/>
              <w:jc w:val="both"/>
              <w:rPr>
                <w:b/>
                <w:bCs/>
              </w:rPr>
            </w:pPr>
            <w:r>
              <w:rPr>
                <w:b/>
                <w:bCs/>
                <w:rtl/>
              </w:rPr>
              <w:t xml:space="preserve">תפקיד מוביל </w:t>
            </w:r>
          </w:p>
        </w:tc>
        <w:tc>
          <w:tcPr>
            <w:tcW w:w="2038" w:type="dxa"/>
            <w:tcBorders>
              <w:top w:val="single" w:sz="4" w:space="0" w:color="auto"/>
              <w:left w:val="single" w:sz="4" w:space="0" w:color="auto"/>
              <w:bottom w:val="single" w:sz="4" w:space="0" w:color="auto"/>
              <w:right w:val="single" w:sz="4" w:space="0" w:color="auto"/>
            </w:tcBorders>
          </w:tcPr>
          <w:p w14:paraId="2820B683" w14:textId="77777777" w:rsidR="00097756" w:rsidRDefault="006942B9">
            <w:pPr>
              <w:spacing w:line="360" w:lineRule="auto"/>
              <w:jc w:val="both"/>
              <w:rPr>
                <w:b/>
                <w:bCs/>
              </w:rPr>
            </w:pPr>
            <w:r>
              <w:rPr>
                <w:b/>
                <w:bCs/>
                <w:rtl/>
              </w:rPr>
              <w:t xml:space="preserve">תפקיד משמעותי </w:t>
            </w:r>
          </w:p>
        </w:tc>
        <w:tc>
          <w:tcPr>
            <w:tcW w:w="2181" w:type="dxa"/>
            <w:tcBorders>
              <w:top w:val="single" w:sz="4" w:space="0" w:color="auto"/>
              <w:left w:val="single" w:sz="4" w:space="0" w:color="auto"/>
              <w:bottom w:val="single" w:sz="4" w:space="0" w:color="auto"/>
            </w:tcBorders>
          </w:tcPr>
          <w:p w14:paraId="0A06995C" w14:textId="77777777" w:rsidR="00097756" w:rsidRDefault="006942B9">
            <w:pPr>
              <w:spacing w:line="360" w:lineRule="auto"/>
              <w:jc w:val="both"/>
              <w:rPr>
                <w:b/>
                <w:bCs/>
              </w:rPr>
            </w:pPr>
            <w:r>
              <w:rPr>
                <w:b/>
                <w:bCs/>
                <w:rtl/>
              </w:rPr>
              <w:t>תפקיד מופחת</w:t>
            </w:r>
          </w:p>
        </w:tc>
      </w:tr>
      <w:tr w:rsidR="00097756" w14:paraId="511849F2" w14:textId="77777777">
        <w:trPr>
          <w:jc w:val="right"/>
        </w:trPr>
        <w:tc>
          <w:tcPr>
            <w:tcW w:w="1843" w:type="dxa"/>
            <w:tcBorders>
              <w:top w:val="single" w:sz="4" w:space="0" w:color="auto"/>
              <w:bottom w:val="single" w:sz="4" w:space="0" w:color="auto"/>
              <w:right w:val="single" w:sz="4" w:space="0" w:color="auto"/>
            </w:tcBorders>
          </w:tcPr>
          <w:p w14:paraId="4514D05A" w14:textId="77777777" w:rsidR="00097756" w:rsidRDefault="006942B9">
            <w:pPr>
              <w:spacing w:line="360" w:lineRule="auto"/>
              <w:jc w:val="both"/>
              <w:rPr>
                <w:b/>
                <w:bCs/>
              </w:rPr>
            </w:pPr>
            <w:r>
              <w:rPr>
                <w:b/>
                <w:bCs/>
                <w:rtl/>
              </w:rPr>
              <w:t xml:space="preserve">קטגוריה 1 </w:t>
            </w:r>
          </w:p>
          <w:p w14:paraId="4A89DA8C" w14:textId="77777777" w:rsidR="00097756" w:rsidRDefault="006942B9">
            <w:pPr>
              <w:spacing w:line="360" w:lineRule="auto"/>
              <w:jc w:val="both"/>
            </w:pPr>
            <w:r>
              <w:rPr>
                <w:rtl/>
              </w:rPr>
              <w:t>5 ק"ג הרואין או קוקאין</w:t>
            </w:r>
          </w:p>
        </w:tc>
        <w:tc>
          <w:tcPr>
            <w:tcW w:w="1843" w:type="dxa"/>
            <w:tcBorders>
              <w:top w:val="single" w:sz="4" w:space="0" w:color="auto"/>
              <w:left w:val="single" w:sz="4" w:space="0" w:color="auto"/>
              <w:bottom w:val="single" w:sz="4" w:space="0" w:color="auto"/>
              <w:right w:val="single" w:sz="4" w:space="0" w:color="auto"/>
            </w:tcBorders>
          </w:tcPr>
          <w:p w14:paraId="2591FC23" w14:textId="77777777" w:rsidR="00097756" w:rsidRDefault="006942B9">
            <w:pPr>
              <w:spacing w:line="360" w:lineRule="auto"/>
              <w:jc w:val="both"/>
            </w:pPr>
            <w:r>
              <w:rPr>
                <w:rtl/>
              </w:rPr>
              <w:t xml:space="preserve">עונש מוצא : 14 </w:t>
            </w:r>
          </w:p>
          <w:p w14:paraId="6C8284EF" w14:textId="77777777" w:rsidR="00097756" w:rsidRDefault="006942B9">
            <w:pPr>
              <w:spacing w:line="360" w:lineRule="auto"/>
              <w:jc w:val="both"/>
            </w:pPr>
            <w:r>
              <w:rPr>
                <w:rtl/>
              </w:rPr>
              <w:t xml:space="preserve">מתחם עונש:12- 16 </w:t>
            </w:r>
          </w:p>
        </w:tc>
        <w:tc>
          <w:tcPr>
            <w:tcW w:w="2038" w:type="dxa"/>
            <w:tcBorders>
              <w:top w:val="single" w:sz="4" w:space="0" w:color="auto"/>
              <w:left w:val="single" w:sz="4" w:space="0" w:color="auto"/>
              <w:bottom w:val="single" w:sz="4" w:space="0" w:color="auto"/>
              <w:right w:val="single" w:sz="4" w:space="0" w:color="auto"/>
            </w:tcBorders>
          </w:tcPr>
          <w:p w14:paraId="6632A3D5" w14:textId="77777777" w:rsidR="00097756" w:rsidRDefault="006942B9">
            <w:pPr>
              <w:spacing w:line="360" w:lineRule="auto"/>
              <w:jc w:val="both"/>
            </w:pPr>
            <w:r>
              <w:rPr>
                <w:rtl/>
              </w:rPr>
              <w:t xml:space="preserve">עונש מוצא : 10 </w:t>
            </w:r>
          </w:p>
          <w:p w14:paraId="3FC40882" w14:textId="77777777" w:rsidR="00097756" w:rsidRDefault="006942B9">
            <w:pPr>
              <w:spacing w:line="360" w:lineRule="auto"/>
              <w:jc w:val="both"/>
            </w:pPr>
            <w:r>
              <w:rPr>
                <w:rtl/>
              </w:rPr>
              <w:t>מתחם עונש :  9 - 12</w:t>
            </w:r>
          </w:p>
        </w:tc>
        <w:tc>
          <w:tcPr>
            <w:tcW w:w="2181" w:type="dxa"/>
            <w:tcBorders>
              <w:top w:val="single" w:sz="4" w:space="0" w:color="auto"/>
              <w:left w:val="single" w:sz="4" w:space="0" w:color="auto"/>
              <w:bottom w:val="single" w:sz="4" w:space="0" w:color="auto"/>
            </w:tcBorders>
          </w:tcPr>
          <w:p w14:paraId="5E872CCE" w14:textId="77777777" w:rsidR="00097756" w:rsidRDefault="006942B9">
            <w:pPr>
              <w:spacing w:line="360" w:lineRule="auto"/>
              <w:jc w:val="both"/>
            </w:pPr>
            <w:r>
              <w:rPr>
                <w:rtl/>
              </w:rPr>
              <w:t xml:space="preserve">עונש מוצא : 8 </w:t>
            </w:r>
          </w:p>
          <w:p w14:paraId="02CEC2EA" w14:textId="77777777" w:rsidR="00097756" w:rsidRDefault="006942B9">
            <w:pPr>
              <w:spacing w:line="360" w:lineRule="auto"/>
              <w:jc w:val="both"/>
            </w:pPr>
            <w:r>
              <w:rPr>
                <w:rtl/>
              </w:rPr>
              <w:t>מתחם עונש : 6 - 9</w:t>
            </w:r>
          </w:p>
        </w:tc>
      </w:tr>
      <w:tr w:rsidR="00097756" w14:paraId="735EBBF2" w14:textId="77777777">
        <w:trPr>
          <w:jc w:val="right"/>
        </w:trPr>
        <w:tc>
          <w:tcPr>
            <w:tcW w:w="1843" w:type="dxa"/>
            <w:tcBorders>
              <w:top w:val="single" w:sz="4" w:space="0" w:color="auto"/>
              <w:bottom w:val="single" w:sz="4" w:space="0" w:color="auto"/>
              <w:right w:val="single" w:sz="4" w:space="0" w:color="auto"/>
            </w:tcBorders>
          </w:tcPr>
          <w:p w14:paraId="2BD9B8F0" w14:textId="77777777" w:rsidR="00097756" w:rsidRDefault="006942B9">
            <w:pPr>
              <w:spacing w:line="360" w:lineRule="auto"/>
              <w:jc w:val="both"/>
              <w:rPr>
                <w:b/>
                <w:bCs/>
              </w:rPr>
            </w:pPr>
            <w:r>
              <w:rPr>
                <w:b/>
                <w:bCs/>
                <w:rtl/>
              </w:rPr>
              <w:t xml:space="preserve">קטגוריה 2 </w:t>
            </w:r>
          </w:p>
          <w:p w14:paraId="5A988882" w14:textId="77777777" w:rsidR="00097756" w:rsidRDefault="006942B9">
            <w:pPr>
              <w:spacing w:line="360" w:lineRule="auto"/>
              <w:jc w:val="both"/>
            </w:pPr>
            <w:r>
              <w:rPr>
                <w:rtl/>
              </w:rPr>
              <w:t xml:space="preserve">1 ק"ג הרואין או קוקאין </w:t>
            </w:r>
          </w:p>
        </w:tc>
        <w:tc>
          <w:tcPr>
            <w:tcW w:w="1843" w:type="dxa"/>
            <w:tcBorders>
              <w:top w:val="single" w:sz="4" w:space="0" w:color="auto"/>
              <w:left w:val="single" w:sz="4" w:space="0" w:color="auto"/>
              <w:bottom w:val="single" w:sz="4" w:space="0" w:color="auto"/>
              <w:right w:val="single" w:sz="4" w:space="0" w:color="auto"/>
            </w:tcBorders>
          </w:tcPr>
          <w:p w14:paraId="28B9BB58" w14:textId="77777777" w:rsidR="00097756" w:rsidRDefault="006942B9">
            <w:pPr>
              <w:spacing w:line="360" w:lineRule="auto"/>
              <w:jc w:val="both"/>
            </w:pPr>
            <w:r>
              <w:rPr>
                <w:rtl/>
              </w:rPr>
              <w:t xml:space="preserve">עונש מוצא : 11 </w:t>
            </w:r>
          </w:p>
          <w:p w14:paraId="7854E9D2" w14:textId="77777777" w:rsidR="00097756" w:rsidRDefault="006942B9">
            <w:pPr>
              <w:spacing w:line="360" w:lineRule="auto"/>
              <w:jc w:val="both"/>
            </w:pPr>
            <w:r>
              <w:rPr>
                <w:rtl/>
              </w:rPr>
              <w:t>מתחם עונש : 9 - 13</w:t>
            </w:r>
          </w:p>
        </w:tc>
        <w:tc>
          <w:tcPr>
            <w:tcW w:w="2038" w:type="dxa"/>
            <w:tcBorders>
              <w:top w:val="single" w:sz="4" w:space="0" w:color="auto"/>
              <w:left w:val="single" w:sz="4" w:space="0" w:color="auto"/>
              <w:bottom w:val="single" w:sz="4" w:space="0" w:color="auto"/>
              <w:right w:val="single" w:sz="4" w:space="0" w:color="auto"/>
            </w:tcBorders>
          </w:tcPr>
          <w:p w14:paraId="6C9B08BC" w14:textId="77777777" w:rsidR="00097756" w:rsidRDefault="006942B9">
            <w:pPr>
              <w:spacing w:line="360" w:lineRule="auto"/>
              <w:jc w:val="both"/>
            </w:pPr>
            <w:r>
              <w:rPr>
                <w:rtl/>
              </w:rPr>
              <w:t xml:space="preserve">עונש מוצא : 8 </w:t>
            </w:r>
          </w:p>
          <w:p w14:paraId="12AB006C" w14:textId="77777777" w:rsidR="00097756" w:rsidRDefault="006942B9">
            <w:pPr>
              <w:spacing w:line="360" w:lineRule="auto"/>
              <w:jc w:val="both"/>
              <w:rPr>
                <w:rtl/>
              </w:rPr>
            </w:pPr>
            <w:r>
              <w:rPr>
                <w:rtl/>
              </w:rPr>
              <w:t>מתחם עונש :</w:t>
            </w:r>
          </w:p>
          <w:p w14:paraId="453BE6E8" w14:textId="77777777" w:rsidR="00097756" w:rsidRDefault="006942B9">
            <w:pPr>
              <w:spacing w:line="360" w:lineRule="auto"/>
              <w:jc w:val="both"/>
            </w:pPr>
            <w:r>
              <w:rPr>
                <w:rtl/>
              </w:rPr>
              <w:t xml:space="preserve"> 6 וחצי עד 10 </w:t>
            </w:r>
          </w:p>
        </w:tc>
        <w:tc>
          <w:tcPr>
            <w:tcW w:w="2181" w:type="dxa"/>
            <w:tcBorders>
              <w:top w:val="single" w:sz="4" w:space="0" w:color="auto"/>
              <w:left w:val="single" w:sz="4" w:space="0" w:color="auto"/>
              <w:bottom w:val="single" w:sz="4" w:space="0" w:color="auto"/>
            </w:tcBorders>
          </w:tcPr>
          <w:p w14:paraId="26162A8C" w14:textId="77777777" w:rsidR="00097756" w:rsidRDefault="006942B9">
            <w:pPr>
              <w:spacing w:line="360" w:lineRule="auto"/>
              <w:jc w:val="both"/>
            </w:pPr>
            <w:r>
              <w:rPr>
                <w:rtl/>
              </w:rPr>
              <w:t>עונש מוצא : 5</w:t>
            </w:r>
          </w:p>
          <w:p w14:paraId="3B6B15A6" w14:textId="77777777" w:rsidR="00097756" w:rsidRDefault="006942B9">
            <w:pPr>
              <w:spacing w:line="360" w:lineRule="auto"/>
              <w:jc w:val="both"/>
              <w:rPr>
                <w:rtl/>
              </w:rPr>
            </w:pPr>
            <w:r>
              <w:rPr>
                <w:rtl/>
              </w:rPr>
              <w:t>מתחם עונש :</w:t>
            </w:r>
          </w:p>
          <w:p w14:paraId="162A6483" w14:textId="77777777" w:rsidR="00097756" w:rsidRDefault="006942B9">
            <w:pPr>
              <w:spacing w:line="360" w:lineRule="auto"/>
              <w:jc w:val="both"/>
            </w:pPr>
            <w:r>
              <w:rPr>
                <w:rtl/>
              </w:rPr>
              <w:t xml:space="preserve"> 3 וחצי עד 7 </w:t>
            </w:r>
          </w:p>
        </w:tc>
      </w:tr>
      <w:tr w:rsidR="00097756" w14:paraId="2A24B339" w14:textId="77777777">
        <w:trPr>
          <w:jc w:val="right"/>
        </w:trPr>
        <w:tc>
          <w:tcPr>
            <w:tcW w:w="1843" w:type="dxa"/>
            <w:tcBorders>
              <w:top w:val="single" w:sz="4" w:space="0" w:color="auto"/>
              <w:bottom w:val="single" w:sz="4" w:space="0" w:color="auto"/>
              <w:right w:val="single" w:sz="4" w:space="0" w:color="auto"/>
            </w:tcBorders>
          </w:tcPr>
          <w:p w14:paraId="145D2243" w14:textId="77777777" w:rsidR="00097756" w:rsidRDefault="006942B9">
            <w:pPr>
              <w:spacing w:line="360" w:lineRule="auto"/>
              <w:jc w:val="both"/>
              <w:rPr>
                <w:b/>
                <w:bCs/>
              </w:rPr>
            </w:pPr>
            <w:r>
              <w:rPr>
                <w:b/>
                <w:bCs/>
                <w:rtl/>
              </w:rPr>
              <w:t>קטגוריה 3</w:t>
            </w:r>
          </w:p>
          <w:p w14:paraId="53F814D1" w14:textId="77777777" w:rsidR="00097756" w:rsidRDefault="006942B9">
            <w:pPr>
              <w:spacing w:line="360" w:lineRule="auto"/>
              <w:jc w:val="both"/>
            </w:pPr>
            <w:r>
              <w:rPr>
                <w:rtl/>
              </w:rPr>
              <w:t xml:space="preserve">150 גרם קוקאין או הרואין </w:t>
            </w:r>
          </w:p>
        </w:tc>
        <w:tc>
          <w:tcPr>
            <w:tcW w:w="1843" w:type="dxa"/>
            <w:tcBorders>
              <w:top w:val="single" w:sz="4" w:space="0" w:color="auto"/>
              <w:left w:val="single" w:sz="4" w:space="0" w:color="auto"/>
              <w:bottom w:val="single" w:sz="4" w:space="0" w:color="auto"/>
              <w:right w:val="single" w:sz="4" w:space="0" w:color="auto"/>
            </w:tcBorders>
          </w:tcPr>
          <w:p w14:paraId="6F4383C5" w14:textId="77777777" w:rsidR="00097756" w:rsidRDefault="006942B9">
            <w:pPr>
              <w:spacing w:line="360" w:lineRule="auto"/>
              <w:jc w:val="both"/>
              <w:rPr>
                <w:rtl/>
              </w:rPr>
            </w:pPr>
            <w:r>
              <w:rPr>
                <w:rtl/>
              </w:rPr>
              <w:t>עונש מוצא :</w:t>
            </w:r>
          </w:p>
          <w:p w14:paraId="0C230159" w14:textId="77777777" w:rsidR="00097756" w:rsidRDefault="006942B9">
            <w:pPr>
              <w:spacing w:line="360" w:lineRule="auto"/>
              <w:jc w:val="both"/>
            </w:pPr>
            <w:r>
              <w:rPr>
                <w:rtl/>
              </w:rPr>
              <w:t xml:space="preserve"> 8 וחצי </w:t>
            </w:r>
          </w:p>
          <w:p w14:paraId="35F772A6" w14:textId="77777777" w:rsidR="00097756" w:rsidRDefault="006942B9">
            <w:pPr>
              <w:spacing w:line="360" w:lineRule="auto"/>
              <w:jc w:val="both"/>
              <w:rPr>
                <w:rtl/>
              </w:rPr>
            </w:pPr>
            <w:r>
              <w:rPr>
                <w:rtl/>
              </w:rPr>
              <w:t xml:space="preserve">מתחם עונש : </w:t>
            </w:r>
          </w:p>
          <w:p w14:paraId="70F6106F" w14:textId="77777777" w:rsidR="00097756" w:rsidRDefault="006942B9">
            <w:pPr>
              <w:spacing w:line="360" w:lineRule="auto"/>
              <w:jc w:val="both"/>
            </w:pPr>
            <w:r>
              <w:rPr>
                <w:rtl/>
              </w:rPr>
              <w:t xml:space="preserve">6 וחצי עד 10 </w:t>
            </w:r>
          </w:p>
        </w:tc>
        <w:tc>
          <w:tcPr>
            <w:tcW w:w="2038" w:type="dxa"/>
            <w:tcBorders>
              <w:top w:val="single" w:sz="4" w:space="0" w:color="auto"/>
              <w:left w:val="single" w:sz="4" w:space="0" w:color="auto"/>
              <w:bottom w:val="single" w:sz="4" w:space="0" w:color="auto"/>
              <w:right w:val="single" w:sz="4" w:space="0" w:color="auto"/>
            </w:tcBorders>
          </w:tcPr>
          <w:p w14:paraId="2AE17321" w14:textId="77777777" w:rsidR="00097756" w:rsidRDefault="006942B9">
            <w:pPr>
              <w:spacing w:line="360" w:lineRule="auto"/>
              <w:jc w:val="both"/>
              <w:rPr>
                <w:rtl/>
              </w:rPr>
            </w:pPr>
            <w:r>
              <w:rPr>
                <w:rtl/>
              </w:rPr>
              <w:t xml:space="preserve">עונש מוצא : </w:t>
            </w:r>
          </w:p>
          <w:p w14:paraId="260A75C2" w14:textId="77777777" w:rsidR="00097756" w:rsidRDefault="006942B9">
            <w:pPr>
              <w:spacing w:line="360" w:lineRule="auto"/>
              <w:jc w:val="both"/>
            </w:pPr>
            <w:r>
              <w:rPr>
                <w:rtl/>
              </w:rPr>
              <w:t xml:space="preserve">4 וחצי </w:t>
            </w:r>
          </w:p>
          <w:p w14:paraId="7A5452DD" w14:textId="77777777" w:rsidR="00097756" w:rsidRDefault="006942B9">
            <w:pPr>
              <w:spacing w:line="360" w:lineRule="auto"/>
              <w:jc w:val="both"/>
              <w:rPr>
                <w:rtl/>
              </w:rPr>
            </w:pPr>
            <w:r>
              <w:rPr>
                <w:rtl/>
              </w:rPr>
              <w:t>מתחם עונש :</w:t>
            </w:r>
          </w:p>
          <w:p w14:paraId="0FFBDBC1" w14:textId="77777777" w:rsidR="00097756" w:rsidRDefault="006942B9">
            <w:pPr>
              <w:spacing w:line="360" w:lineRule="auto"/>
              <w:jc w:val="both"/>
            </w:pPr>
            <w:r>
              <w:rPr>
                <w:rtl/>
              </w:rPr>
              <w:t xml:space="preserve"> 3 וחצי עד 7 </w:t>
            </w:r>
          </w:p>
        </w:tc>
        <w:tc>
          <w:tcPr>
            <w:tcW w:w="2181" w:type="dxa"/>
            <w:tcBorders>
              <w:top w:val="single" w:sz="4" w:space="0" w:color="auto"/>
              <w:left w:val="single" w:sz="4" w:space="0" w:color="auto"/>
              <w:bottom w:val="single" w:sz="4" w:space="0" w:color="auto"/>
            </w:tcBorders>
          </w:tcPr>
          <w:p w14:paraId="4C2A2B24" w14:textId="77777777" w:rsidR="00097756" w:rsidRDefault="006942B9">
            <w:pPr>
              <w:spacing w:line="360" w:lineRule="auto"/>
              <w:jc w:val="both"/>
            </w:pPr>
            <w:r>
              <w:rPr>
                <w:rtl/>
              </w:rPr>
              <w:t xml:space="preserve">עונש מוצא : 3  </w:t>
            </w:r>
          </w:p>
          <w:p w14:paraId="08C5EE7B" w14:textId="77777777" w:rsidR="00097756" w:rsidRDefault="006942B9">
            <w:pPr>
              <w:spacing w:line="360" w:lineRule="auto"/>
              <w:jc w:val="both"/>
              <w:rPr>
                <w:rtl/>
              </w:rPr>
            </w:pPr>
            <w:r>
              <w:rPr>
                <w:rtl/>
              </w:rPr>
              <w:t>מתחם עונש :</w:t>
            </w:r>
          </w:p>
          <w:p w14:paraId="2C5A9577" w14:textId="77777777" w:rsidR="00097756" w:rsidRDefault="006942B9">
            <w:pPr>
              <w:spacing w:line="360" w:lineRule="auto"/>
              <w:jc w:val="both"/>
            </w:pPr>
            <w:r>
              <w:rPr>
                <w:rtl/>
              </w:rPr>
              <w:t xml:space="preserve"> 2 עד 4 וחצי</w:t>
            </w:r>
          </w:p>
        </w:tc>
      </w:tr>
      <w:tr w:rsidR="00097756" w14:paraId="49FB4EC0" w14:textId="77777777">
        <w:trPr>
          <w:trHeight w:val="1893"/>
          <w:jc w:val="right"/>
        </w:trPr>
        <w:tc>
          <w:tcPr>
            <w:tcW w:w="1843" w:type="dxa"/>
            <w:tcBorders>
              <w:top w:val="single" w:sz="4" w:space="0" w:color="auto"/>
              <w:bottom w:val="single" w:sz="4" w:space="0" w:color="auto"/>
              <w:right w:val="single" w:sz="4" w:space="0" w:color="auto"/>
            </w:tcBorders>
          </w:tcPr>
          <w:p w14:paraId="5CFC6600" w14:textId="77777777" w:rsidR="00097756" w:rsidRDefault="006942B9">
            <w:pPr>
              <w:spacing w:line="360" w:lineRule="auto"/>
              <w:jc w:val="both"/>
              <w:rPr>
                <w:b/>
                <w:bCs/>
              </w:rPr>
            </w:pPr>
            <w:r>
              <w:rPr>
                <w:b/>
                <w:bCs/>
                <w:rtl/>
              </w:rPr>
              <w:t xml:space="preserve">קטגוריה 4 </w:t>
            </w:r>
          </w:p>
          <w:p w14:paraId="59E1F51A" w14:textId="77777777" w:rsidR="00097756" w:rsidRDefault="006942B9">
            <w:pPr>
              <w:spacing w:line="360" w:lineRule="auto"/>
              <w:jc w:val="both"/>
            </w:pPr>
            <w:r>
              <w:rPr>
                <w:rtl/>
              </w:rPr>
              <w:t xml:space="preserve">5 גרם הרואין או קוקאין </w:t>
            </w:r>
          </w:p>
        </w:tc>
        <w:tc>
          <w:tcPr>
            <w:tcW w:w="1843" w:type="dxa"/>
            <w:tcBorders>
              <w:top w:val="single" w:sz="4" w:space="0" w:color="auto"/>
              <w:left w:val="single" w:sz="4" w:space="0" w:color="auto"/>
              <w:bottom w:val="single" w:sz="4" w:space="0" w:color="auto"/>
              <w:right w:val="single" w:sz="4" w:space="0" w:color="auto"/>
            </w:tcBorders>
          </w:tcPr>
          <w:p w14:paraId="4C84BDE3" w14:textId="77777777" w:rsidR="00097756" w:rsidRDefault="006942B9">
            <w:pPr>
              <w:spacing w:line="360" w:lineRule="auto"/>
              <w:jc w:val="both"/>
              <w:rPr>
                <w:rtl/>
              </w:rPr>
            </w:pPr>
            <w:r>
              <w:rPr>
                <w:rtl/>
              </w:rPr>
              <w:t xml:space="preserve">עונש מוצא : </w:t>
            </w:r>
          </w:p>
          <w:p w14:paraId="1B758655" w14:textId="77777777" w:rsidR="00097756" w:rsidRDefault="006942B9">
            <w:pPr>
              <w:spacing w:line="360" w:lineRule="auto"/>
              <w:jc w:val="both"/>
            </w:pPr>
            <w:r>
              <w:rPr>
                <w:rtl/>
              </w:rPr>
              <w:t xml:space="preserve">5 וחצי </w:t>
            </w:r>
          </w:p>
          <w:p w14:paraId="06AF2EB1" w14:textId="77777777" w:rsidR="00097756" w:rsidRDefault="006942B9">
            <w:pPr>
              <w:spacing w:line="360" w:lineRule="auto"/>
              <w:jc w:val="both"/>
              <w:rPr>
                <w:rtl/>
              </w:rPr>
            </w:pPr>
            <w:r>
              <w:rPr>
                <w:rtl/>
              </w:rPr>
              <w:t>מתחם עונש :</w:t>
            </w:r>
          </w:p>
          <w:p w14:paraId="099EFE8B" w14:textId="77777777" w:rsidR="00097756" w:rsidRDefault="006942B9">
            <w:pPr>
              <w:spacing w:line="360" w:lineRule="auto"/>
              <w:jc w:val="both"/>
            </w:pPr>
            <w:r>
              <w:rPr>
                <w:rtl/>
              </w:rPr>
              <w:t xml:space="preserve">4 וחצי עד 7 וחצי </w:t>
            </w:r>
          </w:p>
        </w:tc>
        <w:tc>
          <w:tcPr>
            <w:tcW w:w="2038" w:type="dxa"/>
            <w:tcBorders>
              <w:top w:val="single" w:sz="4" w:space="0" w:color="auto"/>
              <w:left w:val="single" w:sz="4" w:space="0" w:color="auto"/>
              <w:bottom w:val="single" w:sz="4" w:space="0" w:color="auto"/>
              <w:right w:val="single" w:sz="4" w:space="0" w:color="auto"/>
            </w:tcBorders>
          </w:tcPr>
          <w:p w14:paraId="3397BD7D" w14:textId="77777777" w:rsidR="00097756" w:rsidRDefault="006942B9">
            <w:pPr>
              <w:spacing w:line="360" w:lineRule="auto"/>
              <w:jc w:val="both"/>
              <w:rPr>
                <w:rtl/>
              </w:rPr>
            </w:pPr>
            <w:r>
              <w:rPr>
                <w:rtl/>
              </w:rPr>
              <w:t xml:space="preserve">עונש מוצא : </w:t>
            </w:r>
          </w:p>
          <w:p w14:paraId="5F4D3794" w14:textId="77777777" w:rsidR="00097756" w:rsidRDefault="006942B9">
            <w:pPr>
              <w:spacing w:line="360" w:lineRule="auto"/>
              <w:jc w:val="both"/>
            </w:pPr>
            <w:r>
              <w:rPr>
                <w:rtl/>
              </w:rPr>
              <w:t xml:space="preserve">3 וחצי </w:t>
            </w:r>
          </w:p>
          <w:p w14:paraId="305A1A6F" w14:textId="77777777" w:rsidR="00097756" w:rsidRDefault="006942B9">
            <w:pPr>
              <w:spacing w:line="360" w:lineRule="auto"/>
              <w:jc w:val="both"/>
              <w:rPr>
                <w:rtl/>
              </w:rPr>
            </w:pPr>
            <w:r>
              <w:rPr>
                <w:rtl/>
              </w:rPr>
              <w:t xml:space="preserve">מתחם עונש : </w:t>
            </w:r>
          </w:p>
          <w:p w14:paraId="0BB4DCDC" w14:textId="77777777" w:rsidR="00097756" w:rsidRDefault="006942B9">
            <w:pPr>
              <w:spacing w:line="360" w:lineRule="auto"/>
              <w:jc w:val="both"/>
            </w:pPr>
            <w:r>
              <w:rPr>
                <w:rtl/>
              </w:rPr>
              <w:t xml:space="preserve">2 עד 5 </w:t>
            </w:r>
          </w:p>
        </w:tc>
        <w:tc>
          <w:tcPr>
            <w:tcW w:w="2181" w:type="dxa"/>
            <w:tcBorders>
              <w:top w:val="single" w:sz="4" w:space="0" w:color="auto"/>
              <w:left w:val="single" w:sz="4" w:space="0" w:color="auto"/>
              <w:bottom w:val="single" w:sz="4" w:space="0" w:color="auto"/>
            </w:tcBorders>
          </w:tcPr>
          <w:p w14:paraId="348990CE" w14:textId="77777777" w:rsidR="00097756" w:rsidRDefault="006942B9">
            <w:pPr>
              <w:spacing w:line="360" w:lineRule="auto"/>
              <w:jc w:val="both"/>
            </w:pPr>
            <w:r>
              <w:rPr>
                <w:rtl/>
              </w:rPr>
              <w:t xml:space="preserve">עונש מוצא : 1 וחצי </w:t>
            </w:r>
          </w:p>
          <w:p w14:paraId="1C85011C" w14:textId="77777777" w:rsidR="00097756" w:rsidRDefault="006942B9">
            <w:pPr>
              <w:spacing w:line="360" w:lineRule="auto"/>
              <w:jc w:val="both"/>
              <w:rPr>
                <w:rtl/>
              </w:rPr>
            </w:pPr>
            <w:r>
              <w:rPr>
                <w:rtl/>
              </w:rPr>
              <w:t>מתחם עונש : צו מוגבר של שירות לתועלת הציבור עד 3 שנות מאסר בפועל</w:t>
            </w:r>
          </w:p>
          <w:p w14:paraId="35885395" w14:textId="77777777" w:rsidR="00097756" w:rsidRDefault="00097756">
            <w:pPr>
              <w:spacing w:line="360" w:lineRule="auto"/>
              <w:jc w:val="both"/>
            </w:pPr>
          </w:p>
        </w:tc>
      </w:tr>
    </w:tbl>
    <w:p w14:paraId="4908EA80" w14:textId="77777777" w:rsidR="00097756" w:rsidRDefault="00097756">
      <w:pPr>
        <w:spacing w:line="360" w:lineRule="auto"/>
        <w:jc w:val="both"/>
        <w:rPr>
          <w:rtl/>
        </w:rPr>
      </w:pPr>
    </w:p>
    <w:p w14:paraId="761906AA" w14:textId="77777777" w:rsidR="00097756" w:rsidRDefault="00097756">
      <w:pPr>
        <w:spacing w:line="360" w:lineRule="auto"/>
        <w:jc w:val="both"/>
        <w:rPr>
          <w:rtl/>
        </w:rPr>
      </w:pPr>
    </w:p>
    <w:p w14:paraId="3921A39D" w14:textId="77777777" w:rsidR="00097756" w:rsidRDefault="006942B9">
      <w:pPr>
        <w:spacing w:line="360" w:lineRule="auto"/>
        <w:ind w:left="720" w:hanging="720"/>
        <w:jc w:val="both"/>
        <w:rPr>
          <w:rtl/>
        </w:rPr>
      </w:pPr>
      <w:r>
        <w:rPr>
          <w:rtl/>
        </w:rPr>
        <w:t>4</w:t>
      </w:r>
      <w:r>
        <w:rPr>
          <w:rFonts w:hint="cs"/>
          <w:rtl/>
        </w:rPr>
        <w:t>2</w:t>
      </w:r>
      <w:r>
        <w:rPr>
          <w:rtl/>
        </w:rPr>
        <w:t>.</w:t>
      </w:r>
      <w:r>
        <w:rPr>
          <w:rtl/>
        </w:rPr>
        <w:tab/>
      </w:r>
      <w:r>
        <w:rPr>
          <w:rFonts w:hint="cs"/>
          <w:rtl/>
        </w:rPr>
        <w:t>מהטבלה הנ"ל עולה ש</w:t>
      </w:r>
      <w:r>
        <w:rPr>
          <w:rtl/>
        </w:rPr>
        <w:t xml:space="preserve">נאשם יכול לייבא סם מסוג מסוים ובכמות מסוימת ולהיות </w:t>
      </w:r>
      <w:r>
        <w:rPr>
          <w:b/>
          <w:bCs/>
          <w:rtl/>
        </w:rPr>
        <w:t>במתחם עונש אחד</w:t>
      </w:r>
      <w:r>
        <w:rPr>
          <w:rtl/>
        </w:rPr>
        <w:t xml:space="preserve">, ובעוד שנאשם אחר יכול לבצע את אותה עבירה, היינו לייבא את אותו סוג סם ובאותה כמות, ולהיות </w:t>
      </w:r>
      <w:r>
        <w:rPr>
          <w:b/>
          <w:bCs/>
          <w:rtl/>
        </w:rPr>
        <w:t>במתחם</w:t>
      </w:r>
      <w:r>
        <w:rPr>
          <w:rtl/>
        </w:rPr>
        <w:t xml:space="preserve"> </w:t>
      </w:r>
      <w:r>
        <w:rPr>
          <w:b/>
          <w:bCs/>
          <w:rtl/>
        </w:rPr>
        <w:t>עונש אחר</w:t>
      </w:r>
      <w:r>
        <w:rPr>
          <w:rtl/>
        </w:rPr>
        <w:t xml:space="preserve">. השוני בין נאשמים </w:t>
      </w:r>
      <w:r>
        <w:rPr>
          <w:rFonts w:hint="cs"/>
          <w:rtl/>
        </w:rPr>
        <w:t xml:space="preserve">אשר מצויים באותה קטגוריית נזק, נעוץ </w:t>
      </w:r>
      <w:r>
        <w:rPr>
          <w:rFonts w:hint="cs"/>
          <w:b/>
          <w:bCs/>
          <w:rtl/>
        </w:rPr>
        <w:t xml:space="preserve">בתפקיד </w:t>
      </w:r>
      <w:r>
        <w:rPr>
          <w:rFonts w:hint="cs"/>
          <w:rtl/>
        </w:rPr>
        <w:t xml:space="preserve">של כל אחד מהם. </w:t>
      </w:r>
      <w:r>
        <w:rPr>
          <w:rtl/>
        </w:rPr>
        <w:t xml:space="preserve">כך למשל, נאשם שייבא סם מסוג הרואין או קוקאין במשקל של 150 גרם (קטגוריה 3 של נזק) </w:t>
      </w:r>
      <w:r>
        <w:rPr>
          <w:rFonts w:hint="cs"/>
          <w:rtl/>
        </w:rPr>
        <w:t xml:space="preserve">יהיה </w:t>
      </w:r>
      <w:r>
        <w:rPr>
          <w:rtl/>
        </w:rPr>
        <w:t xml:space="preserve">במתחם עונש שנע בין </w:t>
      </w:r>
      <w:r>
        <w:rPr>
          <w:rFonts w:hint="cs"/>
          <w:u w:val="single"/>
          <w:rtl/>
        </w:rPr>
        <w:t>6</w:t>
      </w:r>
      <w:r>
        <w:rPr>
          <w:u w:val="single"/>
          <w:rtl/>
        </w:rPr>
        <w:t xml:space="preserve"> וחצי ל- </w:t>
      </w:r>
      <w:r>
        <w:rPr>
          <w:rFonts w:hint="cs"/>
          <w:u w:val="single"/>
          <w:rtl/>
        </w:rPr>
        <w:t>10</w:t>
      </w:r>
      <w:r>
        <w:rPr>
          <w:u w:val="single"/>
          <w:rtl/>
        </w:rPr>
        <w:t xml:space="preserve"> שנות</w:t>
      </w:r>
      <w:r>
        <w:rPr>
          <w:rtl/>
        </w:rPr>
        <w:t xml:space="preserve"> מאסר אם </w:t>
      </w:r>
      <w:r>
        <w:rPr>
          <w:rFonts w:hint="cs"/>
          <w:rtl/>
        </w:rPr>
        <w:t>חלקו</w:t>
      </w:r>
      <w:r>
        <w:rPr>
          <w:rtl/>
        </w:rPr>
        <w:t xml:space="preserve"> בביצוע העבירה היה של "</w:t>
      </w:r>
      <w:r>
        <w:rPr>
          <w:b/>
          <w:bCs/>
          <w:rtl/>
        </w:rPr>
        <w:t>תפקיד מ</w:t>
      </w:r>
      <w:r>
        <w:rPr>
          <w:rFonts w:hint="cs"/>
          <w:b/>
          <w:bCs/>
          <w:rtl/>
        </w:rPr>
        <w:t>וביל</w:t>
      </w:r>
      <w:r>
        <w:rPr>
          <w:b/>
          <w:bCs/>
          <w:rtl/>
        </w:rPr>
        <w:t>".</w:t>
      </w:r>
      <w:r>
        <w:rPr>
          <w:rtl/>
        </w:rPr>
        <w:t xml:space="preserve"> לעומת זאת, נאשם אחר שייבא סם מאותו סוג ובאותה כמות, יהיה במתחם עונש שנע בין </w:t>
      </w:r>
      <w:r>
        <w:rPr>
          <w:rFonts w:hint="cs"/>
          <w:u w:val="single"/>
          <w:rtl/>
        </w:rPr>
        <w:t>3 וחצי ועד 7 שנות מאסר</w:t>
      </w:r>
      <w:r>
        <w:rPr>
          <w:rFonts w:hint="cs"/>
          <w:rtl/>
        </w:rPr>
        <w:t xml:space="preserve"> </w:t>
      </w:r>
      <w:r>
        <w:rPr>
          <w:rtl/>
        </w:rPr>
        <w:t xml:space="preserve">מאסר אם </w:t>
      </w:r>
      <w:r>
        <w:rPr>
          <w:rFonts w:hint="cs"/>
          <w:rtl/>
        </w:rPr>
        <w:t>חלקו</w:t>
      </w:r>
      <w:r>
        <w:rPr>
          <w:rtl/>
        </w:rPr>
        <w:t xml:space="preserve"> בביצוע העבירה היה של "</w:t>
      </w:r>
      <w:r>
        <w:rPr>
          <w:b/>
          <w:bCs/>
          <w:rtl/>
        </w:rPr>
        <w:t>תפקיד מ</w:t>
      </w:r>
      <w:r>
        <w:rPr>
          <w:rFonts w:hint="cs"/>
          <w:b/>
          <w:bCs/>
          <w:rtl/>
        </w:rPr>
        <w:t>שמעותי</w:t>
      </w:r>
      <w:r>
        <w:rPr>
          <w:rtl/>
        </w:rPr>
        <w:t>"</w:t>
      </w:r>
      <w:r>
        <w:rPr>
          <w:rFonts w:hint="cs"/>
          <w:rtl/>
        </w:rPr>
        <w:t>. נאשם שחלקו בביצוע העבירה של ייבוא סם מאותו סוג ואותה כמות, היה של "</w:t>
      </w:r>
      <w:r>
        <w:rPr>
          <w:rFonts w:hint="cs"/>
          <w:b/>
          <w:bCs/>
          <w:rtl/>
        </w:rPr>
        <w:t>תפקיד מופחת</w:t>
      </w:r>
      <w:r>
        <w:rPr>
          <w:rFonts w:hint="cs"/>
          <w:rtl/>
        </w:rPr>
        <w:t xml:space="preserve">", מתחם העונש בעניינו יהיה בין </w:t>
      </w:r>
      <w:r>
        <w:rPr>
          <w:rFonts w:hint="cs"/>
          <w:u w:val="single"/>
          <w:rtl/>
        </w:rPr>
        <w:t>2 ועד 4 וחצי שנות מאסר.</w:t>
      </w:r>
      <w:r>
        <w:rPr>
          <w:rFonts w:hint="cs"/>
          <w:rtl/>
        </w:rPr>
        <w:t xml:space="preserve"> </w:t>
      </w:r>
    </w:p>
    <w:p w14:paraId="5A8EA19D" w14:textId="77777777" w:rsidR="00097756" w:rsidRDefault="00097756">
      <w:pPr>
        <w:spacing w:line="360" w:lineRule="auto"/>
        <w:jc w:val="both"/>
        <w:rPr>
          <w:rtl/>
        </w:rPr>
      </w:pPr>
    </w:p>
    <w:p w14:paraId="2CDAED3C" w14:textId="77777777" w:rsidR="00097756" w:rsidRDefault="006942B9">
      <w:pPr>
        <w:spacing w:line="360" w:lineRule="auto"/>
        <w:ind w:left="720" w:hanging="720"/>
        <w:jc w:val="both"/>
        <w:rPr>
          <w:rtl/>
        </w:rPr>
      </w:pPr>
      <w:r>
        <w:rPr>
          <w:rFonts w:hint="cs"/>
          <w:rtl/>
        </w:rPr>
        <w:t>43.</w:t>
      </w:r>
      <w:r>
        <w:rPr>
          <w:rFonts w:hint="cs"/>
          <w:rtl/>
        </w:rPr>
        <w:tab/>
        <w:t xml:space="preserve">בית המשפט לערעורים בהליכים פליליים  </w:t>
      </w:r>
      <w:r>
        <w:t>(Court of Appeal Criminal Division)</w:t>
      </w:r>
      <w:r>
        <w:rPr>
          <w:rFonts w:hint="cs"/>
          <w:rtl/>
        </w:rPr>
        <w:t xml:space="preserve"> התייחס בפסיקתו לנושא הנחיות הענישה בעבירות סמים, לרבות בעבירה של ייבוא סמים. את הפסיקה שתובא להלן ניתן למצוא גם באתר האינטרנט </w:t>
      </w:r>
      <w:r w:rsidRPr="00A45930">
        <w:rPr>
          <w:color w:val="000000"/>
        </w:rPr>
        <w:t>www.bailii.org</w:t>
      </w:r>
      <w:r>
        <w:rPr>
          <w:rFonts w:hint="cs"/>
          <w:rtl/>
        </w:rPr>
        <w:t xml:space="preserve">. בפסק הדין בעניין </w:t>
      </w:r>
      <w:r>
        <w:rPr>
          <w:b/>
          <w:bCs/>
        </w:rPr>
        <w:t>R v Boakye</w:t>
      </w:r>
      <w:r>
        <w:t xml:space="preserve"> [2012] EWCA Crim 838</w:t>
      </w:r>
      <w:r>
        <w:rPr>
          <w:rFonts w:hint="cs"/>
          <w:rtl/>
        </w:rPr>
        <w:t xml:space="preserve"> בית המשפט חזר על הקביעה שמידת הנזק תיקבע על פי סוג הסם וכמות הסם (פסקה 34 לפסק הדין) ושיהיו </w:t>
      </w:r>
      <w:r>
        <w:rPr>
          <w:rFonts w:hint="cs"/>
          <w:b/>
          <w:bCs/>
          <w:rtl/>
        </w:rPr>
        <w:t>מתחמי עונש שונים</w:t>
      </w:r>
      <w:r>
        <w:rPr>
          <w:rFonts w:hint="cs"/>
          <w:rtl/>
        </w:rPr>
        <w:t xml:space="preserve"> לנאשמים שתפקידם בביצוע עבירת הייבוא של הסם היה שונה, היינו מתחם עונש</w:t>
      </w:r>
      <w:r>
        <w:rPr>
          <w:rFonts w:hint="cs"/>
          <w:b/>
          <w:bCs/>
          <w:rtl/>
        </w:rPr>
        <w:t xml:space="preserve"> </w:t>
      </w:r>
      <w:r>
        <w:rPr>
          <w:rFonts w:hint="cs"/>
          <w:rtl/>
        </w:rPr>
        <w:t>אחד למי שהיה לו תפקיד מוביל בייבוא הסם, מתחם עונש שני למי שהיה לו תפקיד משמעותי ומתחם עונש שלישי למי שהיה לו תפקיד מופחת (פסקה 37 לפסק הדין). ראו גם :</w:t>
      </w:r>
    </w:p>
    <w:p w14:paraId="65CBF188" w14:textId="77777777" w:rsidR="00097756" w:rsidRDefault="006942B9">
      <w:pPr>
        <w:spacing w:line="360" w:lineRule="auto"/>
        <w:ind w:left="720"/>
        <w:jc w:val="both"/>
        <w:rPr>
          <w:rtl/>
        </w:rPr>
      </w:pPr>
      <w:r>
        <w:rPr>
          <w:rFonts w:hint="cs"/>
          <w:rtl/>
        </w:rPr>
        <w:t>(</w:t>
      </w:r>
      <w:r>
        <w:rPr>
          <w:b/>
          <w:bCs/>
        </w:rPr>
        <w:t>R v Healey</w:t>
      </w:r>
      <w:r>
        <w:t xml:space="preserve"> [2012] EWCA Crim 1005</w:t>
      </w:r>
      <w:r>
        <w:rPr>
          <w:rFonts w:hint="cs"/>
          <w:rtl/>
        </w:rPr>
        <w:t xml:space="preserve">; </w:t>
      </w:r>
      <w:r>
        <w:rPr>
          <w:b/>
          <w:bCs/>
        </w:rPr>
        <w:t>R v Lewis</w:t>
      </w:r>
      <w:r>
        <w:t xml:space="preserve"> [2012] EWCA Crim 1414</w:t>
      </w:r>
      <w:r>
        <w:rPr>
          <w:rFonts w:hint="cs"/>
          <w:rtl/>
        </w:rPr>
        <w:t xml:space="preserve">). </w:t>
      </w:r>
    </w:p>
    <w:p w14:paraId="5BFDED55" w14:textId="77777777" w:rsidR="00097756" w:rsidRDefault="00097756">
      <w:pPr>
        <w:spacing w:line="360" w:lineRule="auto"/>
        <w:jc w:val="both"/>
        <w:rPr>
          <w:rtl/>
        </w:rPr>
      </w:pPr>
    </w:p>
    <w:p w14:paraId="3786CA8B" w14:textId="77777777" w:rsidR="00097756" w:rsidRDefault="006942B9">
      <w:pPr>
        <w:spacing w:line="360" w:lineRule="auto"/>
        <w:jc w:val="both"/>
        <w:rPr>
          <w:sz w:val="28"/>
          <w:szCs w:val="28"/>
          <w:u w:val="single"/>
          <w:rtl/>
        </w:rPr>
      </w:pPr>
      <w:r>
        <w:rPr>
          <w:rFonts w:hint="cs"/>
          <w:sz w:val="28"/>
          <w:szCs w:val="28"/>
          <w:u w:val="single"/>
          <w:rtl/>
        </w:rPr>
        <w:t>לאחר איתור מתחם העונש יש לקבוע את העונש המתאים בתוך המתחם</w:t>
      </w:r>
    </w:p>
    <w:p w14:paraId="49150937" w14:textId="77777777" w:rsidR="00097756" w:rsidRDefault="00097756">
      <w:pPr>
        <w:spacing w:line="360" w:lineRule="auto"/>
        <w:jc w:val="both"/>
        <w:rPr>
          <w:rtl/>
        </w:rPr>
      </w:pPr>
    </w:p>
    <w:p w14:paraId="470F7133" w14:textId="77777777" w:rsidR="00097756" w:rsidRDefault="006942B9">
      <w:pPr>
        <w:spacing w:line="360" w:lineRule="auto"/>
        <w:ind w:left="720" w:hanging="720"/>
        <w:jc w:val="both"/>
        <w:rPr>
          <w:rtl/>
        </w:rPr>
      </w:pPr>
      <w:r>
        <w:rPr>
          <w:rFonts w:hint="cs"/>
          <w:rtl/>
        </w:rPr>
        <w:t>44</w:t>
      </w:r>
      <w:r>
        <w:rPr>
          <w:rtl/>
        </w:rPr>
        <w:t>.</w:t>
      </w:r>
      <w:r>
        <w:rPr>
          <w:rtl/>
        </w:rPr>
        <w:tab/>
      </w:r>
      <w:r>
        <w:rPr>
          <w:rFonts w:hint="cs"/>
          <w:rtl/>
        </w:rPr>
        <w:t xml:space="preserve">לפי הנחיות הענישה בעבירות סמים, לאחר שבית המשפט מאתר את מתחם העונש הרלבנטי לנאשם שניצב בפניו, על פי הפרמטרים של מידת האשם ומידת הנזק, עליו לקבוע את העונש "המתאים" בתוך המתחם.  בהנחיות הענישה בעבירות סמים, בפרק הדן בעבירה של ייבוא סמים,  ישנה רשימה בלתי סגורה של </w:t>
      </w:r>
      <w:r>
        <w:rPr>
          <w:rtl/>
        </w:rPr>
        <w:t>שיקולים לחומרה ולקולא שבית המשפט אמור לקחתם בחשבון</w:t>
      </w:r>
      <w:r>
        <w:rPr>
          <w:rFonts w:hint="cs"/>
          <w:rtl/>
        </w:rPr>
        <w:t xml:space="preserve"> בקביעת העונש "המתאים" בתוך המתחם.</w:t>
      </w:r>
      <w:r>
        <w:rPr>
          <w:rtl/>
        </w:rPr>
        <w:t xml:space="preserve"> </w:t>
      </w:r>
      <w:r>
        <w:rPr>
          <w:b/>
          <w:bCs/>
          <w:rtl/>
        </w:rPr>
        <w:t>שיקולים לחומרה כוללים</w:t>
      </w:r>
      <w:r>
        <w:rPr>
          <w:rtl/>
        </w:rPr>
        <w:t xml:space="preserve">: הרשעות קודמות תוך התייחסות לסוג העבירות שבהן הורשע והדמיון עם העבירה שבגינה יש לתת את גזר דין; שימוש בקטין להעברת הסם לאחר; העבירה בוצעה בעת שהנאשם היה משוחרר בערבות או אסיר ברישיון; תחכום רב בהסתרת הסם </w:t>
      </w:r>
      <w:r>
        <w:rPr>
          <w:rFonts w:hint="cs"/>
          <w:rtl/>
        </w:rPr>
        <w:t>ל</w:t>
      </w:r>
      <w:r>
        <w:rPr>
          <w:rtl/>
        </w:rPr>
        <w:t>מניעת איתור; קיומו של ניסיון להעלים ראיות; הסמים עורבבו עם חומרים רעילים ומזיקים להג</w:t>
      </w:r>
      <w:r>
        <w:rPr>
          <w:rFonts w:hint="cs"/>
          <w:rtl/>
        </w:rPr>
        <w:t>דלת</w:t>
      </w:r>
      <w:r>
        <w:rPr>
          <w:rtl/>
        </w:rPr>
        <w:t xml:space="preserve"> רווחים; משקל נקי גבוה של הסם. </w:t>
      </w:r>
      <w:r>
        <w:rPr>
          <w:b/>
          <w:bCs/>
          <w:rtl/>
        </w:rPr>
        <w:t>שיקולים לקולא כוללים</w:t>
      </w:r>
      <w:r>
        <w:rPr>
          <w:rtl/>
        </w:rPr>
        <w:t>: היעדר תחכום בהסתרת הסם ; מעורבות עקב הפחדה או כפייה שאיננה מגעת לכדי הגנת הכורח במשפט פלילי; חוסר ידיעה של הנאשם לגבי סוג הסם, תוך בדיקת מידת הסבירות לגבי היעדר הידיעה ; אירוע חד פעמי; משקל נקי נמוך של הסם ; היעדר הרשעות קודמות ; חרטה ; נאשם נורמטיבי ; מצב רפואי קשה ; גיל ; קיומה של מגבלה קוגניטיבית</w:t>
      </w:r>
      <w:r>
        <w:t xml:space="preserve"> </w:t>
      </w:r>
      <w:r>
        <w:rPr>
          <w:rtl/>
        </w:rPr>
        <w:t xml:space="preserve">; וכן היותו של הנאשם מטפל יחיד של קרוב משפחה התלוי בו. </w:t>
      </w:r>
    </w:p>
    <w:p w14:paraId="367692C9" w14:textId="77777777" w:rsidR="00097756" w:rsidRDefault="00097756">
      <w:pPr>
        <w:spacing w:line="360" w:lineRule="auto"/>
        <w:jc w:val="both"/>
        <w:rPr>
          <w:rtl/>
        </w:rPr>
      </w:pPr>
    </w:p>
    <w:p w14:paraId="7DE9FA03" w14:textId="77777777" w:rsidR="00097756" w:rsidRDefault="006942B9">
      <w:pPr>
        <w:spacing w:line="360" w:lineRule="auto"/>
        <w:ind w:left="720" w:hanging="720"/>
        <w:jc w:val="both"/>
        <w:rPr>
          <w:rtl/>
        </w:rPr>
      </w:pPr>
      <w:r>
        <w:rPr>
          <w:rFonts w:hint="cs"/>
          <w:rtl/>
        </w:rPr>
        <w:t>45</w:t>
      </w:r>
      <w:r>
        <w:rPr>
          <w:rtl/>
        </w:rPr>
        <w:t>.</w:t>
      </w:r>
      <w:r>
        <w:rPr>
          <w:rtl/>
        </w:rPr>
        <w:tab/>
      </w:r>
      <w:r>
        <w:rPr>
          <w:rFonts w:hint="cs"/>
          <w:rtl/>
        </w:rPr>
        <w:t xml:space="preserve">לסיכום, </w:t>
      </w:r>
      <w:r>
        <w:rPr>
          <w:rtl/>
        </w:rPr>
        <w:t>בדין האנגלי ישנה חלוקה של שלוש קטגוריות עיקריות של אשם בעבירות סמים: תפקיד מוביל, תפקיד משמעותי ותפקיד מופחת.</w:t>
      </w:r>
      <w:r>
        <w:rPr>
          <w:rFonts w:hint="cs"/>
          <w:rtl/>
        </w:rPr>
        <w:t xml:space="preserve"> קטגוריות אלה מתווספות על קטגוריית האשם הכלליות שחלות בכל סוגי העבירה על פי יחסו הנפשי של הנאשם לנזק שנגרם או שהיה צפוי להיגרם מביצוע העבירה (כוונה לגרום לנזק, לעומת פזיזות לאפשרות שייגרם נזק, לעומת ידיעה שיכול שייגרם נזק, לעומת רשלנות בצפיית האפשרות שייגרם נזק). </w:t>
      </w:r>
      <w:r>
        <w:rPr>
          <w:rtl/>
        </w:rPr>
        <w:t xml:space="preserve"> יובהר כי עונשי המוצא ומתחמי העונש שנקבעו בדין האנגלי אינם רלבנטיים לענייננו ואינני עושה כל אנאלוגיות ממתחמים אלה למתחם העונש ההולם במקרה שבפני. הדין האנגלי הובא בהרחבה על מנת להמחיש את הסוגיה של </w:t>
      </w:r>
      <w:r>
        <w:rPr>
          <w:b/>
          <w:bCs/>
          <w:rtl/>
        </w:rPr>
        <w:t>מתחמי עונש שונים</w:t>
      </w:r>
      <w:r>
        <w:rPr>
          <w:rtl/>
        </w:rPr>
        <w:t xml:space="preserve"> לנאשמים שביצעו עבירות זהות, בדגש על </w:t>
      </w:r>
      <w:r>
        <w:rPr>
          <w:rFonts w:hint="cs"/>
          <w:b/>
          <w:bCs/>
          <w:rtl/>
        </w:rPr>
        <w:t>מידת נזק זהה</w:t>
      </w:r>
      <w:r>
        <w:rPr>
          <w:rFonts w:hint="cs"/>
          <w:rtl/>
        </w:rPr>
        <w:t xml:space="preserve"> (מבחינת</w:t>
      </w:r>
      <w:r>
        <w:rPr>
          <w:rtl/>
        </w:rPr>
        <w:t xml:space="preserve"> סוג הסם וכמות הסם</w:t>
      </w:r>
      <w:r>
        <w:rPr>
          <w:rFonts w:hint="cs"/>
          <w:rtl/>
        </w:rPr>
        <w:t>)</w:t>
      </w:r>
      <w:r>
        <w:rPr>
          <w:rtl/>
        </w:rPr>
        <w:t xml:space="preserve">, כאשר השוני במתחמים מוכרע </w:t>
      </w:r>
      <w:r>
        <w:rPr>
          <w:rFonts w:hint="cs"/>
          <w:rtl/>
        </w:rPr>
        <w:t xml:space="preserve">על פי </w:t>
      </w:r>
      <w:r>
        <w:rPr>
          <w:rFonts w:hint="cs"/>
          <w:b/>
          <w:bCs/>
          <w:rtl/>
        </w:rPr>
        <w:t>השוני במידת האשם</w:t>
      </w:r>
      <w:r>
        <w:rPr>
          <w:rFonts w:hint="cs"/>
          <w:rtl/>
        </w:rPr>
        <w:t xml:space="preserve">. </w:t>
      </w:r>
      <w:r>
        <w:rPr>
          <w:rtl/>
        </w:rPr>
        <w:t xml:space="preserve">  </w:t>
      </w:r>
    </w:p>
    <w:p w14:paraId="142952DB" w14:textId="77777777" w:rsidR="00097756" w:rsidRDefault="00097756">
      <w:pPr>
        <w:spacing w:line="360" w:lineRule="auto"/>
        <w:jc w:val="both"/>
        <w:rPr>
          <w:rtl/>
        </w:rPr>
      </w:pPr>
    </w:p>
    <w:p w14:paraId="105C6883" w14:textId="77777777" w:rsidR="00097756" w:rsidRDefault="006942B9">
      <w:pPr>
        <w:spacing w:line="360" w:lineRule="auto"/>
        <w:jc w:val="both"/>
        <w:rPr>
          <w:b/>
          <w:bCs/>
          <w:sz w:val="28"/>
          <w:szCs w:val="28"/>
          <w:u w:val="single"/>
          <w:rtl/>
        </w:rPr>
      </w:pPr>
      <w:r>
        <w:rPr>
          <w:rFonts w:hint="cs"/>
          <w:b/>
          <w:bCs/>
          <w:sz w:val="28"/>
          <w:szCs w:val="28"/>
          <w:u w:val="single"/>
          <w:rtl/>
        </w:rPr>
        <w:t xml:space="preserve">המצב בישראל </w:t>
      </w:r>
    </w:p>
    <w:p w14:paraId="442231F8" w14:textId="77777777" w:rsidR="00097756" w:rsidRDefault="00097756">
      <w:pPr>
        <w:spacing w:line="360" w:lineRule="auto"/>
        <w:jc w:val="both"/>
        <w:rPr>
          <w:rtl/>
        </w:rPr>
      </w:pPr>
    </w:p>
    <w:p w14:paraId="6EE3E2C3" w14:textId="77777777" w:rsidR="00097756" w:rsidRDefault="006942B9">
      <w:pPr>
        <w:spacing w:line="360" w:lineRule="auto"/>
        <w:ind w:left="720" w:hanging="720"/>
        <w:jc w:val="both"/>
        <w:rPr>
          <w:rtl/>
        </w:rPr>
      </w:pPr>
      <w:r>
        <w:rPr>
          <w:rFonts w:hint="cs"/>
          <w:rtl/>
        </w:rPr>
        <w:t>46</w:t>
      </w:r>
      <w:r>
        <w:rPr>
          <w:rtl/>
        </w:rPr>
        <w:t>.</w:t>
      </w:r>
      <w:r>
        <w:rPr>
          <w:rtl/>
        </w:rPr>
        <w:tab/>
        <w:t xml:space="preserve">אעמוד להלן על דוגמאות </w:t>
      </w:r>
      <w:r>
        <w:rPr>
          <w:rFonts w:hint="cs"/>
          <w:rtl/>
        </w:rPr>
        <w:t>מה</w:t>
      </w:r>
      <w:r>
        <w:rPr>
          <w:rtl/>
        </w:rPr>
        <w:t xml:space="preserve">פסיקה בישראל </w:t>
      </w:r>
      <w:r>
        <w:rPr>
          <w:rFonts w:hint="cs"/>
          <w:rtl/>
        </w:rPr>
        <w:t>שבהם מדובר בעבירות שעניינן סמים "קשים", וזאת על מנת להגדיר את מתחם העונש ההולם לייבוא סמים "קשים" לישראל במשקל של 50 גרם בעת שלמבצע העבירה היה "</w:t>
      </w:r>
      <w:r>
        <w:rPr>
          <w:rFonts w:hint="cs"/>
          <w:b/>
          <w:bCs/>
          <w:rtl/>
        </w:rPr>
        <w:t>תפקיד משמעותי</w:t>
      </w:r>
      <w:r>
        <w:rPr>
          <w:rFonts w:hint="cs"/>
          <w:rtl/>
        </w:rPr>
        <w:t xml:space="preserve">" בביצוע העבירה. בנוסף, אגדיר את מתחם העונש ההולם לייבוא סמים "קשים" לישראל, כאשר </w:t>
      </w:r>
      <w:r>
        <w:rPr>
          <w:rFonts w:hint="cs"/>
          <w:b/>
          <w:bCs/>
          <w:rtl/>
        </w:rPr>
        <w:t>מידת הנזק</w:t>
      </w:r>
      <w:r>
        <w:rPr>
          <w:rFonts w:hint="cs"/>
          <w:rtl/>
        </w:rPr>
        <w:t xml:space="preserve"> </w:t>
      </w:r>
      <w:r>
        <w:rPr>
          <w:rFonts w:hint="cs"/>
          <w:b/>
          <w:bCs/>
          <w:rtl/>
        </w:rPr>
        <w:t>היא זהה</w:t>
      </w:r>
      <w:r>
        <w:rPr>
          <w:rFonts w:hint="cs"/>
          <w:rtl/>
        </w:rPr>
        <w:t xml:space="preserve"> (היינו ייבוא אותו סוג סם ובאותה כמות), ומבצע העבירה היתה </w:t>
      </w:r>
      <w:r>
        <w:rPr>
          <w:rFonts w:hint="cs"/>
          <w:b/>
          <w:bCs/>
          <w:rtl/>
        </w:rPr>
        <w:t>מידת אשם נמוכה</w:t>
      </w:r>
      <w:r>
        <w:rPr>
          <w:rFonts w:hint="cs"/>
          <w:rtl/>
        </w:rPr>
        <w:t xml:space="preserve"> יותר, היינו היה לו </w:t>
      </w:r>
      <w:r>
        <w:rPr>
          <w:rFonts w:hint="cs"/>
          <w:b/>
          <w:bCs/>
          <w:rtl/>
        </w:rPr>
        <w:t>"תפקיד מופחת</w:t>
      </w:r>
      <w:r>
        <w:rPr>
          <w:rFonts w:hint="cs"/>
          <w:rtl/>
        </w:rPr>
        <w:t xml:space="preserve">" בביצוע העבירה. </w:t>
      </w:r>
      <w:r>
        <w:rPr>
          <w:rtl/>
        </w:rPr>
        <w:t>הנאשם שבפני, בבירור איננו נמנה על הקטגוריה של "</w:t>
      </w:r>
      <w:r>
        <w:rPr>
          <w:b/>
          <w:bCs/>
          <w:rtl/>
        </w:rPr>
        <w:t>תפקיד מוביל</w:t>
      </w:r>
      <w:r>
        <w:rPr>
          <w:rtl/>
        </w:rPr>
        <w:t xml:space="preserve">" ולכן אינני </w:t>
      </w:r>
      <w:r>
        <w:rPr>
          <w:rFonts w:hint="cs"/>
          <w:rtl/>
        </w:rPr>
        <w:t>רואה</w:t>
      </w:r>
      <w:r>
        <w:rPr>
          <w:rtl/>
        </w:rPr>
        <w:t xml:space="preserve"> צורך להגדיר מהו מתחם העונש ההולם לגבי ביצוע עביר</w:t>
      </w:r>
      <w:r>
        <w:rPr>
          <w:rFonts w:hint="cs"/>
          <w:rtl/>
        </w:rPr>
        <w:t>ה של ייבוא</w:t>
      </w:r>
      <w:r>
        <w:rPr>
          <w:rtl/>
        </w:rPr>
        <w:t xml:space="preserve"> סם "קשה" במשקל של 50 גרם, כאשר הנאשם מצוי בקטגורית אשם של "תפקיד מוביל", וזאת מחמת חוסר רלוונטיות. </w:t>
      </w:r>
    </w:p>
    <w:p w14:paraId="377F53B8" w14:textId="77777777" w:rsidR="00097756" w:rsidRDefault="00097756">
      <w:pPr>
        <w:spacing w:line="360" w:lineRule="auto"/>
        <w:jc w:val="both"/>
        <w:rPr>
          <w:rtl/>
        </w:rPr>
      </w:pPr>
    </w:p>
    <w:p w14:paraId="2ABB7D81" w14:textId="77777777" w:rsidR="00097756" w:rsidRDefault="006942B9">
      <w:pPr>
        <w:spacing w:line="360" w:lineRule="auto"/>
        <w:ind w:left="720" w:hanging="720"/>
        <w:jc w:val="both"/>
        <w:rPr>
          <w:rtl/>
        </w:rPr>
      </w:pPr>
      <w:r>
        <w:rPr>
          <w:rFonts w:hint="cs"/>
          <w:rtl/>
        </w:rPr>
        <w:t>47</w:t>
      </w:r>
      <w:r>
        <w:rPr>
          <w:rtl/>
        </w:rPr>
        <w:t>.</w:t>
      </w:r>
      <w:r>
        <w:rPr>
          <w:rtl/>
        </w:rPr>
        <w:tab/>
      </w:r>
      <w:r>
        <w:rPr>
          <w:rFonts w:hint="cs"/>
          <w:rtl/>
        </w:rPr>
        <w:t xml:space="preserve">לאחר שאקבע מהו מתחם העונש ההולם בשני סוגי התפקידים, "משמעותי" לעומת "מופחת", כאשר </w:t>
      </w:r>
      <w:r>
        <w:rPr>
          <w:rFonts w:hint="cs"/>
          <w:b/>
          <w:bCs/>
          <w:rtl/>
        </w:rPr>
        <w:t xml:space="preserve">מידת הנזק היא זהה </w:t>
      </w:r>
      <w:r>
        <w:rPr>
          <w:rFonts w:hint="cs"/>
          <w:rtl/>
        </w:rPr>
        <w:t xml:space="preserve">(היינו ייבוא מתאמפטאמין במשקל 50 גרם)  אקבע </w:t>
      </w:r>
      <w:r>
        <w:rPr>
          <w:b/>
          <w:bCs/>
          <w:rtl/>
        </w:rPr>
        <w:t>לאיזה מתחם עונש הולם</w:t>
      </w:r>
      <w:r>
        <w:rPr>
          <w:rtl/>
        </w:rPr>
        <w:t xml:space="preserve"> שייך הנאשם שבפני</w:t>
      </w:r>
      <w:r>
        <w:rPr>
          <w:rFonts w:hint="cs"/>
          <w:rtl/>
        </w:rPr>
        <w:t xml:space="preserve"> לפי </w:t>
      </w:r>
      <w:r>
        <w:rPr>
          <w:rFonts w:hint="cs"/>
          <w:b/>
          <w:bCs/>
          <w:rtl/>
        </w:rPr>
        <w:t>מידת אשמו</w:t>
      </w:r>
      <w:r>
        <w:rPr>
          <w:b/>
          <w:bCs/>
          <w:rtl/>
        </w:rPr>
        <w:t>,</w:t>
      </w:r>
      <w:r>
        <w:rPr>
          <w:rtl/>
        </w:rPr>
        <w:t xml:space="preserve"> </w:t>
      </w:r>
      <w:r>
        <w:rPr>
          <w:rFonts w:hint="cs"/>
          <w:rtl/>
        </w:rPr>
        <w:t xml:space="preserve">היינו </w:t>
      </w:r>
      <w:r>
        <w:rPr>
          <w:rtl/>
        </w:rPr>
        <w:t xml:space="preserve">האם </w:t>
      </w:r>
      <w:r>
        <w:rPr>
          <w:rFonts w:hint="cs"/>
          <w:rtl/>
        </w:rPr>
        <w:t xml:space="preserve">הוא בעל </w:t>
      </w:r>
      <w:r>
        <w:rPr>
          <w:rtl/>
        </w:rPr>
        <w:t xml:space="preserve">"תפקיד משמעותי" או שמא </w:t>
      </w:r>
      <w:r>
        <w:rPr>
          <w:rFonts w:hint="cs"/>
          <w:rtl/>
        </w:rPr>
        <w:t xml:space="preserve">בעל </w:t>
      </w:r>
      <w:r>
        <w:rPr>
          <w:rtl/>
        </w:rPr>
        <w:t xml:space="preserve">"תפקיד מופחת".  </w:t>
      </w:r>
      <w:r>
        <w:rPr>
          <w:rFonts w:hint="cs"/>
          <w:rtl/>
        </w:rPr>
        <w:t xml:space="preserve">בשלב הסופי אגדיר את העונש המתאים בתוך מתחם העונש ההולם שקבעתי בעניינו. </w:t>
      </w:r>
    </w:p>
    <w:p w14:paraId="75CA9886" w14:textId="77777777" w:rsidR="00097756" w:rsidRDefault="00097756">
      <w:pPr>
        <w:spacing w:line="360" w:lineRule="auto"/>
        <w:jc w:val="both"/>
        <w:rPr>
          <w:rtl/>
        </w:rPr>
      </w:pPr>
    </w:p>
    <w:p w14:paraId="784A44A3" w14:textId="77777777" w:rsidR="00097756" w:rsidRDefault="006942B9">
      <w:pPr>
        <w:spacing w:line="360" w:lineRule="auto"/>
        <w:ind w:left="720" w:hanging="720"/>
        <w:jc w:val="both"/>
        <w:rPr>
          <w:rtl/>
        </w:rPr>
      </w:pPr>
      <w:r>
        <w:rPr>
          <w:rFonts w:hint="cs"/>
          <w:rtl/>
        </w:rPr>
        <w:t>48</w:t>
      </w:r>
      <w:r>
        <w:rPr>
          <w:rtl/>
        </w:rPr>
        <w:t>.</w:t>
      </w:r>
      <w:r>
        <w:rPr>
          <w:rtl/>
        </w:rPr>
        <w:tab/>
        <w:t>הפסיקה שתובא להלן תתמקד בסמים "קשים" (הרואין וקוקאין) בעביר</w:t>
      </w:r>
      <w:r>
        <w:rPr>
          <w:rFonts w:hint="cs"/>
          <w:rtl/>
        </w:rPr>
        <w:t>ה</w:t>
      </w:r>
      <w:r>
        <w:rPr>
          <w:rtl/>
        </w:rPr>
        <w:t xml:space="preserve"> של </w:t>
      </w:r>
      <w:r>
        <w:rPr>
          <w:rFonts w:hint="cs"/>
          <w:rtl/>
        </w:rPr>
        <w:t>החז</w:t>
      </w:r>
      <w:r>
        <w:rPr>
          <w:rtl/>
        </w:rPr>
        <w:t>קת סם שלא לצריכה עצמית</w:t>
      </w:r>
      <w:r>
        <w:rPr>
          <w:rFonts w:hint="cs"/>
          <w:rtl/>
        </w:rPr>
        <w:t xml:space="preserve"> בכמויות של עשרות גרמים, כמו המקרה שבפני</w:t>
      </w:r>
      <w:r>
        <w:rPr>
          <w:rtl/>
        </w:rPr>
        <w:t xml:space="preserve">. הפסיקה היא של בית המשפט העליון </w:t>
      </w:r>
      <w:r>
        <w:rPr>
          <w:rFonts w:hint="cs"/>
          <w:rtl/>
        </w:rPr>
        <w:t>ו</w:t>
      </w:r>
      <w:r>
        <w:rPr>
          <w:rtl/>
        </w:rPr>
        <w:t xml:space="preserve">פורסמה באתר "נבו". </w:t>
      </w:r>
      <w:r>
        <w:rPr>
          <w:rFonts w:hint="cs"/>
          <w:rtl/>
        </w:rPr>
        <w:t xml:space="preserve">אינני רואה כל מניעה לביצוע אנאלוגיה מהעבירה של החזקת סם שלא לצריכה עצמית לעבירה של ייבוא סמים, לצורך קביעת מתחם העונש ההולם, במיוחד כאשר מדובר באותה קטגוריית סם (סם קשה) ובכמויות דומות. </w:t>
      </w:r>
    </w:p>
    <w:p w14:paraId="54381A13" w14:textId="77777777" w:rsidR="00097756" w:rsidRDefault="00097756">
      <w:pPr>
        <w:spacing w:line="360" w:lineRule="auto"/>
        <w:jc w:val="both"/>
        <w:rPr>
          <w:sz w:val="28"/>
          <w:szCs w:val="28"/>
          <w:u w:val="single"/>
          <w:rtl/>
        </w:rPr>
      </w:pPr>
    </w:p>
    <w:p w14:paraId="074D244C" w14:textId="77777777" w:rsidR="00097756" w:rsidRDefault="006942B9">
      <w:pPr>
        <w:spacing w:line="360" w:lineRule="auto"/>
        <w:jc w:val="both"/>
        <w:rPr>
          <w:sz w:val="28"/>
          <w:szCs w:val="28"/>
          <w:u w:val="single"/>
          <w:rtl/>
        </w:rPr>
      </w:pPr>
      <w:r>
        <w:rPr>
          <w:rFonts w:hint="cs"/>
          <w:sz w:val="28"/>
          <w:szCs w:val="28"/>
          <w:u w:val="single"/>
          <w:rtl/>
        </w:rPr>
        <w:t xml:space="preserve">מתחם העונש ההולם כאשר מידת האשם היא של "תפקיד משמעותי" </w:t>
      </w:r>
    </w:p>
    <w:p w14:paraId="35761F79" w14:textId="77777777" w:rsidR="00097756" w:rsidRDefault="00097756">
      <w:pPr>
        <w:spacing w:line="360" w:lineRule="auto"/>
        <w:jc w:val="both"/>
        <w:rPr>
          <w:rtl/>
        </w:rPr>
      </w:pPr>
    </w:p>
    <w:tbl>
      <w:tblPr>
        <w:bidiVisual/>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134"/>
        <w:gridCol w:w="1843"/>
        <w:gridCol w:w="1688"/>
        <w:gridCol w:w="1397"/>
      </w:tblGrid>
      <w:tr w:rsidR="00097756" w14:paraId="4C3CC574" w14:textId="77777777">
        <w:trPr>
          <w:jc w:val="right"/>
        </w:trPr>
        <w:tc>
          <w:tcPr>
            <w:tcW w:w="1843" w:type="dxa"/>
          </w:tcPr>
          <w:p w14:paraId="0FA230B6" w14:textId="77777777" w:rsidR="00097756" w:rsidRDefault="006942B9">
            <w:pPr>
              <w:spacing w:line="360" w:lineRule="auto"/>
              <w:jc w:val="both"/>
              <w:rPr>
                <w:b/>
                <w:bCs/>
              </w:rPr>
            </w:pPr>
            <w:r>
              <w:rPr>
                <w:b/>
                <w:bCs/>
                <w:rtl/>
              </w:rPr>
              <w:t xml:space="preserve">מספר הליך וערכאה </w:t>
            </w:r>
          </w:p>
        </w:tc>
        <w:tc>
          <w:tcPr>
            <w:tcW w:w="1134" w:type="dxa"/>
          </w:tcPr>
          <w:p w14:paraId="5C338218" w14:textId="77777777" w:rsidR="00097756" w:rsidRDefault="006942B9">
            <w:pPr>
              <w:spacing w:line="360" w:lineRule="auto"/>
              <w:jc w:val="both"/>
              <w:rPr>
                <w:b/>
                <w:bCs/>
              </w:rPr>
            </w:pPr>
            <w:r>
              <w:rPr>
                <w:b/>
                <w:bCs/>
                <w:rtl/>
              </w:rPr>
              <w:t xml:space="preserve">שם נאשם </w:t>
            </w:r>
          </w:p>
        </w:tc>
        <w:tc>
          <w:tcPr>
            <w:tcW w:w="1843" w:type="dxa"/>
          </w:tcPr>
          <w:p w14:paraId="3F12B39A" w14:textId="77777777" w:rsidR="00097756" w:rsidRDefault="006942B9">
            <w:pPr>
              <w:spacing w:line="360" w:lineRule="auto"/>
              <w:jc w:val="both"/>
              <w:rPr>
                <w:b/>
                <w:bCs/>
              </w:rPr>
            </w:pPr>
            <w:r>
              <w:rPr>
                <w:b/>
                <w:bCs/>
                <w:rtl/>
              </w:rPr>
              <w:t>סוג עבירת סם</w:t>
            </w:r>
          </w:p>
        </w:tc>
        <w:tc>
          <w:tcPr>
            <w:tcW w:w="1688" w:type="dxa"/>
          </w:tcPr>
          <w:p w14:paraId="4B80EF77" w14:textId="77777777" w:rsidR="00097756" w:rsidRDefault="006942B9">
            <w:pPr>
              <w:spacing w:line="360" w:lineRule="auto"/>
              <w:jc w:val="both"/>
              <w:rPr>
                <w:b/>
                <w:bCs/>
              </w:rPr>
            </w:pPr>
            <w:r>
              <w:rPr>
                <w:b/>
                <w:bCs/>
                <w:rtl/>
              </w:rPr>
              <w:t>כמות</w:t>
            </w:r>
            <w:r>
              <w:rPr>
                <w:rFonts w:hint="cs"/>
                <w:b/>
                <w:bCs/>
                <w:rtl/>
              </w:rPr>
              <w:t xml:space="preserve"> </w:t>
            </w:r>
            <w:r>
              <w:rPr>
                <w:b/>
                <w:bCs/>
                <w:rtl/>
              </w:rPr>
              <w:t>הסם (הרואין/קוקאין)</w:t>
            </w:r>
          </w:p>
        </w:tc>
        <w:tc>
          <w:tcPr>
            <w:tcW w:w="1397" w:type="dxa"/>
          </w:tcPr>
          <w:p w14:paraId="2C6F7DE0" w14:textId="77777777" w:rsidR="00097756" w:rsidRDefault="006942B9">
            <w:pPr>
              <w:spacing w:line="360" w:lineRule="auto"/>
              <w:jc w:val="both"/>
              <w:rPr>
                <w:b/>
                <w:bCs/>
              </w:rPr>
            </w:pPr>
            <w:r>
              <w:rPr>
                <w:b/>
                <w:bCs/>
                <w:rtl/>
              </w:rPr>
              <w:t>עונש מאסר בפועל</w:t>
            </w:r>
          </w:p>
        </w:tc>
      </w:tr>
      <w:tr w:rsidR="00097756" w14:paraId="67CB9330" w14:textId="77777777">
        <w:trPr>
          <w:jc w:val="right"/>
        </w:trPr>
        <w:tc>
          <w:tcPr>
            <w:tcW w:w="1843" w:type="dxa"/>
          </w:tcPr>
          <w:p w14:paraId="526FCD21" w14:textId="77777777" w:rsidR="00097756" w:rsidRDefault="00C23558">
            <w:pPr>
              <w:spacing w:line="360" w:lineRule="auto"/>
              <w:jc w:val="both"/>
            </w:pPr>
            <w:hyperlink r:id="rId43" w:history="1">
              <w:r w:rsidRPr="00C23558">
                <w:rPr>
                  <w:rStyle w:val="Hyperlink"/>
                  <w:rFonts w:cs="David"/>
                  <w:rtl/>
                </w:rPr>
                <w:t>ע"פ 6658/04</w:t>
              </w:r>
              <w:r w:rsidRPr="00C23558">
                <w:rPr>
                  <w:rStyle w:val="Hyperlink"/>
                  <w:rFonts w:cs="David"/>
                  <w:rtl/>
                </w:rPr>
                <w:cr/>
              </w:r>
            </w:hyperlink>
            <w:r w:rsidR="006942B9">
              <w:rPr>
                <w:rtl/>
              </w:rPr>
              <w:t xml:space="preserve">עליון </w:t>
            </w:r>
          </w:p>
        </w:tc>
        <w:tc>
          <w:tcPr>
            <w:tcW w:w="1134" w:type="dxa"/>
          </w:tcPr>
          <w:p w14:paraId="261D4A99" w14:textId="77777777" w:rsidR="00097756" w:rsidRDefault="006942B9">
            <w:pPr>
              <w:spacing w:line="360" w:lineRule="auto"/>
              <w:jc w:val="both"/>
            </w:pPr>
            <w:r>
              <w:rPr>
                <w:rtl/>
              </w:rPr>
              <w:t xml:space="preserve">סאטל </w:t>
            </w:r>
          </w:p>
        </w:tc>
        <w:tc>
          <w:tcPr>
            <w:tcW w:w="1843" w:type="dxa"/>
          </w:tcPr>
          <w:p w14:paraId="4CC3A0BB" w14:textId="77777777" w:rsidR="00097756" w:rsidRDefault="006942B9">
            <w:pPr>
              <w:spacing w:line="360" w:lineRule="auto"/>
              <w:jc w:val="both"/>
            </w:pPr>
            <w:r>
              <w:rPr>
                <w:rtl/>
              </w:rPr>
              <w:t>החזקה שלא לצריכה עצמית</w:t>
            </w:r>
          </w:p>
        </w:tc>
        <w:tc>
          <w:tcPr>
            <w:tcW w:w="1688" w:type="dxa"/>
          </w:tcPr>
          <w:p w14:paraId="07F9F4E9" w14:textId="77777777" w:rsidR="00097756" w:rsidRDefault="006942B9">
            <w:pPr>
              <w:spacing w:line="360" w:lineRule="auto"/>
              <w:jc w:val="both"/>
            </w:pPr>
            <w:r>
              <w:rPr>
                <w:rtl/>
              </w:rPr>
              <w:t xml:space="preserve">80 גרם </w:t>
            </w:r>
          </w:p>
        </w:tc>
        <w:tc>
          <w:tcPr>
            <w:tcW w:w="1397" w:type="dxa"/>
          </w:tcPr>
          <w:p w14:paraId="1B35535B" w14:textId="77777777" w:rsidR="00097756" w:rsidRDefault="006942B9">
            <w:pPr>
              <w:spacing w:line="360" w:lineRule="auto"/>
              <w:jc w:val="both"/>
              <w:rPr>
                <w:b/>
                <w:bCs/>
              </w:rPr>
            </w:pPr>
            <w:r>
              <w:rPr>
                <w:b/>
                <w:bCs/>
                <w:rtl/>
              </w:rPr>
              <w:t>שנתיים</w:t>
            </w:r>
          </w:p>
        </w:tc>
      </w:tr>
      <w:tr w:rsidR="00097756" w14:paraId="1B90F76C" w14:textId="77777777">
        <w:trPr>
          <w:jc w:val="right"/>
        </w:trPr>
        <w:tc>
          <w:tcPr>
            <w:tcW w:w="1843" w:type="dxa"/>
          </w:tcPr>
          <w:p w14:paraId="07DA7D12" w14:textId="77777777" w:rsidR="00097756" w:rsidRDefault="00C23558">
            <w:pPr>
              <w:spacing w:line="360" w:lineRule="auto"/>
              <w:jc w:val="both"/>
              <w:rPr>
                <w:rtl/>
              </w:rPr>
            </w:pPr>
            <w:hyperlink r:id="rId44" w:history="1">
              <w:r w:rsidRPr="00C23558">
                <w:rPr>
                  <w:rStyle w:val="Hyperlink"/>
                  <w:rFonts w:cs="David"/>
                  <w:rtl/>
                </w:rPr>
                <w:t>ע"פ 2410/07</w:t>
              </w:r>
            </w:hyperlink>
            <w:r w:rsidR="006942B9">
              <w:rPr>
                <w:rtl/>
              </w:rPr>
              <w:t xml:space="preserve"> </w:t>
            </w:r>
          </w:p>
          <w:p w14:paraId="63FCCCD7" w14:textId="77777777" w:rsidR="00097756" w:rsidRDefault="006942B9">
            <w:pPr>
              <w:spacing w:line="360" w:lineRule="auto"/>
              <w:jc w:val="both"/>
            </w:pPr>
            <w:r>
              <w:rPr>
                <w:rtl/>
              </w:rPr>
              <w:t xml:space="preserve">עליון </w:t>
            </w:r>
          </w:p>
        </w:tc>
        <w:tc>
          <w:tcPr>
            <w:tcW w:w="1134" w:type="dxa"/>
          </w:tcPr>
          <w:p w14:paraId="744B41DF" w14:textId="77777777" w:rsidR="00097756" w:rsidRDefault="006942B9">
            <w:pPr>
              <w:spacing w:line="360" w:lineRule="auto"/>
              <w:jc w:val="both"/>
            </w:pPr>
            <w:r>
              <w:rPr>
                <w:rtl/>
              </w:rPr>
              <w:t xml:space="preserve">תורכ </w:t>
            </w:r>
          </w:p>
        </w:tc>
        <w:tc>
          <w:tcPr>
            <w:tcW w:w="1843" w:type="dxa"/>
          </w:tcPr>
          <w:p w14:paraId="062B0C30" w14:textId="77777777" w:rsidR="00097756" w:rsidRDefault="006942B9">
            <w:pPr>
              <w:spacing w:line="360" w:lineRule="auto"/>
              <w:jc w:val="both"/>
            </w:pPr>
            <w:r>
              <w:rPr>
                <w:rtl/>
              </w:rPr>
              <w:t xml:space="preserve">החזקת שלא לצריכה עצמית </w:t>
            </w:r>
          </w:p>
        </w:tc>
        <w:tc>
          <w:tcPr>
            <w:tcW w:w="1688" w:type="dxa"/>
          </w:tcPr>
          <w:p w14:paraId="3C7F50CC" w14:textId="77777777" w:rsidR="00097756" w:rsidRDefault="006942B9">
            <w:pPr>
              <w:spacing w:line="360" w:lineRule="auto"/>
              <w:jc w:val="both"/>
            </w:pPr>
            <w:r>
              <w:rPr>
                <w:rtl/>
              </w:rPr>
              <w:t xml:space="preserve">68.6 גרם </w:t>
            </w:r>
          </w:p>
        </w:tc>
        <w:tc>
          <w:tcPr>
            <w:tcW w:w="1397" w:type="dxa"/>
          </w:tcPr>
          <w:p w14:paraId="7B4B8742" w14:textId="77777777" w:rsidR="00097756" w:rsidRDefault="006942B9">
            <w:pPr>
              <w:spacing w:line="360" w:lineRule="auto"/>
              <w:jc w:val="both"/>
              <w:rPr>
                <w:b/>
                <w:bCs/>
              </w:rPr>
            </w:pPr>
            <w:r>
              <w:rPr>
                <w:b/>
                <w:bCs/>
                <w:rtl/>
              </w:rPr>
              <w:t>שלוש שנים</w:t>
            </w:r>
          </w:p>
        </w:tc>
      </w:tr>
      <w:tr w:rsidR="00097756" w14:paraId="358697A3" w14:textId="77777777">
        <w:trPr>
          <w:jc w:val="right"/>
        </w:trPr>
        <w:tc>
          <w:tcPr>
            <w:tcW w:w="1843" w:type="dxa"/>
          </w:tcPr>
          <w:p w14:paraId="2370BB3C" w14:textId="77777777" w:rsidR="00097756" w:rsidRDefault="00C23558">
            <w:pPr>
              <w:spacing w:line="360" w:lineRule="auto"/>
              <w:jc w:val="both"/>
            </w:pPr>
            <w:hyperlink r:id="rId45" w:history="1">
              <w:r w:rsidRPr="00C23558">
                <w:rPr>
                  <w:rStyle w:val="Hyperlink"/>
                  <w:rFonts w:cs="David"/>
                  <w:rtl/>
                </w:rPr>
                <w:t>ע"פ 810/11</w:t>
              </w:r>
              <w:r w:rsidRPr="00C23558">
                <w:rPr>
                  <w:rStyle w:val="Hyperlink"/>
                  <w:rFonts w:cs="David"/>
                  <w:rtl/>
                </w:rPr>
                <w:cr/>
              </w:r>
            </w:hyperlink>
            <w:r w:rsidR="006942B9">
              <w:rPr>
                <w:rtl/>
              </w:rPr>
              <w:t>עליון</w:t>
            </w:r>
          </w:p>
        </w:tc>
        <w:tc>
          <w:tcPr>
            <w:tcW w:w="1134" w:type="dxa"/>
          </w:tcPr>
          <w:p w14:paraId="36CBADD6" w14:textId="77777777" w:rsidR="00097756" w:rsidRDefault="006942B9">
            <w:pPr>
              <w:spacing w:line="360" w:lineRule="auto"/>
              <w:jc w:val="both"/>
            </w:pPr>
            <w:r>
              <w:rPr>
                <w:rtl/>
              </w:rPr>
              <w:t xml:space="preserve">בורגרקר </w:t>
            </w:r>
          </w:p>
        </w:tc>
        <w:tc>
          <w:tcPr>
            <w:tcW w:w="1843" w:type="dxa"/>
          </w:tcPr>
          <w:p w14:paraId="3ED8B7B2" w14:textId="77777777" w:rsidR="00097756" w:rsidRDefault="006942B9">
            <w:pPr>
              <w:spacing w:line="360" w:lineRule="auto"/>
              <w:jc w:val="both"/>
            </w:pPr>
            <w:r>
              <w:rPr>
                <w:rtl/>
              </w:rPr>
              <w:t xml:space="preserve">החזקה שלא לצריכה עצמית </w:t>
            </w:r>
          </w:p>
        </w:tc>
        <w:tc>
          <w:tcPr>
            <w:tcW w:w="1688" w:type="dxa"/>
          </w:tcPr>
          <w:p w14:paraId="1B0BF00C" w14:textId="77777777" w:rsidR="00097756" w:rsidRDefault="006942B9">
            <w:pPr>
              <w:spacing w:line="360" w:lineRule="auto"/>
              <w:jc w:val="both"/>
            </w:pPr>
            <w:r>
              <w:rPr>
                <w:rtl/>
              </w:rPr>
              <w:t xml:space="preserve">59.16 גרם </w:t>
            </w:r>
          </w:p>
        </w:tc>
        <w:tc>
          <w:tcPr>
            <w:tcW w:w="1397" w:type="dxa"/>
          </w:tcPr>
          <w:p w14:paraId="3404C1AB" w14:textId="77777777" w:rsidR="00097756" w:rsidRDefault="006942B9">
            <w:pPr>
              <w:spacing w:line="360" w:lineRule="auto"/>
              <w:jc w:val="both"/>
              <w:rPr>
                <w:b/>
                <w:bCs/>
              </w:rPr>
            </w:pPr>
            <w:r>
              <w:rPr>
                <w:b/>
                <w:bCs/>
                <w:rtl/>
              </w:rPr>
              <w:t>שלוש שנים</w:t>
            </w:r>
          </w:p>
        </w:tc>
      </w:tr>
      <w:tr w:rsidR="00097756" w14:paraId="0A2867AA" w14:textId="77777777">
        <w:trPr>
          <w:jc w:val="right"/>
        </w:trPr>
        <w:tc>
          <w:tcPr>
            <w:tcW w:w="1843" w:type="dxa"/>
          </w:tcPr>
          <w:p w14:paraId="07740BE1" w14:textId="77777777" w:rsidR="00097756" w:rsidRDefault="00C23558">
            <w:pPr>
              <w:spacing w:line="360" w:lineRule="auto"/>
              <w:jc w:val="both"/>
            </w:pPr>
            <w:hyperlink r:id="rId46" w:history="1">
              <w:r w:rsidRPr="00C23558">
                <w:rPr>
                  <w:rStyle w:val="Hyperlink"/>
                  <w:rFonts w:cs="David"/>
                  <w:rtl/>
                </w:rPr>
                <w:t>ע"פ 5374/12</w:t>
              </w:r>
              <w:r w:rsidRPr="00C23558">
                <w:rPr>
                  <w:rStyle w:val="Hyperlink"/>
                  <w:rFonts w:cs="David"/>
                  <w:rtl/>
                </w:rPr>
                <w:cr/>
              </w:r>
            </w:hyperlink>
            <w:r w:rsidR="006942B9">
              <w:rPr>
                <w:rtl/>
              </w:rPr>
              <w:t xml:space="preserve">עליון </w:t>
            </w:r>
          </w:p>
        </w:tc>
        <w:tc>
          <w:tcPr>
            <w:tcW w:w="1134" w:type="dxa"/>
          </w:tcPr>
          <w:p w14:paraId="09F86B0B" w14:textId="77777777" w:rsidR="00097756" w:rsidRDefault="006942B9">
            <w:pPr>
              <w:spacing w:line="360" w:lineRule="auto"/>
              <w:jc w:val="both"/>
            </w:pPr>
            <w:r>
              <w:rPr>
                <w:rtl/>
              </w:rPr>
              <w:t xml:space="preserve">אברג'יל </w:t>
            </w:r>
          </w:p>
        </w:tc>
        <w:tc>
          <w:tcPr>
            <w:tcW w:w="1843" w:type="dxa"/>
          </w:tcPr>
          <w:p w14:paraId="1A2F303B" w14:textId="77777777" w:rsidR="00097756" w:rsidRDefault="006942B9">
            <w:pPr>
              <w:spacing w:line="360" w:lineRule="auto"/>
              <w:jc w:val="both"/>
            </w:pPr>
            <w:r>
              <w:rPr>
                <w:rtl/>
              </w:rPr>
              <w:t xml:space="preserve">החזקה שלא לצריכה עצמית </w:t>
            </w:r>
          </w:p>
        </w:tc>
        <w:tc>
          <w:tcPr>
            <w:tcW w:w="1688" w:type="dxa"/>
          </w:tcPr>
          <w:p w14:paraId="1F5A19DB" w14:textId="77777777" w:rsidR="00097756" w:rsidRDefault="006942B9">
            <w:pPr>
              <w:spacing w:line="360" w:lineRule="auto"/>
              <w:jc w:val="both"/>
            </w:pPr>
            <w:r>
              <w:rPr>
                <w:rtl/>
              </w:rPr>
              <w:t>43 גרם</w:t>
            </w:r>
          </w:p>
        </w:tc>
        <w:tc>
          <w:tcPr>
            <w:tcW w:w="1397" w:type="dxa"/>
          </w:tcPr>
          <w:p w14:paraId="5E9EB8E7" w14:textId="77777777" w:rsidR="00097756" w:rsidRDefault="006942B9">
            <w:pPr>
              <w:spacing w:line="360" w:lineRule="auto"/>
              <w:jc w:val="both"/>
              <w:rPr>
                <w:b/>
                <w:bCs/>
              </w:rPr>
            </w:pPr>
            <w:r>
              <w:rPr>
                <w:b/>
                <w:bCs/>
                <w:rtl/>
              </w:rPr>
              <w:t>שלוש שנים</w:t>
            </w:r>
          </w:p>
        </w:tc>
      </w:tr>
    </w:tbl>
    <w:p w14:paraId="4B1D8DE5" w14:textId="77777777" w:rsidR="00097756" w:rsidRDefault="006942B9">
      <w:pPr>
        <w:spacing w:line="360" w:lineRule="auto"/>
        <w:jc w:val="both"/>
        <w:rPr>
          <w:rtl/>
        </w:rPr>
      </w:pPr>
      <w:r>
        <w:rPr>
          <w:rFonts w:hint="cs"/>
          <w:rtl/>
        </w:rPr>
        <w:t xml:space="preserve"> </w:t>
      </w:r>
    </w:p>
    <w:p w14:paraId="47D95951" w14:textId="77777777" w:rsidR="00097756" w:rsidRDefault="00097756">
      <w:pPr>
        <w:spacing w:line="360" w:lineRule="auto"/>
        <w:jc w:val="both"/>
        <w:rPr>
          <w:rtl/>
        </w:rPr>
      </w:pPr>
    </w:p>
    <w:p w14:paraId="78444B12" w14:textId="77777777" w:rsidR="00097756" w:rsidRDefault="006942B9">
      <w:pPr>
        <w:spacing w:line="360" w:lineRule="auto"/>
        <w:ind w:left="720" w:hanging="720"/>
        <w:jc w:val="both"/>
        <w:rPr>
          <w:rtl/>
        </w:rPr>
      </w:pPr>
      <w:r>
        <w:rPr>
          <w:rFonts w:hint="cs"/>
          <w:rtl/>
        </w:rPr>
        <w:t>49</w:t>
      </w:r>
      <w:r>
        <w:rPr>
          <w:rtl/>
        </w:rPr>
        <w:t>.</w:t>
      </w:r>
      <w:r>
        <w:rPr>
          <w:rtl/>
        </w:rPr>
        <w:tab/>
        <w:t>בכל אחד מפסקי הדין</w:t>
      </w:r>
      <w:r>
        <w:rPr>
          <w:rFonts w:hint="cs"/>
          <w:rtl/>
        </w:rPr>
        <w:t xml:space="preserve"> שהובאו בטבלה הנ"ל </w:t>
      </w:r>
      <w:r>
        <w:rPr>
          <w:b/>
          <w:bCs/>
          <w:rtl/>
        </w:rPr>
        <w:t>לא היתה הפעלה של מאסר מותנה מתיקים קודמים</w:t>
      </w:r>
      <w:r>
        <w:rPr>
          <w:rtl/>
        </w:rPr>
        <w:t xml:space="preserve">. במילים אחרות, העונש שהוטל </w:t>
      </w:r>
      <w:r>
        <w:rPr>
          <w:rFonts w:hint="cs"/>
          <w:rtl/>
        </w:rPr>
        <w:t xml:space="preserve">ומובא בטור השמאלי של הטבלה </w:t>
      </w:r>
      <w:r>
        <w:rPr>
          <w:rtl/>
        </w:rPr>
        <w:t xml:space="preserve">הוא </w:t>
      </w:r>
      <w:r>
        <w:rPr>
          <w:rFonts w:hint="cs"/>
          <w:rtl/>
        </w:rPr>
        <w:t xml:space="preserve">באופן מוחלט </w:t>
      </w:r>
      <w:r>
        <w:rPr>
          <w:rtl/>
        </w:rPr>
        <w:t>בגין עבירת הסם שבוצעה</w:t>
      </w:r>
      <w:r>
        <w:rPr>
          <w:rFonts w:hint="cs"/>
          <w:rtl/>
        </w:rPr>
        <w:t>, והנתון המשתנה בין הנאשמים השונים הוא נסיבות אישיות כגון קיומו או העדרו של עבר פלילי</w:t>
      </w:r>
      <w:r>
        <w:rPr>
          <w:rtl/>
        </w:rPr>
        <w:t>.  בכל התיקים  מדובר במי שהחזיק את הסמים עבור עצמו על מנת לקדם אינטרסים כלכל</w:t>
      </w:r>
      <w:r>
        <w:rPr>
          <w:rFonts w:hint="cs"/>
          <w:rtl/>
        </w:rPr>
        <w:t>י</w:t>
      </w:r>
      <w:r>
        <w:rPr>
          <w:rtl/>
        </w:rPr>
        <w:t>ים אישיים שלו,</w:t>
      </w:r>
      <w:r>
        <w:rPr>
          <w:rFonts w:hint="cs"/>
          <w:rtl/>
        </w:rPr>
        <w:t xml:space="preserve"> ועם מודעות מלאה לגבי כמות הסם וסוג הסם, </w:t>
      </w:r>
      <w:r>
        <w:rPr>
          <w:rtl/>
        </w:rPr>
        <w:t xml:space="preserve">ומכאן הבחירה של פסיקה זו כמייצגת את המקרים שבהם מדובר בקטגוריית אשם של "תפקיד משמעותי". הכמויות שנבחרו הן של עשרות גרמים, כמו המקרה שבפני. </w:t>
      </w:r>
      <w:r>
        <w:rPr>
          <w:rFonts w:hint="cs"/>
          <w:rtl/>
        </w:rPr>
        <w:t xml:space="preserve">התמונה המצטיירת מהפסיקה הנ"ל היא שהעונשים נעים </w:t>
      </w:r>
      <w:r>
        <w:rPr>
          <w:rtl/>
        </w:rPr>
        <w:t xml:space="preserve">בין </w:t>
      </w:r>
      <w:r>
        <w:rPr>
          <w:u w:val="single"/>
          <w:rtl/>
        </w:rPr>
        <w:t>שנתיים לשלוש שנות מאסר</w:t>
      </w:r>
      <w:r>
        <w:rPr>
          <w:rtl/>
        </w:rPr>
        <w:t xml:space="preserve">. </w:t>
      </w:r>
      <w:r>
        <w:rPr>
          <w:rFonts w:hint="cs"/>
          <w:rtl/>
        </w:rPr>
        <w:t>כמו כן, באת כוח המאשימה הציגה בפני בשלב הטיעונים לעונש שני גזרי דין של בתי המשפט המחוזי בעבירה של ייבוא קוקאין בכמויות הקרובות למקרה שבפני והענישה שם היתה מאסר בפועל לשנתיים וחצי בתיק אחד ושלוש שנות מאסר בפועל בתיק האחר (</w:t>
      </w:r>
      <w:hyperlink r:id="rId47" w:history="1">
        <w:r w:rsidR="00C23558" w:rsidRPr="00C23558">
          <w:rPr>
            <w:rStyle w:val="Hyperlink"/>
            <w:rFonts w:cs="David"/>
            <w:rtl/>
          </w:rPr>
          <w:t>ת"פ (מח' – ת"א) 2035-09-12; ת"</w:t>
        </w:r>
      </w:hyperlink>
      <w:hyperlink r:id="rId48" w:history="1">
        <w:r w:rsidR="00C23558" w:rsidRPr="00C23558">
          <w:rPr>
            <w:rStyle w:val="Hyperlink"/>
            <w:rFonts w:cs="David" w:hint="eastAsia"/>
            <w:rtl/>
          </w:rPr>
          <w:t>פ</w:t>
        </w:r>
        <w:r w:rsidR="00C23558" w:rsidRPr="00C23558">
          <w:rPr>
            <w:rStyle w:val="Hyperlink"/>
            <w:rFonts w:cs="David"/>
            <w:rtl/>
          </w:rPr>
          <w:t xml:space="preserve"> (מח' – חי') 39322-08-10</w:t>
        </w:r>
      </w:hyperlink>
      <w:r>
        <w:rPr>
          <w:rtl/>
        </w:rPr>
        <w:t>)</w:t>
      </w:r>
      <w:r>
        <w:rPr>
          <w:rFonts w:hint="cs"/>
          <w:rtl/>
        </w:rPr>
        <w:t xml:space="preserve">, היינו בהתאמה לפסיקה שהובאה לעיל של בית המשפט העליון. </w:t>
      </w:r>
    </w:p>
    <w:p w14:paraId="6F00D8CA" w14:textId="77777777" w:rsidR="00097756" w:rsidRDefault="00097756">
      <w:pPr>
        <w:spacing w:line="360" w:lineRule="auto"/>
        <w:jc w:val="both"/>
        <w:rPr>
          <w:rtl/>
        </w:rPr>
      </w:pPr>
    </w:p>
    <w:p w14:paraId="0E89A2EA" w14:textId="77777777" w:rsidR="00097756" w:rsidRDefault="006942B9">
      <w:pPr>
        <w:spacing w:line="360" w:lineRule="auto"/>
        <w:ind w:left="720" w:hanging="720"/>
        <w:jc w:val="both"/>
        <w:rPr>
          <w:rtl/>
        </w:rPr>
      </w:pPr>
      <w:r>
        <w:rPr>
          <w:rFonts w:hint="cs"/>
          <w:rtl/>
        </w:rPr>
        <w:t>50</w:t>
      </w:r>
      <w:r>
        <w:rPr>
          <w:rtl/>
        </w:rPr>
        <w:t>.</w:t>
      </w:r>
      <w:r>
        <w:rPr>
          <w:rtl/>
        </w:rPr>
        <w:tab/>
        <w:t xml:space="preserve">במקרה אחר שנדון בפני, </w:t>
      </w:r>
      <w:hyperlink r:id="rId49" w:history="1">
        <w:r w:rsidR="00C23558" w:rsidRPr="00C23558">
          <w:rPr>
            <w:rStyle w:val="Hyperlink"/>
            <w:rFonts w:cs="David"/>
            <w:rtl/>
          </w:rPr>
          <w:t>ת"פ 24143-01-11 (רמ'</w:t>
        </w:r>
      </w:hyperlink>
      <w:r>
        <w:rPr>
          <w:rtl/>
        </w:rPr>
        <w:t xml:space="preserve">) </w:t>
      </w:r>
      <w:r>
        <w:rPr>
          <w:b/>
          <w:bCs/>
          <w:rtl/>
        </w:rPr>
        <w:t>מדינת ישראל נ' זיתון</w:t>
      </w:r>
      <w:r>
        <w:rPr>
          <w:rtl/>
        </w:rPr>
        <w:t xml:space="preserve"> [פורסם בנבו] (9.7.12),  היה מדובר בשני נאשמים שהורשעו בעבירה של החזקת סם שלא לצריכה עצמית. האחד החזיק סם מסוג הרואין במשקל 83 גרם והשני החזיק סם מסוג הרואין במשקל של 20 גרם. לגבי שני הנאשמים קבעתי ב</w:t>
      </w:r>
      <w:r>
        <w:rPr>
          <w:rFonts w:hint="cs"/>
          <w:rtl/>
        </w:rPr>
        <w:t>פסקה</w:t>
      </w:r>
      <w:r>
        <w:rPr>
          <w:rtl/>
        </w:rPr>
        <w:t xml:space="preserve"> 55 לגזר הדין כי מידת האשם של כל אחד מהם בעת ביצוע העבירה שבה הורשע היתה בקטגוריה של "</w:t>
      </w:r>
      <w:r>
        <w:rPr>
          <w:b/>
          <w:bCs/>
          <w:rtl/>
        </w:rPr>
        <w:t>תפקיד משמעותי</w:t>
      </w:r>
      <w:r>
        <w:rPr>
          <w:rtl/>
        </w:rPr>
        <w:t>"</w:t>
      </w:r>
      <w:r>
        <w:rPr>
          <w:rFonts w:hint="cs"/>
          <w:rtl/>
        </w:rPr>
        <w:t xml:space="preserve">. </w:t>
      </w:r>
      <w:r>
        <w:rPr>
          <w:rtl/>
        </w:rPr>
        <w:t xml:space="preserve">לפיכך, קבעתי כי מתחם העונש ההולם לגבי הנאשם שהחזיק </w:t>
      </w:r>
      <w:r>
        <w:rPr>
          <w:u w:val="single"/>
          <w:rtl/>
        </w:rPr>
        <w:t>83 גרם</w:t>
      </w:r>
      <w:r>
        <w:rPr>
          <w:rtl/>
        </w:rPr>
        <w:t xml:space="preserve"> נע בין </w:t>
      </w:r>
      <w:r>
        <w:rPr>
          <w:u w:val="single"/>
          <w:rtl/>
        </w:rPr>
        <w:t>שנתיים ל-4 שנות מאסר בפועל</w:t>
      </w:r>
      <w:r>
        <w:rPr>
          <w:rFonts w:hint="cs"/>
          <w:rtl/>
        </w:rPr>
        <w:t xml:space="preserve">, ובסופו של דבר, הטלתי עליו שלוש שנות מאסר. </w:t>
      </w:r>
      <w:r>
        <w:rPr>
          <w:rtl/>
        </w:rPr>
        <w:t xml:space="preserve">כמו כן, קבעתי כי מתחם העונש ההולם לגבי הנאשם שהחזיק </w:t>
      </w:r>
      <w:r>
        <w:rPr>
          <w:u w:val="single"/>
          <w:rtl/>
        </w:rPr>
        <w:t>20 גרם</w:t>
      </w:r>
      <w:r>
        <w:rPr>
          <w:rtl/>
        </w:rPr>
        <w:t xml:space="preserve"> נע בין </w:t>
      </w:r>
      <w:r>
        <w:rPr>
          <w:u w:val="single"/>
          <w:rtl/>
        </w:rPr>
        <w:t>8 חודשים</w:t>
      </w:r>
      <w:r>
        <w:rPr>
          <w:rFonts w:hint="cs"/>
          <w:rtl/>
        </w:rPr>
        <w:t xml:space="preserve"> </w:t>
      </w:r>
      <w:r>
        <w:rPr>
          <w:rFonts w:hint="cs"/>
          <w:u w:val="single"/>
          <w:rtl/>
        </w:rPr>
        <w:t>ל-</w:t>
      </w:r>
      <w:r>
        <w:rPr>
          <w:u w:val="single"/>
          <w:rtl/>
        </w:rPr>
        <w:t xml:space="preserve"> 24 חודשי מאסר בפועל</w:t>
      </w:r>
      <w:r>
        <w:rPr>
          <w:rFonts w:hint="cs"/>
          <w:rtl/>
        </w:rPr>
        <w:t xml:space="preserve">, והטלתי עליו 14 חודשי מאסר בגין תיק זה, אשר חלקו בחופף וחלקו במצטבר למאסר מותנה של 18 חודשים שהיה תלוי ועומד כנגדו, כך שסך הכל נדון ל- 28 חודשי מאסר. הנאשמים הגישו ערעור  </w:t>
      </w:r>
      <w:r>
        <w:rPr>
          <w:rtl/>
        </w:rPr>
        <w:t>על גזר הדין לבית המשפט המחוזי במחוז מרכז והערעור נדחה (</w:t>
      </w:r>
      <w:hyperlink r:id="rId50" w:history="1">
        <w:r w:rsidR="00C23558" w:rsidRPr="00C23558">
          <w:rPr>
            <w:rStyle w:val="Hyperlink"/>
            <w:rFonts w:cs="David"/>
            <w:rtl/>
          </w:rPr>
          <w:t>ע"פ 114/12</w:t>
        </w:r>
      </w:hyperlink>
      <w:r>
        <w:rPr>
          <w:rtl/>
        </w:rPr>
        <w:t xml:space="preserve">, הרכב כבוד השופטים מנחם פינקלשטיין, זהבה בוסתן והדס עובדיה [לא פורסם] (31.10.12)). </w:t>
      </w:r>
      <w:r>
        <w:rPr>
          <w:rFonts w:hint="cs"/>
          <w:rtl/>
        </w:rPr>
        <w:t xml:space="preserve">פסק הדין </w:t>
      </w:r>
      <w:r>
        <w:rPr>
          <w:rFonts w:hint="cs"/>
          <w:b/>
          <w:bCs/>
          <w:rtl/>
        </w:rPr>
        <w:t xml:space="preserve">זיתון </w:t>
      </w:r>
      <w:r>
        <w:rPr>
          <w:rFonts w:hint="cs"/>
          <w:rtl/>
        </w:rPr>
        <w:t>הנ"ל הובא כאן על מנת להמחיש שגם שם קבעתי את העונש לגבי כל אחד מהנאשמים בנפרד לפי "</w:t>
      </w:r>
      <w:r>
        <w:rPr>
          <w:rFonts w:hint="cs"/>
          <w:b/>
          <w:bCs/>
          <w:rtl/>
        </w:rPr>
        <w:t>מידת האשם</w:t>
      </w:r>
      <w:r>
        <w:rPr>
          <w:rFonts w:hint="cs"/>
          <w:rtl/>
        </w:rPr>
        <w:t>" (תפקיד בשרשרת הפצת הסם) ו-"</w:t>
      </w:r>
      <w:r>
        <w:rPr>
          <w:rFonts w:hint="cs"/>
          <w:b/>
          <w:bCs/>
          <w:rtl/>
        </w:rPr>
        <w:t>מידת הנזק" (</w:t>
      </w:r>
      <w:r>
        <w:rPr>
          <w:rFonts w:hint="cs"/>
          <w:rtl/>
        </w:rPr>
        <w:t xml:space="preserve">כמות הסם וסוג הסם). </w:t>
      </w:r>
    </w:p>
    <w:p w14:paraId="513BA347" w14:textId="77777777" w:rsidR="00097756" w:rsidRDefault="00097756">
      <w:pPr>
        <w:spacing w:line="360" w:lineRule="auto"/>
        <w:jc w:val="both"/>
        <w:rPr>
          <w:rtl/>
        </w:rPr>
      </w:pPr>
    </w:p>
    <w:p w14:paraId="77F3C470" w14:textId="77777777" w:rsidR="00097756" w:rsidRDefault="006942B9">
      <w:pPr>
        <w:spacing w:line="360" w:lineRule="auto"/>
        <w:ind w:left="720" w:hanging="720"/>
        <w:jc w:val="both"/>
        <w:rPr>
          <w:rtl/>
        </w:rPr>
      </w:pPr>
      <w:r>
        <w:rPr>
          <w:rFonts w:hint="cs"/>
          <w:rtl/>
        </w:rPr>
        <w:t>51</w:t>
      </w:r>
      <w:r>
        <w:rPr>
          <w:rtl/>
        </w:rPr>
        <w:t>.</w:t>
      </w:r>
      <w:r>
        <w:rPr>
          <w:rtl/>
        </w:rPr>
        <w:tab/>
        <w:t xml:space="preserve">לפיכך, הנני קובע כי לגבי העבירה של </w:t>
      </w:r>
      <w:r>
        <w:rPr>
          <w:u w:val="single"/>
          <w:rtl/>
        </w:rPr>
        <w:t>ייבוא סם מסוג מתאמפט</w:t>
      </w:r>
      <w:r>
        <w:rPr>
          <w:rFonts w:hint="cs"/>
          <w:u w:val="single"/>
          <w:rtl/>
        </w:rPr>
        <w:t>א</w:t>
      </w:r>
      <w:r>
        <w:rPr>
          <w:u w:val="single"/>
          <w:rtl/>
        </w:rPr>
        <w:t>מין במשקל של 50 גרם</w:t>
      </w:r>
      <w:r>
        <w:rPr>
          <w:rtl/>
        </w:rPr>
        <w:t xml:space="preserve">, כאשר קטגוריית האשם הינה של </w:t>
      </w:r>
      <w:r>
        <w:rPr>
          <w:u w:val="single"/>
          <w:rtl/>
        </w:rPr>
        <w:t>"</w:t>
      </w:r>
      <w:r>
        <w:rPr>
          <w:b/>
          <w:bCs/>
          <w:u w:val="single"/>
          <w:rtl/>
        </w:rPr>
        <w:t>תפקיד משמעותי</w:t>
      </w:r>
      <w:r>
        <w:rPr>
          <w:rtl/>
        </w:rPr>
        <w:t xml:space="preserve">", מתחם העונש ההולם נע בין </w:t>
      </w:r>
      <w:r>
        <w:rPr>
          <w:u w:val="single"/>
          <w:rtl/>
        </w:rPr>
        <w:t>שנתיים ל</w:t>
      </w:r>
      <w:r>
        <w:rPr>
          <w:rFonts w:hint="cs"/>
          <w:u w:val="single"/>
          <w:rtl/>
        </w:rPr>
        <w:t>-</w:t>
      </w:r>
      <w:r>
        <w:rPr>
          <w:u w:val="single"/>
          <w:rtl/>
        </w:rPr>
        <w:t>שלוש שנות מאסר בפועל</w:t>
      </w:r>
      <w:r>
        <w:rPr>
          <w:rtl/>
        </w:rPr>
        <w:t xml:space="preserve">. יצוין כי בשלב הטיעונים לעונש המאשימה טענה כי מתחם העונש ההולם לעבירה שבה הורשע הנאשם, נע </w:t>
      </w:r>
      <w:r>
        <w:rPr>
          <w:u w:val="single"/>
          <w:rtl/>
        </w:rPr>
        <w:t>בין שנתיים לשלוש שנות מאסר.</w:t>
      </w:r>
      <w:r>
        <w:rPr>
          <w:rtl/>
        </w:rPr>
        <w:t xml:space="preserve"> טענה זו מקובלת עלי, </w:t>
      </w:r>
      <w:r>
        <w:rPr>
          <w:rFonts w:hint="cs"/>
          <w:rtl/>
        </w:rPr>
        <w:t xml:space="preserve">אך </w:t>
      </w:r>
      <w:r>
        <w:rPr>
          <w:rtl/>
        </w:rPr>
        <w:t xml:space="preserve">בכפוף לסייג </w:t>
      </w:r>
      <w:r>
        <w:rPr>
          <w:rFonts w:hint="cs"/>
          <w:rtl/>
        </w:rPr>
        <w:t xml:space="preserve">האמור שהדבר </w:t>
      </w:r>
      <w:r>
        <w:rPr>
          <w:rtl/>
        </w:rPr>
        <w:t xml:space="preserve">הוא נכון בעת שהעבירה בוצעה בקטגוריית אשם של "תפקיד משמעותי". </w:t>
      </w:r>
    </w:p>
    <w:p w14:paraId="5DC4013C" w14:textId="77777777" w:rsidR="00097756" w:rsidRDefault="00097756">
      <w:pPr>
        <w:spacing w:line="360" w:lineRule="auto"/>
        <w:jc w:val="both"/>
        <w:rPr>
          <w:rtl/>
        </w:rPr>
      </w:pPr>
    </w:p>
    <w:p w14:paraId="43704113" w14:textId="77777777" w:rsidR="00097756" w:rsidRDefault="006942B9">
      <w:pPr>
        <w:spacing w:line="360" w:lineRule="auto"/>
        <w:jc w:val="both"/>
        <w:rPr>
          <w:sz w:val="28"/>
          <w:szCs w:val="28"/>
          <w:u w:val="single"/>
          <w:rtl/>
        </w:rPr>
      </w:pPr>
      <w:r>
        <w:rPr>
          <w:rFonts w:hint="cs"/>
          <w:sz w:val="28"/>
          <w:szCs w:val="28"/>
          <w:u w:val="single"/>
          <w:rtl/>
        </w:rPr>
        <w:t xml:space="preserve">מתחם העונש ההולם כאשר מידת האשם היא של "תפקיד מופחת" </w:t>
      </w:r>
    </w:p>
    <w:p w14:paraId="447D4D6B" w14:textId="77777777" w:rsidR="00097756" w:rsidRDefault="00097756">
      <w:pPr>
        <w:spacing w:line="360" w:lineRule="auto"/>
        <w:jc w:val="both"/>
        <w:rPr>
          <w:rtl/>
        </w:rPr>
      </w:pPr>
    </w:p>
    <w:p w14:paraId="160FE1B5" w14:textId="77777777" w:rsidR="00097756" w:rsidRDefault="006942B9">
      <w:pPr>
        <w:spacing w:line="360" w:lineRule="auto"/>
        <w:ind w:left="720" w:hanging="720"/>
        <w:jc w:val="both"/>
        <w:rPr>
          <w:rtl/>
        </w:rPr>
      </w:pPr>
      <w:r>
        <w:rPr>
          <w:rFonts w:hint="cs"/>
          <w:rtl/>
        </w:rPr>
        <w:t>52</w:t>
      </w:r>
      <w:r>
        <w:rPr>
          <w:rtl/>
        </w:rPr>
        <w:t>.</w:t>
      </w:r>
      <w:r>
        <w:rPr>
          <w:rtl/>
        </w:rPr>
        <w:tab/>
        <w:t>בעת שמדובר בנאשם שביצע עבירת סמים ומשתייך לקטגוריית אשם של "תפקיד מופחת", מתחם העונש ההולם הינו מצומצם יותר ממתחם העונש ההולם בגין ביצוע עבירה זהה</w:t>
      </w:r>
      <w:r>
        <w:rPr>
          <w:rFonts w:hint="cs"/>
          <w:rtl/>
        </w:rPr>
        <w:t xml:space="preserve">, </w:t>
      </w:r>
      <w:r>
        <w:rPr>
          <w:rtl/>
        </w:rPr>
        <w:t>מבחינת כמות הסם וסוג הסם, וקטגוריית האשם היא של "תפקיד משמעותי". נביא שתי דוגמאות לעניין זה:</w:t>
      </w:r>
    </w:p>
    <w:p w14:paraId="7A529C71" w14:textId="77777777" w:rsidR="00097756" w:rsidRDefault="00097756">
      <w:pPr>
        <w:spacing w:line="360" w:lineRule="auto"/>
        <w:ind w:left="360"/>
        <w:jc w:val="both"/>
        <w:rPr>
          <w:rtl/>
        </w:rPr>
      </w:pPr>
    </w:p>
    <w:p w14:paraId="4E488406" w14:textId="77777777" w:rsidR="00097756" w:rsidRDefault="006942B9">
      <w:pPr>
        <w:spacing w:line="360" w:lineRule="auto"/>
        <w:ind w:left="1440" w:hanging="720"/>
        <w:jc w:val="both"/>
      </w:pPr>
      <w:r>
        <w:rPr>
          <w:rtl/>
        </w:rPr>
        <w:t>א.</w:t>
      </w:r>
      <w:r>
        <w:rPr>
          <w:rtl/>
        </w:rPr>
        <w:tab/>
      </w:r>
      <w:r w:rsidRPr="00A45930">
        <w:rPr>
          <w:color w:val="000000"/>
          <w:rtl/>
        </w:rPr>
        <w:t>ע"פ 1282/07</w:t>
      </w:r>
      <w:r>
        <w:rPr>
          <w:rtl/>
        </w:rPr>
        <w:t xml:space="preserve"> </w:t>
      </w:r>
      <w:r>
        <w:rPr>
          <w:b/>
          <w:bCs/>
          <w:rtl/>
        </w:rPr>
        <w:t>בן אבו נ' מדינת ישראל</w:t>
      </w:r>
      <w:r>
        <w:rPr>
          <w:rtl/>
        </w:rPr>
        <w:t xml:space="preserve"> [פורסם בנבו] (25.7.07). במקרה זה היה מדובר בנהג מונית, ללא עבר פלילי קודם שנתבקש להעביר </w:t>
      </w:r>
      <w:r>
        <w:rPr>
          <w:u w:val="single"/>
          <w:rtl/>
        </w:rPr>
        <w:t>96.74 גרם הרואין</w:t>
      </w:r>
      <w:r>
        <w:rPr>
          <w:rtl/>
        </w:rPr>
        <w:t xml:space="preserve"> באמצעות המונית שעליה עבד מאדם אחד שלא הכיר לאדם אחר שלא הכיר תמורת סך של 500 ₪. בית משפט המחוזי השית על המערער עונש של 28 חודשי מאסר בפועל. בית משפט העליון קיבל את ערעורו והקל בעונשו כך שרכיב המאסר </w:t>
      </w:r>
      <w:r>
        <w:rPr>
          <w:rFonts w:hint="cs"/>
          <w:rtl/>
        </w:rPr>
        <w:t xml:space="preserve">עמד </w:t>
      </w:r>
      <w:r>
        <w:rPr>
          <w:rtl/>
        </w:rPr>
        <w:t xml:space="preserve">על </w:t>
      </w:r>
      <w:r>
        <w:rPr>
          <w:u w:val="single"/>
          <w:rtl/>
        </w:rPr>
        <w:t>24 חודשים</w:t>
      </w:r>
      <w:r>
        <w:rPr>
          <w:rtl/>
        </w:rPr>
        <w:t>, כאשר נלקח</w:t>
      </w:r>
      <w:r>
        <w:rPr>
          <w:rFonts w:hint="cs"/>
          <w:rtl/>
        </w:rPr>
        <w:t>ו</w:t>
      </w:r>
      <w:r>
        <w:rPr>
          <w:rtl/>
        </w:rPr>
        <w:t xml:space="preserve"> בחשבון הנתונים שלהלן: עברו הנקי של המערער; העדר ידיעתו של המערער לגבי סוג הסם </w:t>
      </w:r>
      <w:r>
        <w:rPr>
          <w:rFonts w:hint="cs"/>
          <w:rtl/>
        </w:rPr>
        <w:t>שהעביר, דבר המלמד על דרגת האשם הנמוכה בביצוע העבירה</w:t>
      </w:r>
      <w:r>
        <w:rPr>
          <w:rtl/>
        </w:rPr>
        <w:t xml:space="preserve">. </w:t>
      </w:r>
    </w:p>
    <w:p w14:paraId="4EFDC673" w14:textId="77777777" w:rsidR="00097756" w:rsidRDefault="00097756">
      <w:pPr>
        <w:spacing w:line="360" w:lineRule="auto"/>
        <w:ind w:left="360"/>
        <w:jc w:val="both"/>
        <w:rPr>
          <w:rtl/>
        </w:rPr>
      </w:pPr>
    </w:p>
    <w:p w14:paraId="78B315AC" w14:textId="77777777" w:rsidR="00097756" w:rsidRDefault="006942B9">
      <w:pPr>
        <w:spacing w:line="360" w:lineRule="auto"/>
        <w:ind w:left="1440" w:hanging="720"/>
        <w:jc w:val="both"/>
      </w:pPr>
      <w:r>
        <w:rPr>
          <w:rFonts w:hint="cs"/>
          <w:rtl/>
        </w:rPr>
        <w:t>ב.</w:t>
      </w:r>
      <w:r>
        <w:rPr>
          <w:rFonts w:hint="cs"/>
          <w:rtl/>
        </w:rPr>
        <w:tab/>
      </w:r>
      <w:hyperlink r:id="rId51" w:history="1">
        <w:r w:rsidR="00C23558" w:rsidRPr="00C23558">
          <w:rPr>
            <w:rStyle w:val="Hyperlink"/>
            <w:rFonts w:cs="David"/>
            <w:rtl/>
          </w:rPr>
          <w:t>ע"פ 3820/09</w:t>
        </w:r>
      </w:hyperlink>
      <w:r>
        <w:rPr>
          <w:rtl/>
        </w:rPr>
        <w:t xml:space="preserve"> </w:t>
      </w:r>
      <w:r>
        <w:rPr>
          <w:b/>
          <w:bCs/>
          <w:rtl/>
        </w:rPr>
        <w:t>מדינת ישראל נ' אוחיון</w:t>
      </w:r>
      <w:r>
        <w:rPr>
          <w:rtl/>
        </w:rPr>
        <w:t xml:space="preserve"> [פורסם בנבו] (6.9.09). במקרה זה היה מדובר בנהג מונית, אשר תפקידו היה למסור </w:t>
      </w:r>
      <w:r>
        <w:rPr>
          <w:rFonts w:hint="cs"/>
          <w:rtl/>
        </w:rPr>
        <w:t xml:space="preserve">לאדם מסוים </w:t>
      </w:r>
      <w:r>
        <w:rPr>
          <w:rtl/>
        </w:rPr>
        <w:t>סם מסוג הרואין במשקל של</w:t>
      </w:r>
      <w:r>
        <w:rPr>
          <w:u w:val="single"/>
          <w:rtl/>
        </w:rPr>
        <w:t xml:space="preserve"> 300 גרם ברוטו </w:t>
      </w:r>
      <w:r>
        <w:rPr>
          <w:rtl/>
        </w:rPr>
        <w:t xml:space="preserve">ולקבל לידיו את </w:t>
      </w:r>
      <w:r>
        <w:rPr>
          <w:rFonts w:hint="cs"/>
          <w:rtl/>
        </w:rPr>
        <w:t>ה</w:t>
      </w:r>
      <w:r>
        <w:rPr>
          <w:rtl/>
        </w:rPr>
        <w:t>תמור</w:t>
      </w:r>
      <w:r>
        <w:rPr>
          <w:rFonts w:hint="cs"/>
          <w:rtl/>
        </w:rPr>
        <w:t xml:space="preserve">ה </w:t>
      </w:r>
      <w:r>
        <w:rPr>
          <w:rtl/>
        </w:rPr>
        <w:t xml:space="preserve">בסך של 55,000 ₪. בית משפט המחוזי בירושלים </w:t>
      </w:r>
      <w:r>
        <w:rPr>
          <w:u w:val="single"/>
          <w:rtl/>
        </w:rPr>
        <w:t>הטיל עליו 9 חודשי מאסר בפועל</w:t>
      </w:r>
      <w:r>
        <w:rPr>
          <w:rtl/>
        </w:rPr>
        <w:t>. המדינה ערערה על קולת העונש וערעורה נדחה. בית משפט העליון לקח בחשבון את כל הנתונים שלהלן: העדר עבר פלילי; המשיב נמצא במדרג הנמוך של שרשרת הפצת הסם מאחר ולא היה מעורב בהשגת הסם ו</w:t>
      </w:r>
      <w:r>
        <w:rPr>
          <w:rFonts w:hint="cs"/>
          <w:rtl/>
        </w:rPr>
        <w:t>מ</w:t>
      </w:r>
      <w:r>
        <w:rPr>
          <w:rtl/>
        </w:rPr>
        <w:t>עסקת הסם שהתרקמה</w:t>
      </w:r>
      <w:r>
        <w:rPr>
          <w:rFonts w:hint="cs"/>
          <w:rtl/>
        </w:rPr>
        <w:t xml:space="preserve">, </w:t>
      </w:r>
      <w:r>
        <w:rPr>
          <w:rtl/>
        </w:rPr>
        <w:t xml:space="preserve">לא היה צפוי להפיק כל רווח; </w:t>
      </w:r>
      <w:r>
        <w:rPr>
          <w:rFonts w:hint="cs"/>
          <w:rtl/>
        </w:rPr>
        <w:t xml:space="preserve">המשיב </w:t>
      </w:r>
      <w:r>
        <w:rPr>
          <w:rtl/>
        </w:rPr>
        <w:t xml:space="preserve">בן 58 שנים, נשוי ואב לשישה ילדים; שכרו של המשיב </w:t>
      </w:r>
      <w:r>
        <w:rPr>
          <w:rFonts w:hint="cs"/>
          <w:rtl/>
        </w:rPr>
        <w:t xml:space="preserve">מהאירוע העברייני </w:t>
      </w:r>
      <w:r>
        <w:rPr>
          <w:rtl/>
        </w:rPr>
        <w:t>היה 200 ₪</w:t>
      </w:r>
      <w:r>
        <w:rPr>
          <w:rFonts w:hint="cs"/>
          <w:rtl/>
        </w:rPr>
        <w:t xml:space="preserve"> עבור נסיעה רגילה במונית</w:t>
      </w:r>
      <w:r>
        <w:rPr>
          <w:rtl/>
        </w:rPr>
        <w:t xml:space="preserve">; הערעור נשמע בסמוך למועד </w:t>
      </w:r>
      <w:r>
        <w:rPr>
          <w:rFonts w:hint="cs"/>
          <w:rtl/>
        </w:rPr>
        <w:t>שהמשיב</w:t>
      </w:r>
      <w:r>
        <w:rPr>
          <w:rtl/>
        </w:rPr>
        <w:t xml:space="preserve"> צפוי לסיים את מאסרו. </w:t>
      </w:r>
    </w:p>
    <w:p w14:paraId="095356E8" w14:textId="77777777" w:rsidR="00097756" w:rsidRDefault="00097756">
      <w:pPr>
        <w:spacing w:line="360" w:lineRule="auto"/>
        <w:ind w:left="360"/>
        <w:jc w:val="both"/>
      </w:pPr>
    </w:p>
    <w:p w14:paraId="5D39B9A7" w14:textId="77777777" w:rsidR="00097756" w:rsidRDefault="006942B9">
      <w:pPr>
        <w:spacing w:line="360" w:lineRule="auto"/>
        <w:ind w:left="720" w:hanging="720"/>
        <w:jc w:val="both"/>
        <w:rPr>
          <w:rtl/>
        </w:rPr>
      </w:pPr>
      <w:r>
        <w:rPr>
          <w:rFonts w:hint="cs"/>
          <w:rtl/>
        </w:rPr>
        <w:t>53</w:t>
      </w:r>
      <w:r>
        <w:rPr>
          <w:rtl/>
        </w:rPr>
        <w:t>.</w:t>
      </w:r>
      <w:r>
        <w:rPr>
          <w:rtl/>
        </w:rPr>
        <w:tab/>
        <w:t>מהפסיקה הנ"ל אנו למדים שבעת שמדובר בנאשם שמבצע עבירת סם ו</w:t>
      </w:r>
      <w:r>
        <w:rPr>
          <w:rFonts w:hint="cs"/>
          <w:rtl/>
        </w:rPr>
        <w:t xml:space="preserve">מידת אשמו היא של </w:t>
      </w:r>
      <w:r>
        <w:rPr>
          <w:rtl/>
        </w:rPr>
        <w:t xml:space="preserve"> "</w:t>
      </w:r>
      <w:r>
        <w:rPr>
          <w:b/>
          <w:bCs/>
          <w:rtl/>
        </w:rPr>
        <w:t>תפקיד מופחת</w:t>
      </w:r>
      <w:r>
        <w:rPr>
          <w:rtl/>
        </w:rPr>
        <w:t>" יש לנהוג בו בדרך שונה מאשר במקרים שבהם מדובר בנאשם שביצע את אותה עבירה ו</w:t>
      </w:r>
      <w:r>
        <w:rPr>
          <w:rFonts w:hint="cs"/>
          <w:rtl/>
        </w:rPr>
        <w:t>מידת אשמו היא של "</w:t>
      </w:r>
      <w:r>
        <w:rPr>
          <w:b/>
          <w:bCs/>
          <w:rtl/>
        </w:rPr>
        <w:t>תפקיד משמעותי</w:t>
      </w:r>
      <w:r>
        <w:rPr>
          <w:rtl/>
        </w:rPr>
        <w:t>".</w:t>
      </w:r>
      <w:r>
        <w:rPr>
          <w:rFonts w:hint="cs"/>
          <w:rtl/>
        </w:rPr>
        <w:t xml:space="preserve"> כמויות הסם בפסיקה שהובאה לעיל (96.74 גרם ו-300 גרם) הינה גדולה באופן משמעותי מכמות הסם במקרה שבפני (50 גרם). על כן, ניתן לבסס את מתחם העונש ההולם על פסיקה זו, אף בדרך של קל וחומר. </w:t>
      </w:r>
      <w:r>
        <w:rPr>
          <w:rtl/>
        </w:rPr>
        <w:t xml:space="preserve">הנני קובע כי </w:t>
      </w:r>
      <w:r>
        <w:rPr>
          <w:u w:val="single"/>
          <w:rtl/>
        </w:rPr>
        <w:t>מתחם העונש ההולם לייבוא 50 גרם מתאמפט</w:t>
      </w:r>
      <w:r>
        <w:rPr>
          <w:rFonts w:hint="cs"/>
          <w:u w:val="single"/>
          <w:rtl/>
        </w:rPr>
        <w:t>א</w:t>
      </w:r>
      <w:r>
        <w:rPr>
          <w:u w:val="single"/>
          <w:rtl/>
        </w:rPr>
        <w:t>מין</w:t>
      </w:r>
      <w:r>
        <w:rPr>
          <w:rtl/>
        </w:rPr>
        <w:t>, כאשר מדובר בנאשם שנמצא בקטגוריית אשם של "</w:t>
      </w:r>
      <w:r>
        <w:rPr>
          <w:b/>
          <w:bCs/>
          <w:u w:val="single"/>
          <w:rtl/>
        </w:rPr>
        <w:t>תפקיד מופחת</w:t>
      </w:r>
      <w:r>
        <w:rPr>
          <w:rtl/>
        </w:rPr>
        <w:t>"</w:t>
      </w:r>
      <w:r>
        <w:rPr>
          <w:rFonts w:hint="cs"/>
          <w:rtl/>
        </w:rPr>
        <w:t>,</w:t>
      </w:r>
      <w:r>
        <w:rPr>
          <w:rtl/>
        </w:rPr>
        <w:t xml:space="preserve"> </w:t>
      </w:r>
      <w:r>
        <w:rPr>
          <w:u w:val="single"/>
          <w:rtl/>
        </w:rPr>
        <w:t xml:space="preserve">נע בין 9 חודשים ל- </w:t>
      </w:r>
      <w:r>
        <w:rPr>
          <w:rFonts w:hint="cs"/>
          <w:u w:val="single"/>
          <w:rtl/>
        </w:rPr>
        <w:t>24 חודשי</w:t>
      </w:r>
      <w:r>
        <w:rPr>
          <w:u w:val="single"/>
          <w:rtl/>
        </w:rPr>
        <w:t xml:space="preserve"> מאסר בפועל.</w:t>
      </w:r>
      <w:r>
        <w:rPr>
          <w:rtl/>
        </w:rPr>
        <w:t xml:space="preserve"> </w:t>
      </w:r>
    </w:p>
    <w:p w14:paraId="0A941E6D" w14:textId="77777777" w:rsidR="00097756" w:rsidRDefault="00097756">
      <w:pPr>
        <w:spacing w:line="360" w:lineRule="auto"/>
        <w:jc w:val="both"/>
        <w:rPr>
          <w:b/>
          <w:bCs/>
          <w:sz w:val="28"/>
          <w:szCs w:val="28"/>
          <w:u w:val="single"/>
          <w:rtl/>
        </w:rPr>
      </w:pPr>
    </w:p>
    <w:p w14:paraId="6F5FFE82" w14:textId="77777777" w:rsidR="00097756" w:rsidRDefault="006942B9">
      <w:pPr>
        <w:spacing w:line="360" w:lineRule="auto"/>
        <w:jc w:val="both"/>
        <w:rPr>
          <w:b/>
          <w:bCs/>
          <w:sz w:val="28"/>
          <w:szCs w:val="28"/>
          <w:u w:val="single"/>
          <w:rtl/>
        </w:rPr>
      </w:pPr>
      <w:r>
        <w:rPr>
          <w:rFonts w:hint="cs"/>
          <w:b/>
          <w:bCs/>
          <w:sz w:val="28"/>
          <w:szCs w:val="28"/>
          <w:u w:val="single"/>
          <w:rtl/>
        </w:rPr>
        <w:t>קביעת מידת ה</w:t>
      </w:r>
      <w:r>
        <w:rPr>
          <w:b/>
          <w:bCs/>
          <w:sz w:val="28"/>
          <w:szCs w:val="28"/>
          <w:u w:val="single"/>
          <w:rtl/>
        </w:rPr>
        <w:t>אשם ש</w:t>
      </w:r>
      <w:r>
        <w:rPr>
          <w:rFonts w:hint="cs"/>
          <w:b/>
          <w:bCs/>
          <w:sz w:val="28"/>
          <w:szCs w:val="28"/>
          <w:u w:val="single"/>
          <w:rtl/>
        </w:rPr>
        <w:t>ל הנאשם</w:t>
      </w:r>
    </w:p>
    <w:p w14:paraId="50B3A2EF" w14:textId="77777777" w:rsidR="00097756" w:rsidRDefault="00097756">
      <w:pPr>
        <w:spacing w:line="360" w:lineRule="auto"/>
        <w:jc w:val="both"/>
        <w:rPr>
          <w:rtl/>
        </w:rPr>
      </w:pPr>
    </w:p>
    <w:p w14:paraId="167E7F45" w14:textId="77777777" w:rsidR="00097756" w:rsidRDefault="006942B9">
      <w:pPr>
        <w:spacing w:line="360" w:lineRule="auto"/>
        <w:ind w:left="720" w:hanging="720"/>
        <w:jc w:val="both"/>
        <w:rPr>
          <w:rtl/>
        </w:rPr>
      </w:pPr>
      <w:r>
        <w:rPr>
          <w:rFonts w:hint="cs"/>
          <w:rtl/>
        </w:rPr>
        <w:t>54</w:t>
      </w:r>
      <w:r>
        <w:rPr>
          <w:rtl/>
        </w:rPr>
        <w:t>.</w:t>
      </w:r>
      <w:r>
        <w:rPr>
          <w:rtl/>
        </w:rPr>
        <w:tab/>
        <w:t>הנני סבור כי הנאשם שבפני נמצא בקטגוריית אשם של "</w:t>
      </w:r>
      <w:r>
        <w:rPr>
          <w:b/>
          <w:bCs/>
          <w:rtl/>
        </w:rPr>
        <w:t>תפקיד מופחת</w:t>
      </w:r>
      <w:r>
        <w:rPr>
          <w:rtl/>
        </w:rPr>
        <w:t xml:space="preserve">" ולכן מתחם העונש ההולם לעבירה שביצע נע בין </w:t>
      </w:r>
      <w:r>
        <w:rPr>
          <w:u w:val="single"/>
          <w:rtl/>
        </w:rPr>
        <w:t>9 חודשי</w:t>
      </w:r>
      <w:r>
        <w:rPr>
          <w:rFonts w:hint="cs"/>
          <w:u w:val="single"/>
          <w:rtl/>
        </w:rPr>
        <w:t>ם</w:t>
      </w:r>
      <w:r>
        <w:rPr>
          <w:u w:val="single"/>
          <w:rtl/>
        </w:rPr>
        <w:t xml:space="preserve"> </w:t>
      </w:r>
      <w:r>
        <w:rPr>
          <w:rFonts w:hint="cs"/>
          <w:u w:val="single"/>
          <w:rtl/>
        </w:rPr>
        <w:t xml:space="preserve">ל-24 חודשי מאסר בפועל. </w:t>
      </w:r>
      <w:r>
        <w:rPr>
          <w:rtl/>
        </w:rPr>
        <w:t>להלן נימוקיי:</w:t>
      </w:r>
    </w:p>
    <w:p w14:paraId="0DE548BF" w14:textId="77777777" w:rsidR="00097756" w:rsidRDefault="00097756">
      <w:pPr>
        <w:spacing w:line="360" w:lineRule="auto"/>
        <w:ind w:left="360"/>
        <w:jc w:val="both"/>
        <w:rPr>
          <w:rtl/>
        </w:rPr>
      </w:pPr>
    </w:p>
    <w:p w14:paraId="30247039" w14:textId="77777777" w:rsidR="00097756" w:rsidRDefault="006942B9">
      <w:pPr>
        <w:spacing w:line="360" w:lineRule="auto"/>
        <w:ind w:left="1440" w:hanging="720"/>
        <w:jc w:val="both"/>
      </w:pPr>
      <w:r>
        <w:rPr>
          <w:rFonts w:hint="cs"/>
          <w:rtl/>
        </w:rPr>
        <w:t>א.</w:t>
      </w:r>
      <w:r>
        <w:rPr>
          <w:rFonts w:hint="cs"/>
          <w:rtl/>
        </w:rPr>
        <w:tab/>
      </w:r>
      <w:r>
        <w:rPr>
          <w:rtl/>
        </w:rPr>
        <w:t xml:space="preserve">על פי הראיות שהובאו בפני, הסמים היו מיועדים לעובד זר מתאילנד שנמצא בישראל בשם מונג. לא הוכח בפני כי הנאשם היה אמור לקבל </w:t>
      </w:r>
      <w:r>
        <w:rPr>
          <w:b/>
          <w:bCs/>
          <w:rtl/>
        </w:rPr>
        <w:t>טובת הנאה כל</w:t>
      </w:r>
      <w:r>
        <w:rPr>
          <w:rFonts w:hint="cs"/>
          <w:b/>
          <w:bCs/>
          <w:rtl/>
        </w:rPr>
        <w:t>ש</w:t>
      </w:r>
      <w:r>
        <w:rPr>
          <w:b/>
          <w:bCs/>
          <w:rtl/>
        </w:rPr>
        <w:t>הי</w:t>
      </w:r>
      <w:r>
        <w:rPr>
          <w:rtl/>
        </w:rPr>
        <w:t xml:space="preserve"> מהבאת הסמים לישראל. יוזכר, כי קיומה של טובת הנאה מייבוא הסמים לישראל הינה בגדר </w:t>
      </w:r>
      <w:r>
        <w:rPr>
          <w:b/>
          <w:bCs/>
          <w:rtl/>
        </w:rPr>
        <w:t>נסיבה לחומרה</w:t>
      </w:r>
      <w:r>
        <w:rPr>
          <w:rtl/>
        </w:rPr>
        <w:t xml:space="preserve"> שיש להוכיח </w:t>
      </w:r>
      <w:r>
        <w:rPr>
          <w:b/>
          <w:bCs/>
          <w:rtl/>
        </w:rPr>
        <w:t>מעל לכל ספק סביר</w:t>
      </w:r>
      <w:r>
        <w:rPr>
          <w:rtl/>
        </w:rPr>
        <w:t xml:space="preserve"> (ראו הוראות סעיף 40י(ג) ל</w:t>
      </w:r>
      <w:hyperlink r:id="rId52" w:history="1">
        <w:r w:rsidR="00C23558" w:rsidRPr="00C23558">
          <w:rPr>
            <w:rStyle w:val="Hyperlink"/>
            <w:rFonts w:cs="David"/>
            <w:rtl/>
          </w:rPr>
          <w:t>חוק העונשין</w:t>
        </w:r>
      </w:hyperlink>
      <w:r>
        <w:rPr>
          <w:rtl/>
        </w:rPr>
        <w:t xml:space="preserve">) ובכל מקרה, לא הוכח בפני ברמת ההוכחה הדרושה כי לנאשם היתה </w:t>
      </w:r>
      <w:r>
        <w:rPr>
          <w:rFonts w:hint="cs"/>
          <w:rtl/>
        </w:rPr>
        <w:t xml:space="preserve">אמורה לצמוח </w:t>
      </w:r>
      <w:r>
        <w:rPr>
          <w:rtl/>
        </w:rPr>
        <w:t>טובת הנאה כלשהי מה</w:t>
      </w:r>
      <w:r>
        <w:rPr>
          <w:rFonts w:hint="cs"/>
          <w:rtl/>
        </w:rPr>
        <w:t xml:space="preserve">מעשה העברייני שבו הורשע. </w:t>
      </w:r>
      <w:r>
        <w:rPr>
          <w:rtl/>
        </w:rPr>
        <w:t xml:space="preserve"> </w:t>
      </w:r>
    </w:p>
    <w:p w14:paraId="00F21453" w14:textId="77777777" w:rsidR="00097756" w:rsidRDefault="00097756">
      <w:pPr>
        <w:spacing w:line="360" w:lineRule="auto"/>
        <w:ind w:left="360"/>
        <w:jc w:val="both"/>
        <w:rPr>
          <w:rtl/>
        </w:rPr>
      </w:pPr>
    </w:p>
    <w:p w14:paraId="620270EB" w14:textId="77777777" w:rsidR="00097756" w:rsidRDefault="006942B9">
      <w:pPr>
        <w:spacing w:line="360" w:lineRule="auto"/>
        <w:ind w:left="1440" w:hanging="720"/>
        <w:jc w:val="both"/>
        <w:rPr>
          <w:rtl/>
        </w:rPr>
      </w:pPr>
      <w:r>
        <w:rPr>
          <w:rFonts w:hint="cs"/>
          <w:rtl/>
        </w:rPr>
        <w:t>ב</w:t>
      </w:r>
      <w:r>
        <w:rPr>
          <w:rtl/>
        </w:rPr>
        <w:t>.</w:t>
      </w:r>
      <w:r>
        <w:rPr>
          <w:rtl/>
        </w:rPr>
        <w:tab/>
        <w:t>הנאשם הורשע בעבירת ייבוא של סמים עקב כך ש"</w:t>
      </w:r>
      <w:r>
        <w:rPr>
          <w:b/>
          <w:bCs/>
          <w:rtl/>
        </w:rPr>
        <w:t>הקל</w:t>
      </w:r>
      <w:r>
        <w:rPr>
          <w:rtl/>
        </w:rPr>
        <w:t>" על ייבוא הסמים</w:t>
      </w:r>
      <w:r>
        <w:rPr>
          <w:rFonts w:hint="cs"/>
          <w:rtl/>
        </w:rPr>
        <w:t>, ומכאן תפקידו כחוליה חיונית לביצוע העבירה</w:t>
      </w:r>
      <w:r>
        <w:rPr>
          <w:rtl/>
        </w:rPr>
        <w:t>. בפסיקה נקבע כי אומנם המקל יראה כמבצע של העבירה המושלמת של ייבוא ולא יראה כמסייע, אך נתון ה</w:t>
      </w:r>
      <w:r>
        <w:rPr>
          <w:rFonts w:hint="cs"/>
          <w:rtl/>
        </w:rPr>
        <w:t>"</w:t>
      </w:r>
      <w:r>
        <w:rPr>
          <w:rtl/>
        </w:rPr>
        <w:t>הקלה</w:t>
      </w:r>
      <w:r>
        <w:rPr>
          <w:rFonts w:hint="cs"/>
          <w:rtl/>
        </w:rPr>
        <w:t>"</w:t>
      </w:r>
      <w:r>
        <w:rPr>
          <w:rtl/>
        </w:rPr>
        <w:t xml:space="preserve"> בייבוא יש לקחתו בחשבון </w:t>
      </w:r>
      <w:r>
        <w:rPr>
          <w:b/>
          <w:bCs/>
          <w:rtl/>
        </w:rPr>
        <w:t>בעת קביעת גזר הדין</w:t>
      </w:r>
      <w:r>
        <w:rPr>
          <w:rtl/>
        </w:rPr>
        <w:t xml:space="preserve"> (</w:t>
      </w:r>
      <w:hyperlink r:id="rId53" w:history="1">
        <w:r w:rsidR="00C23558" w:rsidRPr="00C23558">
          <w:rPr>
            <w:rStyle w:val="Hyperlink"/>
            <w:rFonts w:cs="David"/>
            <w:rtl/>
          </w:rPr>
          <w:t>ע"פ 946/04 מדינת ישראל נ' עובד פ"ד נח</w:t>
        </w:r>
      </w:hyperlink>
      <w:r>
        <w:rPr>
          <w:rtl/>
        </w:rPr>
        <w:t xml:space="preserve"> (6) 951, 960 (2004); </w:t>
      </w:r>
      <w:hyperlink r:id="rId54" w:history="1">
        <w:r w:rsidR="00C23558" w:rsidRPr="00C23558">
          <w:rPr>
            <w:rStyle w:val="Hyperlink"/>
            <w:rFonts w:cs="David"/>
            <w:rtl/>
          </w:rPr>
          <w:t>ע"פ 5232/10</w:t>
        </w:r>
      </w:hyperlink>
      <w:r>
        <w:rPr>
          <w:rtl/>
        </w:rPr>
        <w:t xml:space="preserve"> </w:t>
      </w:r>
      <w:r>
        <w:rPr>
          <w:b/>
          <w:bCs/>
          <w:rtl/>
        </w:rPr>
        <w:t>אבו ג'ומעה נ' מדינת ישראל</w:t>
      </w:r>
      <w:r>
        <w:rPr>
          <w:rtl/>
        </w:rPr>
        <w:t xml:space="preserve"> [פורסם בנבו](8.4.13) (פסקה 34 לפסק הדין של כבוד השופט דנצינגר);</w:t>
      </w:r>
    </w:p>
    <w:p w14:paraId="12B2CD21" w14:textId="77777777" w:rsidR="00097756" w:rsidRDefault="00097756">
      <w:pPr>
        <w:spacing w:line="360" w:lineRule="auto"/>
        <w:ind w:left="360"/>
        <w:jc w:val="both"/>
        <w:rPr>
          <w:rtl/>
        </w:rPr>
      </w:pPr>
    </w:p>
    <w:p w14:paraId="70741D30" w14:textId="77777777" w:rsidR="00097756" w:rsidRDefault="006942B9">
      <w:pPr>
        <w:spacing w:line="360" w:lineRule="auto"/>
        <w:ind w:left="1440" w:hanging="720"/>
        <w:jc w:val="both"/>
        <w:rPr>
          <w:rtl/>
        </w:rPr>
      </w:pPr>
      <w:r>
        <w:rPr>
          <w:rFonts w:hint="cs"/>
          <w:rtl/>
        </w:rPr>
        <w:t>ג</w:t>
      </w:r>
      <w:r>
        <w:rPr>
          <w:rtl/>
        </w:rPr>
        <w:t>.</w:t>
      </w:r>
      <w:r>
        <w:rPr>
          <w:rtl/>
        </w:rPr>
        <w:tab/>
        <w:t xml:space="preserve">בהכרעת הדין נקבע שהנאשם חשד כי ג'אן און עלול להביא עימו מתאילנד לישראל סמים, אך בפועל הנאשם </w:t>
      </w:r>
      <w:r>
        <w:rPr>
          <w:b/>
          <w:bCs/>
          <w:rtl/>
        </w:rPr>
        <w:t>לא ידע את סוג וכמות הסם</w:t>
      </w:r>
      <w:r>
        <w:rPr>
          <w:rtl/>
        </w:rPr>
        <w:t xml:space="preserve"> (ראו </w:t>
      </w:r>
      <w:r>
        <w:rPr>
          <w:rFonts w:hint="cs"/>
          <w:rtl/>
        </w:rPr>
        <w:t xml:space="preserve">בהרחבה </w:t>
      </w:r>
      <w:r>
        <w:rPr>
          <w:rtl/>
        </w:rPr>
        <w:t>סעיפים 8 עד 10 להכרעת הדין)</w:t>
      </w:r>
      <w:r>
        <w:rPr>
          <w:rFonts w:hint="cs"/>
          <w:rtl/>
        </w:rPr>
        <w:t>. במילים אחרות, הנאשם היה מודע ל-"</w:t>
      </w:r>
      <w:r>
        <w:rPr>
          <w:rFonts w:hint="cs"/>
          <w:b/>
          <w:bCs/>
          <w:rtl/>
        </w:rPr>
        <w:t>סוג</w:t>
      </w:r>
      <w:r>
        <w:rPr>
          <w:rFonts w:hint="cs"/>
          <w:rtl/>
        </w:rPr>
        <w:t>" הנזק שנגרם או שהיה צפוי להיגרם לחברה מהעבירה שביצע (קרי, שמדובר בעבירה של ייבוא סמים), אך לא היה מודע ל-"</w:t>
      </w:r>
      <w:r>
        <w:rPr>
          <w:rFonts w:hint="cs"/>
          <w:b/>
          <w:bCs/>
          <w:rtl/>
        </w:rPr>
        <w:t>מידת</w:t>
      </w:r>
      <w:r>
        <w:rPr>
          <w:rFonts w:hint="cs"/>
          <w:rtl/>
        </w:rPr>
        <w:t>" הנזק (קרי, סוג הסם וכמות הסם). המחוקק עמד על חשיבותו של רכיב "מידת" הנזק בקביעת מתחם העונש ההולם בסעיפים 40ג(א) ו- 40ט(א)(3) ו-(4) ל</w:t>
      </w:r>
      <w:hyperlink r:id="rId55" w:history="1">
        <w:r w:rsidR="00C23558" w:rsidRPr="00C23558">
          <w:rPr>
            <w:rStyle w:val="Hyperlink"/>
            <w:rFonts w:cs="David"/>
            <w:rtl/>
          </w:rPr>
          <w:t>חוק העונשין</w:t>
        </w:r>
      </w:hyperlink>
      <w:r>
        <w:rPr>
          <w:rFonts w:hint="cs"/>
          <w:rtl/>
        </w:rPr>
        <w:t>.  היעדר מודעותו של הנאשם ל-"</w:t>
      </w:r>
      <w:r>
        <w:rPr>
          <w:rFonts w:hint="cs"/>
          <w:b/>
          <w:bCs/>
          <w:rtl/>
        </w:rPr>
        <w:t>מידת</w:t>
      </w:r>
      <w:r>
        <w:rPr>
          <w:rFonts w:hint="cs"/>
          <w:rtl/>
        </w:rPr>
        <w:t xml:space="preserve">" הנזק מהעבירה שביצע, מלמד על </w:t>
      </w:r>
      <w:r>
        <w:rPr>
          <w:rFonts w:hint="cs"/>
          <w:b/>
          <w:bCs/>
          <w:rtl/>
        </w:rPr>
        <w:t>התפקיד המופחת</w:t>
      </w:r>
      <w:r>
        <w:rPr>
          <w:rFonts w:hint="cs"/>
          <w:rtl/>
        </w:rPr>
        <w:t xml:space="preserve"> </w:t>
      </w:r>
      <w:r>
        <w:t>(lesser role)</w:t>
      </w:r>
      <w:r>
        <w:rPr>
          <w:rFonts w:hint="cs"/>
          <w:rtl/>
        </w:rPr>
        <w:t xml:space="preserve"> </w:t>
      </w:r>
      <w:r>
        <w:rPr>
          <w:rtl/>
        </w:rPr>
        <w:t xml:space="preserve"> </w:t>
      </w:r>
      <w:r>
        <w:rPr>
          <w:rFonts w:hint="cs"/>
          <w:rtl/>
        </w:rPr>
        <w:t xml:space="preserve">שיועד לנאשם ואשר נמצא בתחתית השרשרת של ייבוא הסמים. להגדרת הביטוי "תפקיד מופחת", באנאלוגיה מהנחיות הענישה בעבירות סמים בדין האנגלי, ואשר נקראות </w:t>
      </w:r>
      <w:r>
        <w:rPr>
          <w:b/>
          <w:bCs/>
        </w:rPr>
        <w:t>Drug Offences Definitive Guidelines</w:t>
      </w:r>
      <w:r>
        <w:rPr>
          <w:rFonts w:hint="cs"/>
          <w:rtl/>
        </w:rPr>
        <w:t xml:space="preserve">, ראו לעיל בפסקה 34(ג) לגזר הדין. </w:t>
      </w:r>
    </w:p>
    <w:p w14:paraId="3190AF1A" w14:textId="77777777" w:rsidR="00097756" w:rsidRDefault="00097756">
      <w:pPr>
        <w:spacing w:line="360" w:lineRule="auto"/>
        <w:ind w:left="720"/>
        <w:jc w:val="both"/>
      </w:pPr>
    </w:p>
    <w:p w14:paraId="169A4B3E" w14:textId="77777777" w:rsidR="00097756" w:rsidRDefault="006942B9">
      <w:pPr>
        <w:spacing w:line="360" w:lineRule="auto"/>
        <w:ind w:left="1440" w:hanging="720"/>
        <w:jc w:val="both"/>
      </w:pPr>
      <w:r>
        <w:rPr>
          <w:rFonts w:hint="cs"/>
          <w:rtl/>
        </w:rPr>
        <w:t>ד.</w:t>
      </w:r>
      <w:r>
        <w:rPr>
          <w:rFonts w:hint="cs"/>
          <w:rtl/>
        </w:rPr>
        <w:tab/>
        <w:t>באנלוגיה</w:t>
      </w:r>
      <w:r>
        <w:rPr>
          <w:rtl/>
        </w:rPr>
        <w:t xml:space="preserve"> מהנחיות הענישה בדין האנגלי בעניין </w:t>
      </w:r>
      <w:r>
        <w:rPr>
          <w:rFonts w:hint="cs"/>
          <w:rtl/>
        </w:rPr>
        <w:t xml:space="preserve">הגדרת </w:t>
      </w:r>
      <w:r>
        <w:rPr>
          <w:rtl/>
        </w:rPr>
        <w:t>חומרת העבירה</w:t>
      </w:r>
      <w:r>
        <w:rPr>
          <w:rFonts w:hint="cs"/>
          <w:rtl/>
        </w:rPr>
        <w:t xml:space="preserve"> הידועות כ- </w:t>
      </w:r>
      <w:r>
        <w:rPr>
          <w:b/>
          <w:bCs/>
        </w:rPr>
        <w:t>Overarching Principles : Seriousness</w:t>
      </w:r>
      <w:r>
        <w:rPr>
          <w:rFonts w:hint="cs"/>
          <w:rtl/>
        </w:rPr>
        <w:t xml:space="preserve">, </w:t>
      </w:r>
      <w:r>
        <w:rPr>
          <w:rtl/>
        </w:rPr>
        <w:t xml:space="preserve">היסוד הנפשי של הנאשם היה של </w:t>
      </w:r>
      <w:r>
        <w:rPr>
          <w:b/>
          <w:bCs/>
          <w:rtl/>
        </w:rPr>
        <w:t>עצימת עיניים,</w:t>
      </w:r>
      <w:r>
        <w:rPr>
          <w:rtl/>
        </w:rPr>
        <w:t xml:space="preserve"> ואשר מציב אותו בדרגת אשם נמוכה יותר מהמבצע העיקרי שלא נתפס, הוא מונג, שלו היתה  "כוונה"</w:t>
      </w:r>
      <w:r>
        <w:rPr>
          <w:rFonts w:hint="cs"/>
          <w:rtl/>
        </w:rPr>
        <w:t xml:space="preserve"> </w:t>
      </w:r>
      <w:r>
        <w:t>(intention)</w:t>
      </w:r>
      <w:r>
        <w:rPr>
          <w:rtl/>
        </w:rPr>
        <w:t xml:space="preserve"> לגרום ל-"נזק" של ייבוא 50 גרם מתאמפט</w:t>
      </w:r>
      <w:r>
        <w:rPr>
          <w:rFonts w:hint="cs"/>
          <w:rtl/>
        </w:rPr>
        <w:t>א</w:t>
      </w:r>
      <w:r>
        <w:rPr>
          <w:rtl/>
        </w:rPr>
        <w:t>מין לישראל</w:t>
      </w:r>
      <w:r>
        <w:rPr>
          <w:rFonts w:hint="cs"/>
          <w:rtl/>
        </w:rPr>
        <w:t xml:space="preserve">. את הנאשם שבפני ניתן להציב בדרגת אשם של "פזיזות" </w:t>
      </w:r>
      <w:r>
        <w:t>(recklessness)</w:t>
      </w:r>
      <w:r>
        <w:rPr>
          <w:rFonts w:hint="cs"/>
          <w:rtl/>
        </w:rPr>
        <w:t xml:space="preserve"> או "ידיעה" </w:t>
      </w:r>
      <w:r>
        <w:t>(knowledge)</w:t>
      </w:r>
      <w:r>
        <w:rPr>
          <w:rFonts w:hint="cs"/>
          <w:rtl/>
        </w:rPr>
        <w:t xml:space="preserve"> ביחס לאפשרות גרימת הנזק, שהינן דרגות אשם נמוכות יותר מ-"כוונה" </w:t>
      </w:r>
      <w:r>
        <w:t>(intention)</w:t>
      </w:r>
      <w:r>
        <w:rPr>
          <w:rFonts w:hint="cs"/>
          <w:rtl/>
        </w:rPr>
        <w:t xml:space="preserve">. לגבי אופן קביעת דרגת האשם כנגזרת מיחסו של מבצע העבירה באשר לנזק שנגרם או שהיה צפוי להיגרם ממעשה העבירה, לפי הדין האנגלי, ראו בהרחבה לעיל בפסקאות 27 עד 30 לגזר הדין. </w:t>
      </w:r>
    </w:p>
    <w:p w14:paraId="38455859" w14:textId="77777777" w:rsidR="00097756" w:rsidRDefault="00097756">
      <w:pPr>
        <w:spacing w:line="360" w:lineRule="auto"/>
        <w:jc w:val="both"/>
        <w:rPr>
          <w:b/>
          <w:bCs/>
          <w:sz w:val="28"/>
          <w:szCs w:val="28"/>
          <w:u w:val="single"/>
          <w:rtl/>
        </w:rPr>
      </w:pPr>
    </w:p>
    <w:p w14:paraId="575B2B78" w14:textId="77777777" w:rsidR="00097756" w:rsidRDefault="006942B9">
      <w:pPr>
        <w:spacing w:line="360" w:lineRule="auto"/>
        <w:jc w:val="both"/>
        <w:rPr>
          <w:b/>
          <w:bCs/>
          <w:sz w:val="28"/>
          <w:szCs w:val="28"/>
          <w:u w:val="single"/>
          <w:rtl/>
        </w:rPr>
      </w:pPr>
      <w:r>
        <w:rPr>
          <w:rFonts w:hint="cs"/>
          <w:b/>
          <w:bCs/>
          <w:sz w:val="28"/>
          <w:szCs w:val="28"/>
          <w:u w:val="single"/>
          <w:rtl/>
        </w:rPr>
        <w:t xml:space="preserve">העונש המתאים בתוך מתחם העונש ההולם </w:t>
      </w:r>
    </w:p>
    <w:p w14:paraId="5F9F6BF7" w14:textId="77777777" w:rsidR="00097756" w:rsidRDefault="00097756">
      <w:pPr>
        <w:spacing w:line="360" w:lineRule="auto"/>
        <w:jc w:val="both"/>
        <w:rPr>
          <w:rtl/>
        </w:rPr>
      </w:pPr>
    </w:p>
    <w:p w14:paraId="01FDC69D" w14:textId="77777777" w:rsidR="00097756" w:rsidRDefault="006942B9">
      <w:pPr>
        <w:spacing w:line="360" w:lineRule="auto"/>
        <w:ind w:left="720" w:hanging="720"/>
        <w:jc w:val="both"/>
        <w:rPr>
          <w:rtl/>
        </w:rPr>
      </w:pPr>
      <w:r>
        <w:rPr>
          <w:rFonts w:hint="cs"/>
          <w:rtl/>
        </w:rPr>
        <w:t>55</w:t>
      </w:r>
      <w:r>
        <w:rPr>
          <w:rtl/>
        </w:rPr>
        <w:t>.</w:t>
      </w:r>
      <w:r>
        <w:rPr>
          <w:rtl/>
        </w:rPr>
        <w:tab/>
        <w:t>בעת קביעת העונש המתאים בתוך מתחם העונש ההולם</w:t>
      </w:r>
      <w:r>
        <w:rPr>
          <w:rFonts w:hint="cs"/>
          <w:rtl/>
        </w:rPr>
        <w:t xml:space="preserve"> (שנע בין 9 ל- 24 חודשי מאסר בפועל)</w:t>
      </w:r>
      <w:r>
        <w:rPr>
          <w:rtl/>
        </w:rPr>
        <w:t xml:space="preserve"> לקחתי בחשבון את הנסיבות שלהלן שאינן קשורות בביצוע העבירה (ראו סעיף 40יא ל</w:t>
      </w:r>
      <w:hyperlink r:id="rId56" w:history="1">
        <w:r w:rsidR="00C23558" w:rsidRPr="00C23558">
          <w:rPr>
            <w:rStyle w:val="Hyperlink"/>
            <w:rFonts w:cs="David"/>
            <w:rtl/>
          </w:rPr>
          <w:t>חוק העונשין</w:t>
        </w:r>
      </w:hyperlink>
      <w:r>
        <w:rPr>
          <w:rtl/>
        </w:rPr>
        <w:t xml:space="preserve">): </w:t>
      </w:r>
    </w:p>
    <w:p w14:paraId="7FB92D61" w14:textId="77777777" w:rsidR="00097756" w:rsidRDefault="00097756">
      <w:pPr>
        <w:spacing w:line="360" w:lineRule="auto"/>
        <w:ind w:left="360" w:firstLine="360"/>
        <w:jc w:val="both"/>
        <w:rPr>
          <w:rtl/>
        </w:rPr>
      </w:pPr>
    </w:p>
    <w:p w14:paraId="7E0ED2DB" w14:textId="77777777" w:rsidR="00097756" w:rsidRDefault="006942B9">
      <w:pPr>
        <w:spacing w:line="360" w:lineRule="auto"/>
        <w:ind w:left="360" w:firstLine="360"/>
        <w:jc w:val="both"/>
        <w:rPr>
          <w:rtl/>
        </w:rPr>
      </w:pPr>
      <w:r>
        <w:rPr>
          <w:rtl/>
        </w:rPr>
        <w:t>א.</w:t>
      </w:r>
      <w:r>
        <w:rPr>
          <w:rtl/>
        </w:rPr>
        <w:tab/>
        <w:t>מדובר בנאשם ללא עבר פלילי קודם;</w:t>
      </w:r>
    </w:p>
    <w:p w14:paraId="19BC0CA1" w14:textId="77777777" w:rsidR="00097756" w:rsidRDefault="006942B9">
      <w:pPr>
        <w:spacing w:line="360" w:lineRule="auto"/>
        <w:ind w:firstLine="720"/>
        <w:jc w:val="both"/>
      </w:pPr>
      <w:r>
        <w:rPr>
          <w:rtl/>
        </w:rPr>
        <w:t>ב.</w:t>
      </w:r>
      <w:r>
        <w:rPr>
          <w:rtl/>
        </w:rPr>
        <w:tab/>
        <w:t>נשוי ואב לילדים;</w:t>
      </w:r>
    </w:p>
    <w:p w14:paraId="5E3D33B5" w14:textId="77777777" w:rsidR="00097756" w:rsidRDefault="006942B9">
      <w:pPr>
        <w:spacing w:line="360" w:lineRule="auto"/>
        <w:ind w:left="1440" w:hanging="720"/>
        <w:jc w:val="both"/>
      </w:pPr>
      <w:r>
        <w:rPr>
          <w:rtl/>
        </w:rPr>
        <w:t>ג.</w:t>
      </w:r>
      <w:r>
        <w:rPr>
          <w:rtl/>
        </w:rPr>
        <w:tab/>
        <w:t xml:space="preserve">במהלך כל תקופת שהייתו בישראל, כחמש שנים, לא נפתחו כנגדו תיקים כלשהם, לרבות בעבירות סמים, </w:t>
      </w:r>
      <w:r>
        <w:rPr>
          <w:rFonts w:hint="cs"/>
          <w:rtl/>
        </w:rPr>
        <w:t xml:space="preserve">כפי שעלה </w:t>
      </w:r>
      <w:r>
        <w:rPr>
          <w:rtl/>
        </w:rPr>
        <w:t xml:space="preserve">גם מעדויות המעסיקים שלו </w:t>
      </w:r>
      <w:r>
        <w:rPr>
          <w:rFonts w:hint="cs"/>
          <w:rtl/>
        </w:rPr>
        <w:t>שהתייצבו לדיון בבית המשפט בשלב הטיעונים לעונש.</w:t>
      </w:r>
    </w:p>
    <w:p w14:paraId="6CF5A1EF" w14:textId="77777777" w:rsidR="00097756" w:rsidRDefault="00097756">
      <w:pPr>
        <w:spacing w:line="360" w:lineRule="auto"/>
        <w:jc w:val="both"/>
        <w:rPr>
          <w:rtl/>
        </w:rPr>
      </w:pPr>
    </w:p>
    <w:p w14:paraId="26523F58" w14:textId="77777777" w:rsidR="00097756" w:rsidRDefault="006942B9">
      <w:pPr>
        <w:spacing w:line="360" w:lineRule="auto"/>
        <w:ind w:left="720" w:hanging="720"/>
        <w:jc w:val="both"/>
        <w:rPr>
          <w:rtl/>
        </w:rPr>
      </w:pPr>
      <w:r>
        <w:rPr>
          <w:rFonts w:hint="cs"/>
          <w:rtl/>
        </w:rPr>
        <w:t>56</w:t>
      </w:r>
      <w:r>
        <w:rPr>
          <w:rtl/>
        </w:rPr>
        <w:t>.</w:t>
      </w:r>
      <w:r>
        <w:rPr>
          <w:rtl/>
        </w:rPr>
        <w:tab/>
        <w:t>בית המשפט העליון עמד על הצורך בענישה מחמירה אשר תרתיע  מפני ביצוע עבירות של הפצת נגע הסמים, וזאת אף כשעבירות אלה מתבצעות ע"י אזרחים זרים</w:t>
      </w:r>
      <w:r>
        <w:rPr>
          <w:rFonts w:hint="cs"/>
          <w:rtl/>
        </w:rPr>
        <w:t xml:space="preserve"> (</w:t>
      </w:r>
      <w:hyperlink r:id="rId57" w:history="1">
        <w:r w:rsidR="00C23558" w:rsidRPr="00C23558">
          <w:rPr>
            <w:rStyle w:val="Hyperlink"/>
            <w:rFonts w:cs="David"/>
            <w:rtl/>
          </w:rPr>
          <w:t>ע"פ 226/89 זפה נ' מדינת ישראל פ"ד מג</w:t>
        </w:r>
      </w:hyperlink>
      <w:r>
        <w:rPr>
          <w:rFonts w:hint="cs"/>
          <w:rtl/>
        </w:rPr>
        <w:t xml:space="preserve">(2) 543, 544 (1990); </w:t>
      </w:r>
      <w:hyperlink r:id="rId58" w:history="1">
        <w:r w:rsidR="00C23558" w:rsidRPr="00C23558">
          <w:rPr>
            <w:rStyle w:val="Hyperlink"/>
            <w:rFonts w:cs="David"/>
            <w:rtl/>
          </w:rPr>
          <w:t>ע"פ 3920/00 פלונית נ' מדינת ישראל פ"ד נז</w:t>
        </w:r>
      </w:hyperlink>
      <w:r>
        <w:rPr>
          <w:rFonts w:hint="cs"/>
          <w:rtl/>
        </w:rPr>
        <w:t xml:space="preserve">(2) 1, 19 (2003) ; </w:t>
      </w:r>
      <w:hyperlink r:id="rId59" w:history="1">
        <w:r w:rsidR="00C23558" w:rsidRPr="00C23558">
          <w:rPr>
            <w:rStyle w:val="Hyperlink"/>
            <w:rFonts w:cs="David"/>
            <w:rtl/>
          </w:rPr>
          <w:t>ע"פ 4555/00</w:t>
        </w:r>
      </w:hyperlink>
      <w:r>
        <w:rPr>
          <w:rFonts w:hint="cs"/>
          <w:rtl/>
        </w:rPr>
        <w:t xml:space="preserve"> </w:t>
      </w:r>
      <w:r>
        <w:rPr>
          <w:rFonts w:hint="cs"/>
          <w:b/>
          <w:bCs/>
          <w:rtl/>
        </w:rPr>
        <w:t>אנקלדה נ' מדינת ישראל</w:t>
      </w:r>
      <w:r>
        <w:rPr>
          <w:rFonts w:hint="cs"/>
          <w:rtl/>
        </w:rPr>
        <w:t xml:space="preserve"> [פורסם בנבו] (13.12.2001))</w:t>
      </w:r>
      <w:r>
        <w:rPr>
          <w:rtl/>
        </w:rPr>
        <w:t>. כמו כן, נקבע כי יש להתחשב בקושי המיוחד הכרוך במאסרו של אזרח זר בישראל שאינו דובר את השפה וללא קרובי משפחה שיוכלו לתמוך בו וכי יש לאפשר לו, ככל שהדבר אפשרי, לשהות במחיצת אסירים דוברי שפתו ולהשתלב בעבודה (</w:t>
      </w:r>
      <w:hyperlink r:id="rId60" w:history="1">
        <w:r w:rsidR="00C23558" w:rsidRPr="00C23558">
          <w:rPr>
            <w:rStyle w:val="Hyperlink"/>
            <w:rFonts w:cs="David"/>
            <w:rtl/>
          </w:rPr>
          <w:t>ע"פ 4659/12</w:t>
        </w:r>
      </w:hyperlink>
      <w:r>
        <w:rPr>
          <w:rtl/>
        </w:rPr>
        <w:t xml:space="preserve"> </w:t>
      </w:r>
      <w:r>
        <w:rPr>
          <w:b/>
          <w:bCs/>
          <w:rtl/>
        </w:rPr>
        <w:t xml:space="preserve">סיריפונג נ' מדינת ישראל </w:t>
      </w:r>
      <w:r>
        <w:rPr>
          <w:rtl/>
        </w:rPr>
        <w:t>[פורסם בנבו] (22.10.12)</w:t>
      </w:r>
      <w:r>
        <w:rPr>
          <w:rFonts w:hint="cs"/>
          <w:rtl/>
        </w:rPr>
        <w:t xml:space="preserve"> </w:t>
      </w:r>
      <w:r>
        <w:rPr>
          <w:rtl/>
        </w:rPr>
        <w:t>(פסקה 9 לפסק דינו של כבוד השופט דנצינגר).</w:t>
      </w:r>
    </w:p>
    <w:p w14:paraId="3C54CDA3" w14:textId="77777777" w:rsidR="00097756" w:rsidRDefault="00097756">
      <w:pPr>
        <w:spacing w:line="360" w:lineRule="auto"/>
        <w:jc w:val="both"/>
        <w:rPr>
          <w:rtl/>
        </w:rPr>
      </w:pPr>
    </w:p>
    <w:p w14:paraId="1C61C8AC" w14:textId="77777777" w:rsidR="00097756" w:rsidRDefault="006942B9">
      <w:pPr>
        <w:spacing w:line="360" w:lineRule="auto"/>
        <w:jc w:val="both"/>
        <w:rPr>
          <w:rtl/>
        </w:rPr>
      </w:pPr>
      <w:r>
        <w:rPr>
          <w:rFonts w:hint="cs"/>
          <w:rtl/>
        </w:rPr>
        <w:t>57</w:t>
      </w:r>
      <w:r>
        <w:rPr>
          <w:rtl/>
        </w:rPr>
        <w:t>.</w:t>
      </w:r>
      <w:r>
        <w:rPr>
          <w:rtl/>
        </w:rPr>
        <w:tab/>
        <w:t>לאור כל האמור לעיל, הנני מ</w:t>
      </w:r>
      <w:r>
        <w:rPr>
          <w:rFonts w:hint="cs"/>
          <w:rtl/>
        </w:rPr>
        <w:t>שית</w:t>
      </w:r>
      <w:r>
        <w:rPr>
          <w:rtl/>
        </w:rPr>
        <w:t xml:space="preserve"> על הנאשם את העונשים הבאים:</w:t>
      </w:r>
    </w:p>
    <w:p w14:paraId="6E5C3BE2" w14:textId="77777777" w:rsidR="00097756" w:rsidRDefault="00097756">
      <w:pPr>
        <w:spacing w:line="360" w:lineRule="auto"/>
        <w:jc w:val="both"/>
        <w:rPr>
          <w:rtl/>
        </w:rPr>
      </w:pPr>
    </w:p>
    <w:p w14:paraId="63723F4A" w14:textId="77777777" w:rsidR="00097756" w:rsidRDefault="006942B9">
      <w:pPr>
        <w:numPr>
          <w:ilvl w:val="0"/>
          <w:numId w:val="7"/>
        </w:numPr>
        <w:spacing w:line="360" w:lineRule="auto"/>
        <w:jc w:val="both"/>
      </w:pPr>
      <w:r>
        <w:rPr>
          <w:rFonts w:hint="cs"/>
          <w:rtl/>
        </w:rPr>
        <w:t>17</w:t>
      </w:r>
      <w:r>
        <w:rPr>
          <w:rtl/>
        </w:rPr>
        <w:t xml:space="preserve"> חודשי מאסר בפועל בניכוי ימי מעצרו מיום </w:t>
      </w:r>
      <w:r>
        <w:rPr>
          <w:rFonts w:hint="cs"/>
          <w:rtl/>
        </w:rPr>
        <w:t xml:space="preserve">29.6.2012. </w:t>
      </w:r>
      <w:bookmarkStart w:id="8" w:name="_GoBack"/>
      <w:bookmarkEnd w:id="8"/>
    </w:p>
    <w:p w14:paraId="30F2F331" w14:textId="77777777" w:rsidR="00097756" w:rsidRDefault="00097756">
      <w:pPr>
        <w:spacing w:line="360" w:lineRule="auto"/>
        <w:ind w:left="720"/>
        <w:jc w:val="both"/>
      </w:pPr>
    </w:p>
    <w:p w14:paraId="73687B8F" w14:textId="77777777" w:rsidR="00097756" w:rsidRDefault="006942B9">
      <w:pPr>
        <w:numPr>
          <w:ilvl w:val="0"/>
          <w:numId w:val="7"/>
        </w:numPr>
        <w:spacing w:line="360" w:lineRule="auto"/>
        <w:jc w:val="both"/>
      </w:pPr>
      <w:r>
        <w:rPr>
          <w:rtl/>
        </w:rPr>
        <w:t xml:space="preserve"> 10 חודשי מאסר על תנאי והתנאי הוא שבמשך 3 שנים ממועד שחרורו לא יבצע עבירה מסוג פשע לפי </w:t>
      </w:r>
      <w:hyperlink r:id="rId61" w:history="1">
        <w:r w:rsidR="00C23558" w:rsidRPr="00C23558">
          <w:rPr>
            <w:rStyle w:val="Hyperlink"/>
            <w:rFonts w:cs="David"/>
            <w:rtl/>
          </w:rPr>
          <w:t>פקודת הסמים המסוכנים</w:t>
        </w:r>
      </w:hyperlink>
      <w:r>
        <w:rPr>
          <w:rtl/>
        </w:rPr>
        <w:t xml:space="preserve">. </w:t>
      </w:r>
    </w:p>
    <w:p w14:paraId="0A591836" w14:textId="77777777" w:rsidR="00097756" w:rsidRDefault="00097756">
      <w:pPr>
        <w:spacing w:line="360" w:lineRule="auto"/>
        <w:ind w:left="720"/>
        <w:jc w:val="both"/>
      </w:pPr>
    </w:p>
    <w:p w14:paraId="17027B74" w14:textId="77777777" w:rsidR="00097756" w:rsidRDefault="006942B9">
      <w:pPr>
        <w:numPr>
          <w:ilvl w:val="0"/>
          <w:numId w:val="7"/>
        </w:numPr>
        <w:spacing w:line="360" w:lineRule="auto"/>
        <w:jc w:val="both"/>
      </w:pPr>
      <w:r>
        <w:rPr>
          <w:rtl/>
        </w:rPr>
        <w:t xml:space="preserve"> 4 חודשי מאסר על תנאי והתנאי הוא שבמשך 3 שנים ממועד שחרורו לא יבצע עבירה מסוג עוון לפי </w:t>
      </w:r>
      <w:hyperlink r:id="rId62" w:history="1">
        <w:r w:rsidR="00C23558" w:rsidRPr="00C23558">
          <w:rPr>
            <w:rStyle w:val="Hyperlink"/>
            <w:rFonts w:cs="David"/>
            <w:rtl/>
          </w:rPr>
          <w:t>פקודת הסמים המסוכנים</w:t>
        </w:r>
      </w:hyperlink>
      <w:r>
        <w:rPr>
          <w:rtl/>
        </w:rPr>
        <w:t xml:space="preserve">. </w:t>
      </w:r>
    </w:p>
    <w:p w14:paraId="5546CE95" w14:textId="77777777" w:rsidR="00097756" w:rsidRDefault="00097756">
      <w:pPr>
        <w:spacing w:line="360" w:lineRule="auto"/>
        <w:ind w:left="720"/>
        <w:jc w:val="both"/>
      </w:pPr>
    </w:p>
    <w:p w14:paraId="187001DF" w14:textId="77777777" w:rsidR="00097756" w:rsidRDefault="006942B9">
      <w:pPr>
        <w:numPr>
          <w:ilvl w:val="0"/>
          <w:numId w:val="7"/>
        </w:numPr>
        <w:spacing w:line="360" w:lineRule="auto"/>
        <w:jc w:val="both"/>
      </w:pPr>
      <w:r>
        <w:rPr>
          <w:rtl/>
        </w:rPr>
        <w:t xml:space="preserve"> הנאשם ישלם קנס בסך של 4</w:t>
      </w:r>
      <w:r>
        <w:rPr>
          <w:rFonts w:hint="cs"/>
          <w:rtl/>
        </w:rPr>
        <w:t>,</w:t>
      </w:r>
      <w:r>
        <w:rPr>
          <w:rtl/>
        </w:rPr>
        <w:t xml:space="preserve">000 ₪ או 20 ימי מאסר תמורתו. הקנס ישולם ב- 5 תשלומים חודשיים שווים ורצופים כאשר הראשון </w:t>
      </w:r>
      <w:r>
        <w:rPr>
          <w:rFonts w:hint="cs"/>
          <w:rtl/>
        </w:rPr>
        <w:t>ש</w:t>
      </w:r>
      <w:r>
        <w:rPr>
          <w:rtl/>
        </w:rPr>
        <w:t>בהם לא יאוחר מיום 1.7.13 והיתרה ב-1 לכל חודש שלאחריו, היה ואחד התשלומים לא ישולם במועד, אזי יעמוד מלוא סכום הקנס לפ</w:t>
      </w:r>
      <w:r>
        <w:rPr>
          <w:rFonts w:hint="cs"/>
          <w:rtl/>
        </w:rPr>
        <w:t>י</w:t>
      </w:r>
      <w:r>
        <w:rPr>
          <w:rtl/>
        </w:rPr>
        <w:t>רעון מידי.</w:t>
      </w:r>
    </w:p>
    <w:p w14:paraId="1C049664" w14:textId="77777777" w:rsidR="00097756" w:rsidRDefault="00097756">
      <w:pPr>
        <w:spacing w:line="360" w:lineRule="auto"/>
        <w:jc w:val="both"/>
        <w:rPr>
          <w:rtl/>
        </w:rPr>
      </w:pPr>
    </w:p>
    <w:p w14:paraId="770A2DA7" w14:textId="77777777" w:rsidR="00097756" w:rsidRDefault="006942B9">
      <w:pPr>
        <w:spacing w:line="360" w:lineRule="auto"/>
        <w:jc w:val="both"/>
        <w:rPr>
          <w:rtl/>
        </w:rPr>
      </w:pPr>
      <w:r>
        <w:rPr>
          <w:rtl/>
        </w:rPr>
        <w:t xml:space="preserve">זכות ערעור תוך 45 יום. </w:t>
      </w:r>
    </w:p>
    <w:p w14:paraId="5C8649C4" w14:textId="77777777" w:rsidR="00097756" w:rsidRDefault="00097756">
      <w:pPr>
        <w:spacing w:line="360" w:lineRule="auto"/>
        <w:jc w:val="both"/>
        <w:rPr>
          <w:rtl/>
        </w:rPr>
      </w:pPr>
    </w:p>
    <w:p w14:paraId="26C8C5D6" w14:textId="77777777" w:rsidR="00097756" w:rsidRPr="006942B9" w:rsidRDefault="006942B9">
      <w:pPr>
        <w:rPr>
          <w:color w:val="FFFFFF"/>
          <w:sz w:val="2"/>
          <w:szCs w:val="2"/>
          <w:rtl/>
        </w:rPr>
      </w:pPr>
      <w:r w:rsidRPr="006942B9">
        <w:rPr>
          <w:color w:val="FFFFFF"/>
          <w:sz w:val="2"/>
          <w:szCs w:val="2"/>
          <w:rtl/>
        </w:rPr>
        <w:t>5129371</w:t>
      </w:r>
    </w:p>
    <w:p w14:paraId="7F5A7037" w14:textId="77777777" w:rsidR="00097756" w:rsidRDefault="006942B9">
      <w:pPr>
        <w:rPr>
          <w:rFonts w:cs="FrankRuehl"/>
          <w:sz w:val="28"/>
          <w:szCs w:val="28"/>
          <w:rtl/>
        </w:rPr>
      </w:pPr>
      <w:r w:rsidRPr="006942B9">
        <w:rPr>
          <w:rFonts w:ascii="Arial" w:hAnsi="Arial"/>
          <w:color w:val="FFFFFF"/>
          <w:sz w:val="2"/>
          <w:szCs w:val="2"/>
          <w:rtl/>
        </w:rPr>
        <w:t>54678313</w:t>
      </w:r>
      <w:r>
        <w:rPr>
          <w:rFonts w:ascii="Arial" w:hAnsi="Arial"/>
          <w:rtl/>
        </w:rPr>
        <w:t xml:space="preserve">ניתן היום,  כ"ט אייר תשע"ג, 09 מאי 2013, במעמד הצדדים. </w:t>
      </w:r>
    </w:p>
    <w:p w14:paraId="4B8FE724" w14:textId="77777777" w:rsidR="006942B9" w:rsidRPr="002017D1" w:rsidRDefault="002017D1" w:rsidP="006942B9">
      <w:pPr>
        <w:keepNext/>
        <w:rPr>
          <w:rFonts w:ascii="David" w:hAnsi="David" w:hint="cs"/>
          <w:color w:val="FFFFFF"/>
          <w:sz w:val="2"/>
          <w:szCs w:val="2"/>
          <w:rtl/>
        </w:rPr>
      </w:pPr>
      <w:r w:rsidRPr="002017D1">
        <w:rPr>
          <w:rFonts w:ascii="David" w:hAnsi="David"/>
          <w:color w:val="FFFFFF"/>
          <w:sz w:val="2"/>
          <w:szCs w:val="2"/>
          <w:rtl/>
        </w:rPr>
        <w:t>5129371</w:t>
      </w:r>
    </w:p>
    <w:p w14:paraId="6AA31EFA" w14:textId="77777777" w:rsidR="002017D1" w:rsidRPr="002017D1" w:rsidRDefault="002017D1" w:rsidP="002017D1">
      <w:pPr>
        <w:keepNext/>
        <w:rPr>
          <w:rFonts w:ascii="David" w:hAnsi="David" w:hint="cs"/>
          <w:color w:val="000000"/>
          <w:sz w:val="22"/>
          <w:szCs w:val="22"/>
          <w:rtl/>
        </w:rPr>
      </w:pPr>
    </w:p>
    <w:p w14:paraId="0EE840EE" w14:textId="77777777" w:rsidR="002017D1" w:rsidRPr="002017D1" w:rsidRDefault="002017D1" w:rsidP="002017D1">
      <w:pPr>
        <w:keepNext/>
        <w:rPr>
          <w:rFonts w:ascii="David" w:hAnsi="David"/>
          <w:color w:val="000000"/>
          <w:sz w:val="22"/>
          <w:szCs w:val="22"/>
          <w:rtl/>
        </w:rPr>
      </w:pPr>
      <w:r w:rsidRPr="002017D1">
        <w:rPr>
          <w:rFonts w:ascii="David" w:hAnsi="David"/>
          <w:color w:val="000000"/>
          <w:sz w:val="22"/>
          <w:szCs w:val="22"/>
          <w:rtl/>
        </w:rPr>
        <w:t>הישאם אבו שחאדה 54678313-/</w:t>
      </w:r>
    </w:p>
    <w:p w14:paraId="7F0F9158" w14:textId="77777777" w:rsidR="00097756" w:rsidRDefault="006942B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347E797" w14:textId="77777777" w:rsidR="006942B9" w:rsidRDefault="006942B9" w:rsidP="006942B9">
      <w:r w:rsidRPr="006942B9">
        <w:rPr>
          <w:color w:val="000000"/>
          <w:rtl/>
        </w:rPr>
        <w:t>נוסח מסמך זה כפוף לשינויי ניסוח ועריכה</w:t>
      </w:r>
    </w:p>
    <w:p w14:paraId="488C40D4" w14:textId="77777777" w:rsidR="006942B9" w:rsidRDefault="006942B9" w:rsidP="006942B9">
      <w:pPr>
        <w:rPr>
          <w:rtl/>
        </w:rPr>
      </w:pPr>
    </w:p>
    <w:p w14:paraId="479FEEF7" w14:textId="77777777" w:rsidR="006942B9" w:rsidRDefault="006942B9" w:rsidP="006942B9">
      <w:pPr>
        <w:jc w:val="center"/>
        <w:rPr>
          <w:color w:val="0000FF"/>
          <w:u w:val="single"/>
        </w:rPr>
      </w:pPr>
      <w:r w:rsidRPr="00A45930">
        <w:rPr>
          <w:color w:val="000000"/>
          <w:rtl/>
        </w:rPr>
        <w:t>בעניין עריכה ושינויים במסמכי פסיקה, חקיקה ועוד באתר נבו – הקש כאן</w:t>
      </w:r>
    </w:p>
    <w:sectPr w:rsidR="006942B9" w:rsidSect="002017D1">
      <w:headerReference w:type="even" r:id="rId63"/>
      <w:headerReference w:type="default" r:id="rId64"/>
      <w:footerReference w:type="even" r:id="rId65"/>
      <w:footerReference w:type="default" r:id="rId6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61CD7" w14:textId="77777777" w:rsidR="00F4584A" w:rsidRPr="008520AD" w:rsidRDefault="00F4584A">
      <w:pPr>
        <w:rPr>
          <w:rFonts w:cs="Arial"/>
          <w:szCs w:val="20"/>
        </w:rPr>
      </w:pPr>
      <w:r>
        <w:separator/>
      </w:r>
    </w:p>
  </w:endnote>
  <w:endnote w:type="continuationSeparator" w:id="0">
    <w:p w14:paraId="52C6B2B0" w14:textId="77777777" w:rsidR="00F4584A" w:rsidRPr="008520AD" w:rsidRDefault="00F4584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BD4FF" w14:textId="77777777" w:rsidR="00C11C8F" w:rsidRDefault="00C11C8F" w:rsidP="002017D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82732AC" w14:textId="77777777" w:rsidR="00C11C8F" w:rsidRPr="002017D1" w:rsidRDefault="00C11C8F" w:rsidP="002017D1">
    <w:pPr>
      <w:pStyle w:val="a4"/>
      <w:pBdr>
        <w:top w:val="single" w:sz="4" w:space="1" w:color="auto"/>
        <w:between w:val="single" w:sz="4" w:space="0" w:color="auto"/>
      </w:pBdr>
      <w:spacing w:after="60"/>
      <w:jc w:val="center"/>
      <w:rPr>
        <w:rFonts w:ascii="FrankRuehl" w:hAnsi="FrankRuehl" w:cs="FrankRuehl"/>
        <w:color w:val="000000"/>
      </w:rPr>
    </w:pPr>
    <w:r w:rsidRPr="002017D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0649B" w14:textId="77777777" w:rsidR="00C11C8F" w:rsidRDefault="00C11C8F" w:rsidP="002017D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83D75">
      <w:rPr>
        <w:rFonts w:ascii="FrankRuehl" w:hAnsi="FrankRuehl" w:cs="FrankRuehl"/>
        <w:noProof/>
        <w:rtl/>
      </w:rPr>
      <w:t>1</w:t>
    </w:r>
    <w:r>
      <w:rPr>
        <w:rFonts w:ascii="FrankRuehl" w:hAnsi="FrankRuehl" w:cs="FrankRuehl"/>
        <w:rtl/>
      </w:rPr>
      <w:fldChar w:fldCharType="end"/>
    </w:r>
  </w:p>
  <w:p w14:paraId="40A033B3" w14:textId="77777777" w:rsidR="00C11C8F" w:rsidRPr="002017D1" w:rsidRDefault="00C11C8F" w:rsidP="002017D1">
    <w:pPr>
      <w:pStyle w:val="a4"/>
      <w:pBdr>
        <w:top w:val="single" w:sz="4" w:space="1" w:color="auto"/>
        <w:between w:val="single" w:sz="4" w:space="0" w:color="auto"/>
      </w:pBdr>
      <w:spacing w:after="60"/>
      <w:jc w:val="center"/>
      <w:rPr>
        <w:rFonts w:ascii="FrankRuehl" w:hAnsi="FrankRuehl" w:cs="FrankRuehl"/>
        <w:color w:val="000000"/>
      </w:rPr>
    </w:pPr>
    <w:r w:rsidRPr="002017D1">
      <w:rPr>
        <w:rFonts w:ascii="FrankRuehl" w:hAnsi="FrankRuehl" w:cs="FrankRuehl"/>
        <w:color w:val="000000"/>
      </w:rPr>
      <w:pict w14:anchorId="0553A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6A2451" w14:textId="77777777" w:rsidR="00F4584A" w:rsidRPr="008520AD" w:rsidRDefault="00F4584A">
      <w:pPr>
        <w:rPr>
          <w:rFonts w:cs="Arial"/>
          <w:szCs w:val="20"/>
        </w:rPr>
      </w:pPr>
      <w:r>
        <w:separator/>
      </w:r>
    </w:p>
  </w:footnote>
  <w:footnote w:type="continuationSeparator" w:id="0">
    <w:p w14:paraId="4E783CD3" w14:textId="77777777" w:rsidR="00F4584A" w:rsidRPr="008520AD" w:rsidRDefault="00F4584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753FB" w14:textId="77777777" w:rsidR="00C11C8F" w:rsidRPr="002017D1" w:rsidRDefault="00C11C8F" w:rsidP="002017D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20928-07-12</w:t>
    </w:r>
    <w:r>
      <w:rPr>
        <w:rFonts w:ascii="David" w:hAnsi="David"/>
        <w:color w:val="000000"/>
        <w:sz w:val="22"/>
        <w:szCs w:val="22"/>
        <w:rtl/>
      </w:rPr>
      <w:tab/>
      <w:t xml:space="preserve"> מדינת ישראל נ' וארי איני אתן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8116F" w14:textId="77777777" w:rsidR="00C11C8F" w:rsidRPr="002017D1" w:rsidRDefault="00C11C8F" w:rsidP="002017D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20928-07-12</w:t>
    </w:r>
    <w:r>
      <w:rPr>
        <w:rFonts w:ascii="David" w:hAnsi="David"/>
        <w:color w:val="000000"/>
        <w:sz w:val="22"/>
        <w:szCs w:val="22"/>
        <w:rtl/>
      </w:rPr>
      <w:tab/>
      <w:t xml:space="preserve"> מדינת ישראל נ' וארי איני אתן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CA18A6"/>
    <w:multiLevelType w:val="multilevel"/>
    <w:tmpl w:val="A5B0F99C"/>
    <w:lvl w:ilvl="0">
      <w:start w:val="1"/>
      <w:numFmt w:val="decimal"/>
      <w:lvlText w:val="%1"/>
      <w:lvlJc w:val="left"/>
      <w:pPr>
        <w:tabs>
          <w:tab w:val="num" w:pos="780"/>
        </w:tabs>
        <w:ind w:left="780" w:hanging="780"/>
      </w:pPr>
      <w:rPr>
        <w:rFonts w:cs="Times New Roman" w:hint="default"/>
      </w:rPr>
    </w:lvl>
    <w:lvl w:ilvl="1">
      <w:start w:val="7"/>
      <w:numFmt w:val="decimal"/>
      <w:lvlText w:val="%1.%2"/>
      <w:lvlJc w:val="left"/>
      <w:pPr>
        <w:tabs>
          <w:tab w:val="num" w:pos="780"/>
        </w:tabs>
        <w:ind w:left="780" w:hanging="780"/>
      </w:pPr>
      <w:rPr>
        <w:rFonts w:cs="Times New Roman" w:hint="default"/>
      </w:rPr>
    </w:lvl>
    <w:lvl w:ilvl="2">
      <w:start w:val="1"/>
      <w:numFmt w:val="decimal"/>
      <w:lvlText w:val="%1.%2.%3"/>
      <w:lvlJc w:val="left"/>
      <w:pPr>
        <w:tabs>
          <w:tab w:val="num" w:pos="780"/>
        </w:tabs>
        <w:ind w:left="780" w:hanging="780"/>
      </w:pPr>
      <w:rPr>
        <w:rFonts w:cs="Times New Roman" w:hint="default"/>
      </w:rPr>
    </w:lvl>
    <w:lvl w:ilvl="3">
      <w:start w:val="1"/>
      <w:numFmt w:val="decimal"/>
      <w:lvlText w:val="%1.%2.%3.%4"/>
      <w:lvlJc w:val="left"/>
      <w:pPr>
        <w:tabs>
          <w:tab w:val="num" w:pos="780"/>
        </w:tabs>
        <w:ind w:left="780" w:hanging="7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 w15:restartNumberingAfterBreak="0">
    <w:nsid w:val="334E704D"/>
    <w:multiLevelType w:val="hybridMultilevel"/>
    <w:tmpl w:val="F41C59BA"/>
    <w:lvl w:ilvl="0" w:tplc="74E4CA06">
      <w:start w:val="1"/>
      <w:numFmt w:val="hebrew1"/>
      <w:lvlText w:val="%1."/>
      <w:lvlJc w:val="left"/>
      <w:pPr>
        <w:tabs>
          <w:tab w:val="num" w:pos="1440"/>
        </w:tabs>
        <w:ind w:left="1440" w:hanging="720"/>
      </w:pPr>
      <w:rPr>
        <w:rFonts w:cs="Times New Roman" w:hint="default"/>
      </w:rPr>
    </w:lvl>
    <w:lvl w:ilvl="1" w:tplc="040D0019">
      <w:start w:val="1"/>
      <w:numFmt w:val="lowerLetter"/>
      <w:lvlText w:val="%2."/>
      <w:lvlJc w:val="left"/>
      <w:pPr>
        <w:tabs>
          <w:tab w:val="num" w:pos="1800"/>
        </w:tabs>
        <w:ind w:left="1800" w:hanging="360"/>
      </w:pPr>
      <w:rPr>
        <w:rFonts w:cs="Times New Roman"/>
      </w:rPr>
    </w:lvl>
    <w:lvl w:ilvl="2" w:tplc="040D001B">
      <w:start w:val="1"/>
      <w:numFmt w:val="lowerRoman"/>
      <w:lvlText w:val="%3."/>
      <w:lvlJc w:val="right"/>
      <w:pPr>
        <w:tabs>
          <w:tab w:val="num" w:pos="2520"/>
        </w:tabs>
        <w:ind w:left="2520" w:hanging="180"/>
      </w:pPr>
      <w:rPr>
        <w:rFonts w:cs="Times New Roman"/>
      </w:rPr>
    </w:lvl>
    <w:lvl w:ilvl="3" w:tplc="040D000F">
      <w:start w:val="1"/>
      <w:numFmt w:val="decimal"/>
      <w:lvlText w:val="%4."/>
      <w:lvlJc w:val="left"/>
      <w:pPr>
        <w:tabs>
          <w:tab w:val="num" w:pos="3240"/>
        </w:tabs>
        <w:ind w:left="3240" w:hanging="360"/>
      </w:pPr>
      <w:rPr>
        <w:rFonts w:cs="Times New Roman"/>
      </w:rPr>
    </w:lvl>
    <w:lvl w:ilvl="4" w:tplc="040D0019">
      <w:start w:val="1"/>
      <w:numFmt w:val="lowerLetter"/>
      <w:lvlText w:val="%5."/>
      <w:lvlJc w:val="left"/>
      <w:pPr>
        <w:tabs>
          <w:tab w:val="num" w:pos="3960"/>
        </w:tabs>
        <w:ind w:left="3960" w:hanging="360"/>
      </w:pPr>
      <w:rPr>
        <w:rFonts w:cs="Times New Roman"/>
      </w:rPr>
    </w:lvl>
    <w:lvl w:ilvl="5" w:tplc="040D001B">
      <w:start w:val="1"/>
      <w:numFmt w:val="lowerRoman"/>
      <w:lvlText w:val="%6."/>
      <w:lvlJc w:val="right"/>
      <w:pPr>
        <w:tabs>
          <w:tab w:val="num" w:pos="4680"/>
        </w:tabs>
        <w:ind w:left="4680" w:hanging="180"/>
      </w:pPr>
      <w:rPr>
        <w:rFonts w:cs="Times New Roman"/>
      </w:rPr>
    </w:lvl>
    <w:lvl w:ilvl="6" w:tplc="040D000F">
      <w:start w:val="1"/>
      <w:numFmt w:val="decimal"/>
      <w:lvlText w:val="%7."/>
      <w:lvlJc w:val="left"/>
      <w:pPr>
        <w:tabs>
          <w:tab w:val="num" w:pos="5400"/>
        </w:tabs>
        <w:ind w:left="5400" w:hanging="360"/>
      </w:pPr>
      <w:rPr>
        <w:rFonts w:cs="Times New Roman"/>
      </w:rPr>
    </w:lvl>
    <w:lvl w:ilvl="7" w:tplc="040D0019">
      <w:start w:val="1"/>
      <w:numFmt w:val="lowerLetter"/>
      <w:lvlText w:val="%8."/>
      <w:lvlJc w:val="left"/>
      <w:pPr>
        <w:tabs>
          <w:tab w:val="num" w:pos="6120"/>
        </w:tabs>
        <w:ind w:left="6120" w:hanging="360"/>
      </w:pPr>
      <w:rPr>
        <w:rFonts w:cs="Times New Roman"/>
      </w:rPr>
    </w:lvl>
    <w:lvl w:ilvl="8" w:tplc="040D001B">
      <w:start w:val="1"/>
      <w:numFmt w:val="lowerRoman"/>
      <w:lvlText w:val="%9."/>
      <w:lvlJc w:val="right"/>
      <w:pPr>
        <w:tabs>
          <w:tab w:val="num" w:pos="6840"/>
        </w:tabs>
        <w:ind w:left="6840" w:hanging="180"/>
      </w:pPr>
      <w:rPr>
        <w:rFonts w:cs="Times New Roman"/>
      </w:rPr>
    </w:lvl>
  </w:abstractNum>
  <w:abstractNum w:abstractNumId="3" w15:restartNumberingAfterBreak="0">
    <w:nsid w:val="3C0E2E56"/>
    <w:multiLevelType w:val="hybridMultilevel"/>
    <w:tmpl w:val="EDC2B1A0"/>
    <w:lvl w:ilvl="0" w:tplc="5588A3F8">
      <w:start w:val="1"/>
      <w:numFmt w:val="lowerRoman"/>
      <w:lvlText w:val="(%1)"/>
      <w:lvlJc w:val="left"/>
      <w:pPr>
        <w:tabs>
          <w:tab w:val="num" w:pos="1500"/>
        </w:tabs>
        <w:ind w:left="1500" w:hanging="720"/>
      </w:pPr>
      <w:rPr>
        <w:rFonts w:cs="Times New Roman" w:hint="default"/>
      </w:rPr>
    </w:lvl>
    <w:lvl w:ilvl="1" w:tplc="040D0019">
      <w:start w:val="1"/>
      <w:numFmt w:val="lowerLetter"/>
      <w:lvlText w:val="%2."/>
      <w:lvlJc w:val="left"/>
      <w:pPr>
        <w:tabs>
          <w:tab w:val="num" w:pos="1860"/>
        </w:tabs>
        <w:ind w:left="1860" w:hanging="360"/>
      </w:pPr>
      <w:rPr>
        <w:rFonts w:cs="Times New Roman"/>
      </w:rPr>
    </w:lvl>
    <w:lvl w:ilvl="2" w:tplc="040D001B">
      <w:start w:val="1"/>
      <w:numFmt w:val="lowerRoman"/>
      <w:lvlText w:val="%3."/>
      <w:lvlJc w:val="right"/>
      <w:pPr>
        <w:tabs>
          <w:tab w:val="num" w:pos="2580"/>
        </w:tabs>
        <w:ind w:left="2580" w:hanging="180"/>
      </w:pPr>
      <w:rPr>
        <w:rFonts w:cs="Times New Roman"/>
      </w:rPr>
    </w:lvl>
    <w:lvl w:ilvl="3" w:tplc="040D000F">
      <w:start w:val="1"/>
      <w:numFmt w:val="decimal"/>
      <w:lvlText w:val="%4."/>
      <w:lvlJc w:val="left"/>
      <w:pPr>
        <w:tabs>
          <w:tab w:val="num" w:pos="3300"/>
        </w:tabs>
        <w:ind w:left="3300" w:hanging="360"/>
      </w:pPr>
      <w:rPr>
        <w:rFonts w:cs="Times New Roman"/>
      </w:rPr>
    </w:lvl>
    <w:lvl w:ilvl="4" w:tplc="040D0019">
      <w:start w:val="1"/>
      <w:numFmt w:val="lowerLetter"/>
      <w:lvlText w:val="%5."/>
      <w:lvlJc w:val="left"/>
      <w:pPr>
        <w:tabs>
          <w:tab w:val="num" w:pos="4020"/>
        </w:tabs>
        <w:ind w:left="4020" w:hanging="360"/>
      </w:pPr>
      <w:rPr>
        <w:rFonts w:cs="Times New Roman"/>
      </w:rPr>
    </w:lvl>
    <w:lvl w:ilvl="5" w:tplc="040D001B">
      <w:start w:val="1"/>
      <w:numFmt w:val="lowerRoman"/>
      <w:lvlText w:val="%6."/>
      <w:lvlJc w:val="right"/>
      <w:pPr>
        <w:tabs>
          <w:tab w:val="num" w:pos="4740"/>
        </w:tabs>
        <w:ind w:left="4740" w:hanging="180"/>
      </w:pPr>
      <w:rPr>
        <w:rFonts w:cs="Times New Roman"/>
      </w:rPr>
    </w:lvl>
    <w:lvl w:ilvl="6" w:tplc="040D000F">
      <w:start w:val="1"/>
      <w:numFmt w:val="decimal"/>
      <w:lvlText w:val="%7."/>
      <w:lvlJc w:val="left"/>
      <w:pPr>
        <w:tabs>
          <w:tab w:val="num" w:pos="5460"/>
        </w:tabs>
        <w:ind w:left="5460" w:hanging="360"/>
      </w:pPr>
      <w:rPr>
        <w:rFonts w:cs="Times New Roman"/>
      </w:rPr>
    </w:lvl>
    <w:lvl w:ilvl="7" w:tplc="040D0019">
      <w:start w:val="1"/>
      <w:numFmt w:val="lowerLetter"/>
      <w:lvlText w:val="%8."/>
      <w:lvlJc w:val="left"/>
      <w:pPr>
        <w:tabs>
          <w:tab w:val="num" w:pos="6180"/>
        </w:tabs>
        <w:ind w:left="6180" w:hanging="360"/>
      </w:pPr>
      <w:rPr>
        <w:rFonts w:cs="Times New Roman"/>
      </w:rPr>
    </w:lvl>
    <w:lvl w:ilvl="8" w:tplc="040D001B">
      <w:start w:val="1"/>
      <w:numFmt w:val="lowerRoman"/>
      <w:lvlText w:val="%9."/>
      <w:lvlJc w:val="right"/>
      <w:pPr>
        <w:tabs>
          <w:tab w:val="num" w:pos="6900"/>
        </w:tabs>
        <w:ind w:left="6900" w:hanging="180"/>
      </w:pPr>
      <w:rPr>
        <w:rFonts w:cs="Times New Roman"/>
      </w:rPr>
    </w:lvl>
  </w:abstractNum>
  <w:abstractNum w:abstractNumId="4" w15:restartNumberingAfterBreak="0">
    <w:nsid w:val="50AA4865"/>
    <w:multiLevelType w:val="hybridMultilevel"/>
    <w:tmpl w:val="696CD334"/>
    <w:lvl w:ilvl="0" w:tplc="E50CB17C">
      <w:start w:val="1"/>
      <w:numFmt w:val="hebrew1"/>
      <w:lvlText w:val="%1."/>
      <w:lvlJc w:val="left"/>
      <w:pPr>
        <w:tabs>
          <w:tab w:val="num" w:pos="1635"/>
        </w:tabs>
        <w:ind w:left="1635" w:hanging="915"/>
      </w:pPr>
      <w:rPr>
        <w:rFonts w:cs="Times New Roman" w:hint="default"/>
      </w:rPr>
    </w:lvl>
    <w:lvl w:ilvl="1" w:tplc="040D0019">
      <w:start w:val="1"/>
      <w:numFmt w:val="lowerLetter"/>
      <w:lvlText w:val="%2."/>
      <w:lvlJc w:val="left"/>
      <w:pPr>
        <w:tabs>
          <w:tab w:val="num" w:pos="1800"/>
        </w:tabs>
        <w:ind w:left="1800" w:hanging="360"/>
      </w:pPr>
      <w:rPr>
        <w:rFonts w:cs="Times New Roman"/>
      </w:rPr>
    </w:lvl>
    <w:lvl w:ilvl="2" w:tplc="040D001B">
      <w:start w:val="1"/>
      <w:numFmt w:val="lowerRoman"/>
      <w:lvlText w:val="%3."/>
      <w:lvlJc w:val="right"/>
      <w:pPr>
        <w:tabs>
          <w:tab w:val="num" w:pos="2520"/>
        </w:tabs>
        <w:ind w:left="2520" w:hanging="180"/>
      </w:pPr>
      <w:rPr>
        <w:rFonts w:cs="Times New Roman"/>
      </w:rPr>
    </w:lvl>
    <w:lvl w:ilvl="3" w:tplc="040D000F">
      <w:start w:val="1"/>
      <w:numFmt w:val="decimal"/>
      <w:lvlText w:val="%4."/>
      <w:lvlJc w:val="left"/>
      <w:pPr>
        <w:tabs>
          <w:tab w:val="num" w:pos="3240"/>
        </w:tabs>
        <w:ind w:left="3240" w:hanging="360"/>
      </w:pPr>
      <w:rPr>
        <w:rFonts w:cs="Times New Roman"/>
      </w:rPr>
    </w:lvl>
    <w:lvl w:ilvl="4" w:tplc="040D0019">
      <w:start w:val="1"/>
      <w:numFmt w:val="lowerLetter"/>
      <w:lvlText w:val="%5."/>
      <w:lvlJc w:val="left"/>
      <w:pPr>
        <w:tabs>
          <w:tab w:val="num" w:pos="3960"/>
        </w:tabs>
        <w:ind w:left="3960" w:hanging="360"/>
      </w:pPr>
      <w:rPr>
        <w:rFonts w:cs="Times New Roman"/>
      </w:rPr>
    </w:lvl>
    <w:lvl w:ilvl="5" w:tplc="040D001B">
      <w:start w:val="1"/>
      <w:numFmt w:val="lowerRoman"/>
      <w:lvlText w:val="%6."/>
      <w:lvlJc w:val="right"/>
      <w:pPr>
        <w:tabs>
          <w:tab w:val="num" w:pos="4680"/>
        </w:tabs>
        <w:ind w:left="4680" w:hanging="180"/>
      </w:pPr>
      <w:rPr>
        <w:rFonts w:cs="Times New Roman"/>
      </w:rPr>
    </w:lvl>
    <w:lvl w:ilvl="6" w:tplc="040D000F">
      <w:start w:val="1"/>
      <w:numFmt w:val="decimal"/>
      <w:lvlText w:val="%7."/>
      <w:lvlJc w:val="left"/>
      <w:pPr>
        <w:tabs>
          <w:tab w:val="num" w:pos="5400"/>
        </w:tabs>
        <w:ind w:left="5400" w:hanging="360"/>
      </w:pPr>
      <w:rPr>
        <w:rFonts w:cs="Times New Roman"/>
      </w:rPr>
    </w:lvl>
    <w:lvl w:ilvl="7" w:tplc="040D0019">
      <w:start w:val="1"/>
      <w:numFmt w:val="lowerLetter"/>
      <w:lvlText w:val="%8."/>
      <w:lvlJc w:val="left"/>
      <w:pPr>
        <w:tabs>
          <w:tab w:val="num" w:pos="6120"/>
        </w:tabs>
        <w:ind w:left="6120" w:hanging="360"/>
      </w:pPr>
      <w:rPr>
        <w:rFonts w:cs="Times New Roman"/>
      </w:rPr>
    </w:lvl>
    <w:lvl w:ilvl="8" w:tplc="040D001B">
      <w:start w:val="1"/>
      <w:numFmt w:val="lowerRoman"/>
      <w:lvlText w:val="%9."/>
      <w:lvlJc w:val="right"/>
      <w:pPr>
        <w:tabs>
          <w:tab w:val="num" w:pos="6840"/>
        </w:tabs>
        <w:ind w:left="6840" w:hanging="180"/>
      </w:pPr>
      <w:rPr>
        <w:rFonts w:cs="Times New Roman"/>
      </w:rPr>
    </w:lvl>
  </w:abstractNum>
  <w:abstractNum w:abstractNumId="5"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D901CB0"/>
    <w:multiLevelType w:val="hybridMultilevel"/>
    <w:tmpl w:val="8674A132"/>
    <w:lvl w:ilvl="0" w:tplc="27485294">
      <w:start w:val="1"/>
      <w:numFmt w:val="decimal"/>
      <w:lvlText w:val="(%1)"/>
      <w:lvlJc w:val="left"/>
      <w:pPr>
        <w:tabs>
          <w:tab w:val="num" w:pos="4680"/>
        </w:tabs>
        <w:ind w:left="4680" w:hanging="360"/>
      </w:pPr>
      <w:rPr>
        <w:rFonts w:cs="Times New Roman" w:hint="default"/>
      </w:rPr>
    </w:lvl>
    <w:lvl w:ilvl="1" w:tplc="040D0019">
      <w:start w:val="1"/>
      <w:numFmt w:val="lowerLetter"/>
      <w:lvlText w:val="%2."/>
      <w:lvlJc w:val="left"/>
      <w:pPr>
        <w:tabs>
          <w:tab w:val="num" w:pos="5400"/>
        </w:tabs>
        <w:ind w:left="5400" w:hanging="360"/>
      </w:pPr>
      <w:rPr>
        <w:rFonts w:cs="Times New Roman"/>
      </w:rPr>
    </w:lvl>
    <w:lvl w:ilvl="2" w:tplc="040D001B">
      <w:start w:val="1"/>
      <w:numFmt w:val="lowerRoman"/>
      <w:lvlText w:val="%3."/>
      <w:lvlJc w:val="right"/>
      <w:pPr>
        <w:tabs>
          <w:tab w:val="num" w:pos="6120"/>
        </w:tabs>
        <w:ind w:left="6120" w:hanging="180"/>
      </w:pPr>
      <w:rPr>
        <w:rFonts w:cs="Times New Roman"/>
      </w:rPr>
    </w:lvl>
    <w:lvl w:ilvl="3" w:tplc="040D000F">
      <w:start w:val="1"/>
      <w:numFmt w:val="decimal"/>
      <w:lvlText w:val="%4."/>
      <w:lvlJc w:val="left"/>
      <w:pPr>
        <w:tabs>
          <w:tab w:val="num" w:pos="6840"/>
        </w:tabs>
        <w:ind w:left="6840" w:hanging="360"/>
      </w:pPr>
      <w:rPr>
        <w:rFonts w:cs="Times New Roman"/>
      </w:rPr>
    </w:lvl>
    <w:lvl w:ilvl="4" w:tplc="040D0019">
      <w:start w:val="1"/>
      <w:numFmt w:val="lowerLetter"/>
      <w:lvlText w:val="%5."/>
      <w:lvlJc w:val="left"/>
      <w:pPr>
        <w:tabs>
          <w:tab w:val="num" w:pos="7560"/>
        </w:tabs>
        <w:ind w:left="7560" w:hanging="360"/>
      </w:pPr>
      <w:rPr>
        <w:rFonts w:cs="Times New Roman"/>
      </w:rPr>
    </w:lvl>
    <w:lvl w:ilvl="5" w:tplc="040D001B">
      <w:start w:val="1"/>
      <w:numFmt w:val="lowerRoman"/>
      <w:lvlText w:val="%6."/>
      <w:lvlJc w:val="right"/>
      <w:pPr>
        <w:tabs>
          <w:tab w:val="num" w:pos="8280"/>
        </w:tabs>
        <w:ind w:left="8280" w:hanging="180"/>
      </w:pPr>
      <w:rPr>
        <w:rFonts w:cs="Times New Roman"/>
      </w:rPr>
    </w:lvl>
    <w:lvl w:ilvl="6" w:tplc="040D000F">
      <w:start w:val="1"/>
      <w:numFmt w:val="decimal"/>
      <w:lvlText w:val="%7."/>
      <w:lvlJc w:val="left"/>
      <w:pPr>
        <w:tabs>
          <w:tab w:val="num" w:pos="9000"/>
        </w:tabs>
        <w:ind w:left="9000" w:hanging="360"/>
      </w:pPr>
      <w:rPr>
        <w:rFonts w:cs="Times New Roman"/>
      </w:rPr>
    </w:lvl>
    <w:lvl w:ilvl="7" w:tplc="040D0019">
      <w:start w:val="1"/>
      <w:numFmt w:val="lowerLetter"/>
      <w:lvlText w:val="%8."/>
      <w:lvlJc w:val="left"/>
      <w:pPr>
        <w:tabs>
          <w:tab w:val="num" w:pos="9720"/>
        </w:tabs>
        <w:ind w:left="9720" w:hanging="360"/>
      </w:pPr>
      <w:rPr>
        <w:rFonts w:cs="Times New Roman"/>
      </w:rPr>
    </w:lvl>
    <w:lvl w:ilvl="8" w:tplc="040D001B">
      <w:start w:val="1"/>
      <w:numFmt w:val="lowerRoman"/>
      <w:lvlText w:val="%9."/>
      <w:lvlJc w:val="right"/>
      <w:pPr>
        <w:tabs>
          <w:tab w:val="num" w:pos="10440"/>
        </w:tabs>
        <w:ind w:left="10440" w:hanging="180"/>
      </w:pPr>
      <w:rPr>
        <w:rFonts w:cs="Times New Roman"/>
      </w:rPr>
    </w:lvl>
  </w:abstractNum>
  <w:num w:numId="1" w16cid:durableId="1812403336">
    <w:abstractNumId w:val="5"/>
  </w:num>
  <w:num w:numId="2" w16cid:durableId="1268346049">
    <w:abstractNumId w:val="0"/>
  </w:num>
  <w:num w:numId="3" w16cid:durableId="2030332416">
    <w:abstractNumId w:val="6"/>
  </w:num>
  <w:num w:numId="4" w16cid:durableId="1060061067">
    <w:abstractNumId w:val="1"/>
  </w:num>
  <w:num w:numId="5" w16cid:durableId="2136168868">
    <w:abstractNumId w:val="3"/>
  </w:num>
  <w:num w:numId="6" w16cid:durableId="752165314">
    <w:abstractNumId w:val="2"/>
  </w:num>
  <w:num w:numId="7" w16cid:durableId="9739490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97756"/>
    <w:rsid w:val="00097756"/>
    <w:rsid w:val="00114295"/>
    <w:rsid w:val="001940A7"/>
    <w:rsid w:val="002017D1"/>
    <w:rsid w:val="002E0F95"/>
    <w:rsid w:val="005C6CBC"/>
    <w:rsid w:val="006942B9"/>
    <w:rsid w:val="009B635B"/>
    <w:rsid w:val="00A45930"/>
    <w:rsid w:val="00BA6FC9"/>
    <w:rsid w:val="00BC3394"/>
    <w:rsid w:val="00C11C8F"/>
    <w:rsid w:val="00C23558"/>
    <w:rsid w:val="00C90DCC"/>
    <w:rsid w:val="00D06401"/>
    <w:rsid w:val="00D83D75"/>
    <w:rsid w:val="00F458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50"/>
    <o:shapelayout v:ext="edit">
      <o:idmap v:ext="edit" data="1"/>
    </o:shapelayout>
  </w:shapeDefaults>
  <w:decimalSymbol w:val="."/>
  <w:listSeparator w:val=","/>
  <w14:docId w14:val="768D55AC"/>
  <w15:chartTrackingRefBased/>
  <w15:docId w15:val="{42B7821A-4BEA-4544-BBA4-B3B4171D9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7756"/>
    <w:pPr>
      <w:bidi/>
    </w:pPr>
    <w:rPr>
      <w:rFonts w:cs="David"/>
      <w:sz w:val="24"/>
      <w:szCs w:val="24"/>
    </w:rPr>
  </w:style>
  <w:style w:type="paragraph" w:styleId="1">
    <w:name w:val="heading 1"/>
    <w:basedOn w:val="a"/>
    <w:next w:val="a"/>
    <w:qFormat/>
    <w:rsid w:val="00097756"/>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097756"/>
    <w:pPr>
      <w:keepNext/>
      <w:keepLines/>
      <w:spacing w:before="200"/>
      <w:outlineLvl w:val="1"/>
    </w:pPr>
    <w:rPr>
      <w:rFonts w:ascii="Cambria" w:hAnsi="Cambria" w:cs="Times New Roman"/>
      <w:b/>
      <w:bCs/>
      <w:color w:val="4F81BD"/>
      <w:sz w:val="26"/>
      <w:szCs w:val="26"/>
    </w:rPr>
  </w:style>
  <w:style w:type="paragraph" w:styleId="4">
    <w:name w:val="heading 4"/>
    <w:basedOn w:val="a"/>
    <w:next w:val="a"/>
    <w:qFormat/>
    <w:rsid w:val="00097756"/>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97756"/>
    <w:pPr>
      <w:tabs>
        <w:tab w:val="center" w:pos="4153"/>
        <w:tab w:val="right" w:pos="8306"/>
      </w:tabs>
    </w:pPr>
  </w:style>
  <w:style w:type="paragraph" w:styleId="a4">
    <w:name w:val="footer"/>
    <w:basedOn w:val="a"/>
    <w:rsid w:val="00097756"/>
    <w:pPr>
      <w:tabs>
        <w:tab w:val="center" w:pos="4153"/>
        <w:tab w:val="right" w:pos="8306"/>
      </w:tabs>
    </w:pPr>
  </w:style>
  <w:style w:type="character" w:styleId="a5">
    <w:name w:val="annotation reference"/>
    <w:rsid w:val="00097756"/>
    <w:rPr>
      <w:sz w:val="16"/>
      <w:szCs w:val="16"/>
    </w:rPr>
  </w:style>
  <w:style w:type="paragraph" w:styleId="a6">
    <w:name w:val="annotation text"/>
    <w:basedOn w:val="a"/>
    <w:rsid w:val="00097756"/>
    <w:rPr>
      <w:rFonts w:cs="Times New Roman"/>
      <w:lang w:eastAsia="he-IL"/>
    </w:rPr>
  </w:style>
  <w:style w:type="paragraph" w:styleId="a7">
    <w:name w:val="Balloon Text"/>
    <w:basedOn w:val="a"/>
    <w:rsid w:val="00097756"/>
    <w:rPr>
      <w:rFonts w:ascii="Tahoma" w:hAnsi="Tahoma" w:cs="Tahoma"/>
      <w:sz w:val="16"/>
      <w:szCs w:val="16"/>
    </w:rPr>
  </w:style>
  <w:style w:type="table" w:styleId="a8">
    <w:name w:val="Table Grid"/>
    <w:basedOn w:val="a1"/>
    <w:rsid w:val="0009775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097756"/>
  </w:style>
  <w:style w:type="character" w:customStyle="1" w:styleId="20">
    <w:name w:val="כותרת 2 תו"/>
    <w:link w:val="2"/>
    <w:rsid w:val="00097756"/>
    <w:rPr>
      <w:rFonts w:ascii="Cambria" w:hAnsi="Cambria"/>
      <w:b/>
      <w:bCs/>
      <w:color w:val="4F81BD"/>
      <w:sz w:val="26"/>
      <w:szCs w:val="26"/>
      <w:lang w:val="en-US" w:eastAsia="en-US" w:bidi="he-IL"/>
    </w:rPr>
  </w:style>
  <w:style w:type="character" w:styleId="Hyperlink">
    <w:name w:val="Hyperlink"/>
    <w:rsid w:val="00097756"/>
    <w:rPr>
      <w:rFonts w:cs="Times New Roman"/>
      <w:color w:val="0000FF"/>
      <w:u w:val="single"/>
    </w:rPr>
  </w:style>
  <w:style w:type="paragraph" w:styleId="21">
    <w:name w:val="Body Text 2"/>
    <w:basedOn w:val="a"/>
    <w:link w:val="22"/>
    <w:rsid w:val="00097756"/>
    <w:pPr>
      <w:spacing w:line="360" w:lineRule="auto"/>
      <w:jc w:val="both"/>
    </w:pPr>
    <w:rPr>
      <w:rFonts w:cs="Times New Roman"/>
      <w:b/>
      <w:bCs/>
      <w:lang w:eastAsia="he-IL"/>
    </w:rPr>
  </w:style>
  <w:style w:type="character" w:customStyle="1" w:styleId="22">
    <w:name w:val="גוף טקסט 2 תו"/>
    <w:link w:val="21"/>
    <w:rsid w:val="00097756"/>
    <w:rPr>
      <w:b/>
      <w:bCs/>
      <w:sz w:val="24"/>
      <w:szCs w:val="24"/>
      <w:lang w:val="en-US" w:eastAsia="he-IL" w:bidi="he-IL"/>
    </w:rPr>
  </w:style>
  <w:style w:type="paragraph" w:styleId="aa">
    <w:name w:val="Body Text"/>
    <w:basedOn w:val="a"/>
    <w:link w:val="ab"/>
    <w:rsid w:val="00097756"/>
    <w:pPr>
      <w:tabs>
        <w:tab w:val="right" w:pos="6300"/>
      </w:tabs>
      <w:bidi w:val="0"/>
      <w:spacing w:line="360" w:lineRule="auto"/>
      <w:ind w:right="2006"/>
      <w:jc w:val="both"/>
    </w:pPr>
    <w:rPr>
      <w:rFonts w:cs="Times New Roman"/>
      <w:lang w:eastAsia="he-IL"/>
    </w:rPr>
  </w:style>
  <w:style w:type="character" w:customStyle="1" w:styleId="ab">
    <w:name w:val="גוף טקסט תו"/>
    <w:link w:val="aa"/>
    <w:rsid w:val="00097756"/>
    <w:rPr>
      <w:sz w:val="24"/>
      <w:szCs w:val="24"/>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6119015"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6712757"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4476278" TargetMode="External"/><Relationship Id="rId50" Type="http://schemas.openxmlformats.org/officeDocument/2006/relationships/hyperlink" Target="http://www.nevo.co.il/case/6900494" TargetMode="External"/><Relationship Id="rId55" Type="http://schemas.openxmlformats.org/officeDocument/2006/relationships/hyperlink" Target="http://www.nevo.co.il/law/70301"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5828978" TargetMode="External"/><Relationship Id="rId11" Type="http://schemas.openxmlformats.org/officeDocument/2006/relationships/hyperlink" Target="http://www.nevo.co.il/law/4216" TargetMode="External"/><Relationship Id="rId24" Type="http://schemas.openxmlformats.org/officeDocument/2006/relationships/hyperlink" Target="http://www.nevo.co.il/case/5917767" TargetMode="External"/><Relationship Id="rId32" Type="http://schemas.openxmlformats.org/officeDocument/2006/relationships/hyperlink" Target="http://www.nevo.co.il/case/5606303" TargetMode="External"/><Relationship Id="rId37" Type="http://schemas.openxmlformats.org/officeDocument/2006/relationships/hyperlink" Target="http://www.nevo.co.il/law/4216"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5727295" TargetMode="External"/><Relationship Id="rId53" Type="http://schemas.openxmlformats.org/officeDocument/2006/relationships/hyperlink" Target="http://www.nevo.co.il/case/5736485" TargetMode="External"/><Relationship Id="rId58" Type="http://schemas.openxmlformats.org/officeDocument/2006/relationships/hyperlink" Target="http://www.nevo.co.il/case/5892403"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4216" TargetMode="External"/><Relationship Id="rId19" Type="http://schemas.openxmlformats.org/officeDocument/2006/relationships/hyperlink" Target="http://www.nevo.co.il/law/70301" TargetMode="External"/><Relationship Id="rId14" Type="http://schemas.openxmlformats.org/officeDocument/2006/relationships/hyperlink" Target="http://www.nevo.co.il/case/4569392" TargetMode="External"/><Relationship Id="rId22" Type="http://schemas.openxmlformats.org/officeDocument/2006/relationships/hyperlink" Target="http://www.nevo.co.il/case/6030418"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5605610" TargetMode="External"/><Relationship Id="rId35" Type="http://schemas.openxmlformats.org/officeDocument/2006/relationships/hyperlink" Target="http://www.nevo.co.il/case/3650828" TargetMode="External"/><Relationship Id="rId43" Type="http://schemas.openxmlformats.org/officeDocument/2006/relationships/hyperlink" Target="http://www.nevo.co.il/case/6076925" TargetMode="External"/><Relationship Id="rId48" Type="http://schemas.openxmlformats.org/officeDocument/2006/relationships/hyperlink" Target="http://www.nevo.co.il/case/4569392" TargetMode="External"/><Relationship Id="rId56" Type="http://schemas.openxmlformats.org/officeDocument/2006/relationships/hyperlink" Target="http://www.nevo.co.il/law/70301" TargetMode="External"/><Relationship Id="rId64" Type="http://schemas.openxmlformats.org/officeDocument/2006/relationships/header" Target="header2.xml"/><Relationship Id="rId8" Type="http://schemas.openxmlformats.org/officeDocument/2006/relationships/hyperlink" Target="http://www.nevo.co.il/law/70301" TargetMode="External"/><Relationship Id="rId51" Type="http://schemas.openxmlformats.org/officeDocument/2006/relationships/hyperlink" Target="http://www.nevo.co.il/case/5917767"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738608" TargetMode="External"/><Relationship Id="rId33" Type="http://schemas.openxmlformats.org/officeDocument/2006/relationships/hyperlink" Target="http://www.nevo.co.il/case/5578372" TargetMode="External"/><Relationship Id="rId38" Type="http://schemas.openxmlformats.org/officeDocument/2006/relationships/hyperlink" Target="http://www.nevo.co.il/law/4216" TargetMode="External"/><Relationship Id="rId46" Type="http://schemas.openxmlformats.org/officeDocument/2006/relationships/hyperlink" Target="http://www.nevo.co.il/case/5590128" TargetMode="External"/><Relationship Id="rId59" Type="http://schemas.openxmlformats.org/officeDocument/2006/relationships/hyperlink" Target="http://www.nevo.co.il/case/5964117" TargetMode="External"/><Relationship Id="rId67" Type="http://schemas.openxmlformats.org/officeDocument/2006/relationships/fontTable" Target="fontTable.xml"/><Relationship Id="rId20" Type="http://schemas.openxmlformats.org/officeDocument/2006/relationships/hyperlink" Target="http://www.nevo.co.il/law/70301" TargetMode="External"/><Relationship Id="rId41" Type="http://schemas.openxmlformats.org/officeDocument/2006/relationships/hyperlink" Target="http://www.nevo.co.il/law/4216" TargetMode="External"/><Relationship Id="rId54" Type="http://schemas.openxmlformats.org/officeDocument/2006/relationships/hyperlink" Target="http://www.nevo.co.il/case/5696718" TargetMode="External"/><Relationship Id="rId62"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5587855" TargetMode="External"/><Relationship Id="rId23" Type="http://schemas.openxmlformats.org/officeDocument/2006/relationships/hyperlink" Target="http://www.nevo.co.il/case/17915297" TargetMode="External"/><Relationship Id="rId28" Type="http://schemas.openxmlformats.org/officeDocument/2006/relationships/hyperlink" Target="http://www.nevo.co.il/law/4216" TargetMode="External"/><Relationship Id="rId36" Type="http://schemas.openxmlformats.org/officeDocument/2006/relationships/hyperlink" Target="http://www.nevo.co.il/case/4189371" TargetMode="External"/><Relationship Id="rId49" Type="http://schemas.openxmlformats.org/officeDocument/2006/relationships/hyperlink" Target="http://www.nevo.co.il/case/2744344" TargetMode="External"/><Relationship Id="rId57" Type="http://schemas.openxmlformats.org/officeDocument/2006/relationships/hyperlink" Target="http://www.nevo.co.il/case/17915297"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6245080" TargetMode="External"/><Relationship Id="rId44" Type="http://schemas.openxmlformats.org/officeDocument/2006/relationships/hyperlink" Target="http://www.nevo.co.il/case/5831254"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5587855"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 TargetMode="External"/><Relationship Id="rId13" Type="http://schemas.openxmlformats.org/officeDocument/2006/relationships/hyperlink" Target="http://www.nevo.co.il/case/4476278" TargetMode="External"/><Relationship Id="rId18" Type="http://schemas.openxmlformats.org/officeDocument/2006/relationships/hyperlink" Target="http://www.nevo.co.il/law/70301" TargetMode="External"/><Relationship Id="rId3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7174</Words>
  <Characters>35873</Characters>
  <Application>Microsoft Office Word</Application>
  <DocSecurity>0</DocSecurity>
  <Lines>298</Lines>
  <Paragraphs>85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42962</CharactersWithSpaces>
  <SharedDoc>false</SharedDoc>
  <HLinks>
    <vt:vector size="336" baseType="variant">
      <vt:variant>
        <vt:i4>8257637</vt:i4>
      </vt:variant>
      <vt:variant>
        <vt:i4>165</vt:i4>
      </vt:variant>
      <vt:variant>
        <vt:i4>0</vt:i4>
      </vt:variant>
      <vt:variant>
        <vt:i4>5</vt:i4>
      </vt:variant>
      <vt:variant>
        <vt:lpwstr>http://www.nevo.co.il/law/4216</vt:lpwstr>
      </vt:variant>
      <vt:variant>
        <vt:lpwstr/>
      </vt:variant>
      <vt:variant>
        <vt:i4>8257637</vt:i4>
      </vt:variant>
      <vt:variant>
        <vt:i4>162</vt:i4>
      </vt:variant>
      <vt:variant>
        <vt:i4>0</vt:i4>
      </vt:variant>
      <vt:variant>
        <vt:i4>5</vt:i4>
      </vt:variant>
      <vt:variant>
        <vt:lpwstr>http://www.nevo.co.il/law/4216</vt:lpwstr>
      </vt:variant>
      <vt:variant>
        <vt:lpwstr/>
      </vt:variant>
      <vt:variant>
        <vt:i4>3145843</vt:i4>
      </vt:variant>
      <vt:variant>
        <vt:i4>159</vt:i4>
      </vt:variant>
      <vt:variant>
        <vt:i4>0</vt:i4>
      </vt:variant>
      <vt:variant>
        <vt:i4>5</vt:i4>
      </vt:variant>
      <vt:variant>
        <vt:lpwstr>http://www.nevo.co.il/case/5587855</vt:lpwstr>
      </vt:variant>
      <vt:variant>
        <vt:lpwstr/>
      </vt:variant>
      <vt:variant>
        <vt:i4>3473528</vt:i4>
      </vt:variant>
      <vt:variant>
        <vt:i4>156</vt:i4>
      </vt:variant>
      <vt:variant>
        <vt:i4>0</vt:i4>
      </vt:variant>
      <vt:variant>
        <vt:i4>5</vt:i4>
      </vt:variant>
      <vt:variant>
        <vt:lpwstr>http://www.nevo.co.il/case/5964117</vt:lpwstr>
      </vt:variant>
      <vt:variant>
        <vt:lpwstr/>
      </vt:variant>
      <vt:variant>
        <vt:i4>3866750</vt:i4>
      </vt:variant>
      <vt:variant>
        <vt:i4>153</vt:i4>
      </vt:variant>
      <vt:variant>
        <vt:i4>0</vt:i4>
      </vt:variant>
      <vt:variant>
        <vt:i4>5</vt:i4>
      </vt:variant>
      <vt:variant>
        <vt:lpwstr>http://www.nevo.co.il/case/5892403</vt:lpwstr>
      </vt:variant>
      <vt:variant>
        <vt:lpwstr/>
      </vt:variant>
      <vt:variant>
        <vt:i4>3407984</vt:i4>
      </vt:variant>
      <vt:variant>
        <vt:i4>150</vt:i4>
      </vt:variant>
      <vt:variant>
        <vt:i4>0</vt:i4>
      </vt:variant>
      <vt:variant>
        <vt:i4>5</vt:i4>
      </vt:variant>
      <vt:variant>
        <vt:lpwstr>http://www.nevo.co.il/case/17915297</vt:lpwstr>
      </vt:variant>
      <vt:variant>
        <vt:lpwstr/>
      </vt:variant>
      <vt:variant>
        <vt:i4>7995492</vt:i4>
      </vt:variant>
      <vt:variant>
        <vt:i4>147</vt:i4>
      </vt:variant>
      <vt:variant>
        <vt:i4>0</vt:i4>
      </vt:variant>
      <vt:variant>
        <vt:i4>5</vt:i4>
      </vt:variant>
      <vt:variant>
        <vt:lpwstr>http://www.nevo.co.il/law/70301</vt:lpwstr>
      </vt:variant>
      <vt:variant>
        <vt:lpwstr/>
      </vt:variant>
      <vt:variant>
        <vt:i4>7995492</vt:i4>
      </vt:variant>
      <vt:variant>
        <vt:i4>144</vt:i4>
      </vt:variant>
      <vt:variant>
        <vt:i4>0</vt:i4>
      </vt:variant>
      <vt:variant>
        <vt:i4>5</vt:i4>
      </vt:variant>
      <vt:variant>
        <vt:lpwstr>http://www.nevo.co.il/law/70301</vt:lpwstr>
      </vt:variant>
      <vt:variant>
        <vt:lpwstr/>
      </vt:variant>
      <vt:variant>
        <vt:i4>3342453</vt:i4>
      </vt:variant>
      <vt:variant>
        <vt:i4>141</vt:i4>
      </vt:variant>
      <vt:variant>
        <vt:i4>0</vt:i4>
      </vt:variant>
      <vt:variant>
        <vt:i4>5</vt:i4>
      </vt:variant>
      <vt:variant>
        <vt:lpwstr>http://www.nevo.co.il/case/5696718</vt:lpwstr>
      </vt:variant>
      <vt:variant>
        <vt:lpwstr/>
      </vt:variant>
      <vt:variant>
        <vt:i4>3604605</vt:i4>
      </vt:variant>
      <vt:variant>
        <vt:i4>138</vt:i4>
      </vt:variant>
      <vt:variant>
        <vt:i4>0</vt:i4>
      </vt:variant>
      <vt:variant>
        <vt:i4>5</vt:i4>
      </vt:variant>
      <vt:variant>
        <vt:lpwstr>http://www.nevo.co.il/case/5736485</vt:lpwstr>
      </vt:variant>
      <vt:variant>
        <vt:lpwstr/>
      </vt:variant>
      <vt:variant>
        <vt:i4>7995492</vt:i4>
      </vt:variant>
      <vt:variant>
        <vt:i4>135</vt:i4>
      </vt:variant>
      <vt:variant>
        <vt:i4>0</vt:i4>
      </vt:variant>
      <vt:variant>
        <vt:i4>5</vt:i4>
      </vt:variant>
      <vt:variant>
        <vt:lpwstr>http://www.nevo.co.il/law/70301</vt:lpwstr>
      </vt:variant>
      <vt:variant>
        <vt:lpwstr/>
      </vt:variant>
      <vt:variant>
        <vt:i4>3407996</vt:i4>
      </vt:variant>
      <vt:variant>
        <vt:i4>132</vt:i4>
      </vt:variant>
      <vt:variant>
        <vt:i4>0</vt:i4>
      </vt:variant>
      <vt:variant>
        <vt:i4>5</vt:i4>
      </vt:variant>
      <vt:variant>
        <vt:lpwstr>http://www.nevo.co.il/case/5917767</vt:lpwstr>
      </vt:variant>
      <vt:variant>
        <vt:lpwstr/>
      </vt:variant>
      <vt:variant>
        <vt:i4>3539060</vt:i4>
      </vt:variant>
      <vt:variant>
        <vt:i4>129</vt:i4>
      </vt:variant>
      <vt:variant>
        <vt:i4>0</vt:i4>
      </vt:variant>
      <vt:variant>
        <vt:i4>5</vt:i4>
      </vt:variant>
      <vt:variant>
        <vt:lpwstr>http://www.nevo.co.il/case/6900494</vt:lpwstr>
      </vt:variant>
      <vt:variant>
        <vt:lpwstr/>
      </vt:variant>
      <vt:variant>
        <vt:i4>3211379</vt:i4>
      </vt:variant>
      <vt:variant>
        <vt:i4>126</vt:i4>
      </vt:variant>
      <vt:variant>
        <vt:i4>0</vt:i4>
      </vt:variant>
      <vt:variant>
        <vt:i4>5</vt:i4>
      </vt:variant>
      <vt:variant>
        <vt:lpwstr>http://www.nevo.co.il/case/2744344</vt:lpwstr>
      </vt:variant>
      <vt:variant>
        <vt:lpwstr/>
      </vt:variant>
      <vt:variant>
        <vt:i4>3342449</vt:i4>
      </vt:variant>
      <vt:variant>
        <vt:i4>123</vt:i4>
      </vt:variant>
      <vt:variant>
        <vt:i4>0</vt:i4>
      </vt:variant>
      <vt:variant>
        <vt:i4>5</vt:i4>
      </vt:variant>
      <vt:variant>
        <vt:lpwstr>http://www.nevo.co.il/case/4569392</vt:lpwstr>
      </vt:variant>
      <vt:variant>
        <vt:lpwstr/>
      </vt:variant>
      <vt:variant>
        <vt:i4>3735665</vt:i4>
      </vt:variant>
      <vt:variant>
        <vt:i4>120</vt:i4>
      </vt:variant>
      <vt:variant>
        <vt:i4>0</vt:i4>
      </vt:variant>
      <vt:variant>
        <vt:i4>5</vt:i4>
      </vt:variant>
      <vt:variant>
        <vt:lpwstr>http://www.nevo.co.il/case/4476278</vt:lpwstr>
      </vt:variant>
      <vt:variant>
        <vt:lpwstr/>
      </vt:variant>
      <vt:variant>
        <vt:i4>3473523</vt:i4>
      </vt:variant>
      <vt:variant>
        <vt:i4>117</vt:i4>
      </vt:variant>
      <vt:variant>
        <vt:i4>0</vt:i4>
      </vt:variant>
      <vt:variant>
        <vt:i4>5</vt:i4>
      </vt:variant>
      <vt:variant>
        <vt:lpwstr>http://www.nevo.co.il/case/5590128</vt:lpwstr>
      </vt:variant>
      <vt:variant>
        <vt:lpwstr/>
      </vt:variant>
      <vt:variant>
        <vt:i4>3145853</vt:i4>
      </vt:variant>
      <vt:variant>
        <vt:i4>114</vt:i4>
      </vt:variant>
      <vt:variant>
        <vt:i4>0</vt:i4>
      </vt:variant>
      <vt:variant>
        <vt:i4>5</vt:i4>
      </vt:variant>
      <vt:variant>
        <vt:lpwstr>http://www.nevo.co.il/case/5727295</vt:lpwstr>
      </vt:variant>
      <vt:variant>
        <vt:lpwstr/>
      </vt:variant>
      <vt:variant>
        <vt:i4>3145848</vt:i4>
      </vt:variant>
      <vt:variant>
        <vt:i4>111</vt:i4>
      </vt:variant>
      <vt:variant>
        <vt:i4>0</vt:i4>
      </vt:variant>
      <vt:variant>
        <vt:i4>5</vt:i4>
      </vt:variant>
      <vt:variant>
        <vt:lpwstr>http://www.nevo.co.il/case/5831254</vt:lpwstr>
      </vt:variant>
      <vt:variant>
        <vt:lpwstr/>
      </vt:variant>
      <vt:variant>
        <vt:i4>3997808</vt:i4>
      </vt:variant>
      <vt:variant>
        <vt:i4>108</vt:i4>
      </vt:variant>
      <vt:variant>
        <vt:i4>0</vt:i4>
      </vt:variant>
      <vt:variant>
        <vt:i4>5</vt:i4>
      </vt:variant>
      <vt:variant>
        <vt:lpwstr>http://www.nevo.co.il/case/6076925</vt:lpwstr>
      </vt:variant>
      <vt:variant>
        <vt:lpwstr/>
      </vt:variant>
      <vt:variant>
        <vt:i4>7995492</vt:i4>
      </vt:variant>
      <vt:variant>
        <vt:i4>105</vt:i4>
      </vt:variant>
      <vt:variant>
        <vt:i4>0</vt:i4>
      </vt:variant>
      <vt:variant>
        <vt:i4>5</vt:i4>
      </vt:variant>
      <vt:variant>
        <vt:lpwstr>http://www.nevo.co.il/law/70301</vt:lpwstr>
      </vt:variant>
      <vt:variant>
        <vt:lpwstr/>
      </vt:variant>
      <vt:variant>
        <vt:i4>8257637</vt:i4>
      </vt:variant>
      <vt:variant>
        <vt:i4>102</vt:i4>
      </vt:variant>
      <vt:variant>
        <vt:i4>0</vt:i4>
      </vt:variant>
      <vt:variant>
        <vt:i4>5</vt:i4>
      </vt:variant>
      <vt:variant>
        <vt:lpwstr>http://www.nevo.co.il/law/4216</vt:lpwstr>
      </vt:variant>
      <vt:variant>
        <vt:lpwstr/>
      </vt:variant>
      <vt:variant>
        <vt:i4>7995492</vt:i4>
      </vt:variant>
      <vt:variant>
        <vt:i4>99</vt:i4>
      </vt:variant>
      <vt:variant>
        <vt:i4>0</vt:i4>
      </vt:variant>
      <vt:variant>
        <vt:i4>5</vt:i4>
      </vt:variant>
      <vt:variant>
        <vt:lpwstr>http://www.nevo.co.il/law/70301</vt:lpwstr>
      </vt:variant>
      <vt:variant>
        <vt:lpwstr/>
      </vt:variant>
      <vt:variant>
        <vt:i4>7995492</vt:i4>
      </vt:variant>
      <vt:variant>
        <vt:i4>96</vt:i4>
      </vt:variant>
      <vt:variant>
        <vt:i4>0</vt:i4>
      </vt:variant>
      <vt:variant>
        <vt:i4>5</vt:i4>
      </vt:variant>
      <vt:variant>
        <vt:lpwstr>http://www.nevo.co.il/law/70301</vt:lpwstr>
      </vt:variant>
      <vt:variant>
        <vt:lpwstr/>
      </vt:variant>
      <vt:variant>
        <vt:i4>8257637</vt:i4>
      </vt:variant>
      <vt:variant>
        <vt:i4>93</vt:i4>
      </vt:variant>
      <vt:variant>
        <vt:i4>0</vt:i4>
      </vt:variant>
      <vt:variant>
        <vt:i4>5</vt:i4>
      </vt:variant>
      <vt:variant>
        <vt:lpwstr>http://www.nevo.co.il/law/4216</vt:lpwstr>
      </vt:variant>
      <vt:variant>
        <vt:lpwstr/>
      </vt:variant>
      <vt:variant>
        <vt:i4>8257637</vt:i4>
      </vt:variant>
      <vt:variant>
        <vt:i4>90</vt:i4>
      </vt:variant>
      <vt:variant>
        <vt:i4>0</vt:i4>
      </vt:variant>
      <vt:variant>
        <vt:i4>5</vt:i4>
      </vt:variant>
      <vt:variant>
        <vt:lpwstr>http://www.nevo.co.il/law/4216</vt:lpwstr>
      </vt:variant>
      <vt:variant>
        <vt:lpwstr/>
      </vt:variant>
      <vt:variant>
        <vt:i4>4063355</vt:i4>
      </vt:variant>
      <vt:variant>
        <vt:i4>87</vt:i4>
      </vt:variant>
      <vt:variant>
        <vt:i4>0</vt:i4>
      </vt:variant>
      <vt:variant>
        <vt:i4>5</vt:i4>
      </vt:variant>
      <vt:variant>
        <vt:lpwstr>http://www.nevo.co.il/case/4189371</vt:lpwstr>
      </vt:variant>
      <vt:variant>
        <vt:lpwstr/>
      </vt:variant>
      <vt:variant>
        <vt:i4>3539056</vt:i4>
      </vt:variant>
      <vt:variant>
        <vt:i4>84</vt:i4>
      </vt:variant>
      <vt:variant>
        <vt:i4>0</vt:i4>
      </vt:variant>
      <vt:variant>
        <vt:i4>5</vt:i4>
      </vt:variant>
      <vt:variant>
        <vt:lpwstr>http://www.nevo.co.il/case/3650828</vt:lpwstr>
      </vt:variant>
      <vt:variant>
        <vt:lpwstr/>
      </vt:variant>
      <vt:variant>
        <vt:i4>3604596</vt:i4>
      </vt:variant>
      <vt:variant>
        <vt:i4>81</vt:i4>
      </vt:variant>
      <vt:variant>
        <vt:i4>0</vt:i4>
      </vt:variant>
      <vt:variant>
        <vt:i4>5</vt:i4>
      </vt:variant>
      <vt:variant>
        <vt:lpwstr>http://www.nevo.co.il/case/6712757</vt:lpwstr>
      </vt:variant>
      <vt:variant>
        <vt:lpwstr/>
      </vt:variant>
      <vt:variant>
        <vt:i4>3342462</vt:i4>
      </vt:variant>
      <vt:variant>
        <vt:i4>78</vt:i4>
      </vt:variant>
      <vt:variant>
        <vt:i4>0</vt:i4>
      </vt:variant>
      <vt:variant>
        <vt:i4>5</vt:i4>
      </vt:variant>
      <vt:variant>
        <vt:lpwstr>http://www.nevo.co.il/case/5578372</vt:lpwstr>
      </vt:variant>
      <vt:variant>
        <vt:lpwstr/>
      </vt:variant>
      <vt:variant>
        <vt:i4>3473524</vt:i4>
      </vt:variant>
      <vt:variant>
        <vt:i4>75</vt:i4>
      </vt:variant>
      <vt:variant>
        <vt:i4>0</vt:i4>
      </vt:variant>
      <vt:variant>
        <vt:i4>5</vt:i4>
      </vt:variant>
      <vt:variant>
        <vt:lpwstr>http://www.nevo.co.il/case/5606303</vt:lpwstr>
      </vt:variant>
      <vt:variant>
        <vt:lpwstr/>
      </vt:variant>
      <vt:variant>
        <vt:i4>3276923</vt:i4>
      </vt:variant>
      <vt:variant>
        <vt:i4>72</vt:i4>
      </vt:variant>
      <vt:variant>
        <vt:i4>0</vt:i4>
      </vt:variant>
      <vt:variant>
        <vt:i4>5</vt:i4>
      </vt:variant>
      <vt:variant>
        <vt:lpwstr>http://www.nevo.co.il/case/6245080</vt:lpwstr>
      </vt:variant>
      <vt:variant>
        <vt:lpwstr/>
      </vt:variant>
      <vt:variant>
        <vt:i4>3342454</vt:i4>
      </vt:variant>
      <vt:variant>
        <vt:i4>69</vt:i4>
      </vt:variant>
      <vt:variant>
        <vt:i4>0</vt:i4>
      </vt:variant>
      <vt:variant>
        <vt:i4>5</vt:i4>
      </vt:variant>
      <vt:variant>
        <vt:lpwstr>http://www.nevo.co.il/case/5605610</vt:lpwstr>
      </vt:variant>
      <vt:variant>
        <vt:lpwstr/>
      </vt:variant>
      <vt:variant>
        <vt:i4>3539059</vt:i4>
      </vt:variant>
      <vt:variant>
        <vt:i4>66</vt:i4>
      </vt:variant>
      <vt:variant>
        <vt:i4>0</vt:i4>
      </vt:variant>
      <vt:variant>
        <vt:i4>5</vt:i4>
      </vt:variant>
      <vt:variant>
        <vt:lpwstr>http://www.nevo.co.il/case/5828978</vt:lpwstr>
      </vt:variant>
      <vt:variant>
        <vt:lpwstr/>
      </vt:variant>
      <vt:variant>
        <vt:i4>8257637</vt:i4>
      </vt:variant>
      <vt:variant>
        <vt:i4>63</vt:i4>
      </vt:variant>
      <vt:variant>
        <vt:i4>0</vt:i4>
      </vt:variant>
      <vt:variant>
        <vt:i4>5</vt:i4>
      </vt:variant>
      <vt:variant>
        <vt:lpwstr>http://www.nevo.co.il/law/4216</vt:lpwstr>
      </vt:variant>
      <vt:variant>
        <vt:lpwstr/>
      </vt:variant>
      <vt:variant>
        <vt:i4>7995492</vt:i4>
      </vt:variant>
      <vt:variant>
        <vt:i4>60</vt:i4>
      </vt:variant>
      <vt:variant>
        <vt:i4>0</vt:i4>
      </vt:variant>
      <vt:variant>
        <vt:i4>5</vt:i4>
      </vt:variant>
      <vt:variant>
        <vt:lpwstr>http://www.nevo.co.il/law/70301</vt:lpwstr>
      </vt:variant>
      <vt:variant>
        <vt:lpwstr/>
      </vt:variant>
      <vt:variant>
        <vt:i4>3276925</vt:i4>
      </vt:variant>
      <vt:variant>
        <vt:i4>57</vt:i4>
      </vt:variant>
      <vt:variant>
        <vt:i4>0</vt:i4>
      </vt:variant>
      <vt:variant>
        <vt:i4>5</vt:i4>
      </vt:variant>
      <vt:variant>
        <vt:lpwstr>http://www.nevo.co.il/case/6119015</vt:lpwstr>
      </vt:variant>
      <vt:variant>
        <vt:lpwstr/>
      </vt:variant>
      <vt:variant>
        <vt:i4>3670139</vt:i4>
      </vt:variant>
      <vt:variant>
        <vt:i4>54</vt:i4>
      </vt:variant>
      <vt:variant>
        <vt:i4>0</vt:i4>
      </vt:variant>
      <vt:variant>
        <vt:i4>5</vt:i4>
      </vt:variant>
      <vt:variant>
        <vt:lpwstr>http://www.nevo.co.il/case/5738608</vt:lpwstr>
      </vt:variant>
      <vt:variant>
        <vt:lpwstr/>
      </vt:variant>
      <vt:variant>
        <vt:i4>3407996</vt:i4>
      </vt:variant>
      <vt:variant>
        <vt:i4>51</vt:i4>
      </vt:variant>
      <vt:variant>
        <vt:i4>0</vt:i4>
      </vt:variant>
      <vt:variant>
        <vt:i4>5</vt:i4>
      </vt:variant>
      <vt:variant>
        <vt:lpwstr>http://www.nevo.co.il/case/5917767</vt:lpwstr>
      </vt:variant>
      <vt:variant>
        <vt:lpwstr/>
      </vt:variant>
      <vt:variant>
        <vt:i4>3407984</vt:i4>
      </vt:variant>
      <vt:variant>
        <vt:i4>48</vt:i4>
      </vt:variant>
      <vt:variant>
        <vt:i4>0</vt:i4>
      </vt:variant>
      <vt:variant>
        <vt:i4>5</vt:i4>
      </vt:variant>
      <vt:variant>
        <vt:lpwstr>http://www.nevo.co.il/case/17915297</vt:lpwstr>
      </vt:variant>
      <vt:variant>
        <vt:lpwstr/>
      </vt:variant>
      <vt:variant>
        <vt:i4>3735669</vt:i4>
      </vt:variant>
      <vt:variant>
        <vt:i4>45</vt:i4>
      </vt:variant>
      <vt:variant>
        <vt:i4>0</vt:i4>
      </vt:variant>
      <vt:variant>
        <vt:i4>5</vt:i4>
      </vt:variant>
      <vt:variant>
        <vt:lpwstr>http://www.nevo.co.il/case/6030418</vt:lpwstr>
      </vt:variant>
      <vt:variant>
        <vt:lpwstr/>
      </vt:variant>
      <vt:variant>
        <vt:i4>7995492</vt:i4>
      </vt:variant>
      <vt:variant>
        <vt:i4>42</vt:i4>
      </vt:variant>
      <vt:variant>
        <vt:i4>0</vt:i4>
      </vt:variant>
      <vt:variant>
        <vt:i4>5</vt:i4>
      </vt:variant>
      <vt:variant>
        <vt:lpwstr>http://www.nevo.co.il/law/70301</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7995492</vt:i4>
      </vt:variant>
      <vt:variant>
        <vt:i4>33</vt:i4>
      </vt:variant>
      <vt:variant>
        <vt:i4>0</vt:i4>
      </vt:variant>
      <vt:variant>
        <vt:i4>5</vt:i4>
      </vt:variant>
      <vt:variant>
        <vt:lpwstr>http://www.nevo.co.il/law/70301</vt:lpwstr>
      </vt:variant>
      <vt:variant>
        <vt:lpwstr/>
      </vt:variant>
      <vt:variant>
        <vt:i4>7995492</vt:i4>
      </vt:variant>
      <vt:variant>
        <vt:i4>30</vt:i4>
      </vt:variant>
      <vt:variant>
        <vt:i4>0</vt:i4>
      </vt:variant>
      <vt:variant>
        <vt:i4>5</vt:i4>
      </vt:variant>
      <vt:variant>
        <vt:lpwstr>http://www.nevo.co.il/law/70301</vt:lpwstr>
      </vt:variant>
      <vt:variant>
        <vt:lpwstr/>
      </vt:variant>
      <vt:variant>
        <vt:i4>7995492</vt:i4>
      </vt:variant>
      <vt:variant>
        <vt:i4>27</vt:i4>
      </vt:variant>
      <vt:variant>
        <vt:i4>0</vt:i4>
      </vt:variant>
      <vt:variant>
        <vt:i4>5</vt:i4>
      </vt:variant>
      <vt:variant>
        <vt:lpwstr>http://www.nevo.co.il/law/70301</vt:lpwstr>
      </vt:variant>
      <vt:variant>
        <vt:lpwstr/>
      </vt:variant>
      <vt:variant>
        <vt:i4>3145843</vt:i4>
      </vt:variant>
      <vt:variant>
        <vt:i4>24</vt:i4>
      </vt:variant>
      <vt:variant>
        <vt:i4>0</vt:i4>
      </vt:variant>
      <vt:variant>
        <vt:i4>5</vt:i4>
      </vt:variant>
      <vt:variant>
        <vt:lpwstr>http://www.nevo.co.il/case/5587855</vt:lpwstr>
      </vt:variant>
      <vt:variant>
        <vt:lpwstr/>
      </vt:variant>
      <vt:variant>
        <vt:i4>3342449</vt:i4>
      </vt:variant>
      <vt:variant>
        <vt:i4>21</vt:i4>
      </vt:variant>
      <vt:variant>
        <vt:i4>0</vt:i4>
      </vt:variant>
      <vt:variant>
        <vt:i4>5</vt:i4>
      </vt:variant>
      <vt:variant>
        <vt:lpwstr>http://www.nevo.co.il/case/4569392</vt:lpwstr>
      </vt:variant>
      <vt:variant>
        <vt:lpwstr/>
      </vt:variant>
      <vt:variant>
        <vt:i4>3735665</vt:i4>
      </vt:variant>
      <vt:variant>
        <vt:i4>18</vt:i4>
      </vt:variant>
      <vt:variant>
        <vt:i4>0</vt:i4>
      </vt:variant>
      <vt:variant>
        <vt:i4>5</vt:i4>
      </vt:variant>
      <vt:variant>
        <vt:lpwstr>http://www.nevo.co.il/case/4476278</vt:lpwstr>
      </vt:variant>
      <vt:variant>
        <vt:lpwstr/>
      </vt:variant>
      <vt:variant>
        <vt:i4>8257637</vt:i4>
      </vt:variant>
      <vt:variant>
        <vt:i4>15</vt:i4>
      </vt:variant>
      <vt:variant>
        <vt:i4>0</vt:i4>
      </vt:variant>
      <vt:variant>
        <vt:i4>5</vt:i4>
      </vt:variant>
      <vt:variant>
        <vt:lpwstr>http://www.nevo.co.il/law/4216</vt:lpwstr>
      </vt:variant>
      <vt:variant>
        <vt:lpwstr/>
      </vt:variant>
      <vt:variant>
        <vt:i4>8257637</vt:i4>
      </vt:variant>
      <vt:variant>
        <vt:i4>12</vt:i4>
      </vt:variant>
      <vt:variant>
        <vt:i4>0</vt:i4>
      </vt:variant>
      <vt:variant>
        <vt:i4>5</vt:i4>
      </vt:variant>
      <vt:variant>
        <vt:lpwstr>http://www.nevo.co.il/law/4216</vt:lpwstr>
      </vt:variant>
      <vt:variant>
        <vt:lpwstr/>
      </vt:variant>
      <vt:variant>
        <vt:i4>7995492</vt:i4>
      </vt:variant>
      <vt:variant>
        <vt:i4>9</vt:i4>
      </vt:variant>
      <vt:variant>
        <vt:i4>0</vt:i4>
      </vt:variant>
      <vt:variant>
        <vt:i4>5</vt:i4>
      </vt:variant>
      <vt:variant>
        <vt:lpwstr>http://www.nevo.co.il/law/70301</vt:lpwstr>
      </vt:variant>
      <vt:variant>
        <vt:lpwstr/>
      </vt:variant>
      <vt:variant>
        <vt:i4>8257637</vt:i4>
      </vt:variant>
      <vt:variant>
        <vt:i4>6</vt:i4>
      </vt:variant>
      <vt:variant>
        <vt:i4>0</vt:i4>
      </vt:variant>
      <vt:variant>
        <vt:i4>5</vt:i4>
      </vt:variant>
      <vt:variant>
        <vt:lpwstr>http://www.nevo.co.il/law/4216</vt:lpwstr>
      </vt:variant>
      <vt:variant>
        <vt:lpwstr/>
      </vt:variant>
      <vt:variant>
        <vt:i4>7995492</vt:i4>
      </vt:variant>
      <vt:variant>
        <vt:i4>3</vt:i4>
      </vt:variant>
      <vt:variant>
        <vt:i4>0</vt:i4>
      </vt:variant>
      <vt:variant>
        <vt:i4>5</vt:i4>
      </vt:variant>
      <vt:variant>
        <vt:lpwstr>http://www.nevo.co.il/law/70301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2025-04-22T21:46:00Z</dcterms:created>
  <dcterms:modified xsi:type="dcterms:W3CDTF">2025-04-22T21:46:00Z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20928</vt:lpwstr>
  </property>
  <property fmtid="{D5CDD505-2E9C-101B-9397-08002B2CF9AE}" pid="6" name="NEWPARTB">
    <vt:lpwstr>07</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וארי איני אתן</vt:lpwstr>
  </property>
  <property fmtid="{D5CDD505-2E9C-101B-9397-08002B2CF9AE}" pid="10" name="LAWYER">
    <vt:lpwstr>דניאל אשכנזי;קטי צווטקוב</vt:lpwstr>
  </property>
  <property fmtid="{D5CDD505-2E9C-101B-9397-08002B2CF9AE}" pid="11" name="JUDGE">
    <vt:lpwstr>הישאם אבו שחאדה</vt:lpwstr>
  </property>
  <property fmtid="{D5CDD505-2E9C-101B-9397-08002B2CF9AE}" pid="12" name="CITY">
    <vt:lpwstr>רמ'</vt:lpwstr>
  </property>
  <property fmtid="{D5CDD505-2E9C-101B-9397-08002B2CF9AE}" pid="13" name="DATE">
    <vt:lpwstr>20130509</vt:lpwstr>
  </property>
  <property fmtid="{D5CDD505-2E9C-101B-9397-08002B2CF9AE}" pid="14" name="TYPE_N_DATE">
    <vt:lpwstr>38020130509</vt:lpwstr>
  </property>
  <property fmtid="{D5CDD505-2E9C-101B-9397-08002B2CF9AE}" pid="15" name="WORDNUMPAGES">
    <vt:lpwstr>25</vt:lpwstr>
  </property>
  <property fmtid="{D5CDD505-2E9C-101B-9397-08002B2CF9AE}" pid="16" name="TYPE_ABS_DATE">
    <vt:lpwstr>380020130509</vt:lpwstr>
  </property>
  <property fmtid="{D5CDD505-2E9C-101B-9397-08002B2CF9AE}" pid="17" name="ISABSTRACT">
    <vt:lpwstr>Y</vt:lpwstr>
  </property>
  <property fmtid="{D5CDD505-2E9C-101B-9397-08002B2CF9AE}" pid="18" name="CASESLISTTMP1">
    <vt:lpwstr>4476278:2;4569392:2;5587855:2;6030418;17915297:2;5917767:2;5738608;6119015;5828978;5605610;6245080;5606303;5578372;6712757;3650828;4189371;6076925;5831254;5727295;5590128;2744344;6900494;5736485;5696718;5892403;5964117</vt:lpwstr>
  </property>
  <property fmtid="{D5CDD505-2E9C-101B-9397-08002B2CF9AE}" pid="19" name="LAWLISTTMP1">
    <vt:lpwstr>4216:8</vt:lpwstr>
  </property>
  <property fmtid="{D5CDD505-2E9C-101B-9397-08002B2CF9AE}" pid="20" name="LAWLISTTMP2">
    <vt:lpwstr>70301:13</vt:lpwstr>
  </property>
</Properties>
</file>