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53191" w:rsidRPr="002B6FA2" w14:paraId="2DEC470B" w14:textId="77777777" w:rsidTr="002B6FA2">
        <w:trPr>
          <w:trHeight w:hRule="exact" w:val="418"/>
          <w:jc w:val="center"/>
        </w:trPr>
        <w:tc>
          <w:tcPr>
            <w:tcW w:w="8720" w:type="dxa"/>
            <w:gridSpan w:val="3"/>
          </w:tcPr>
          <w:p w14:paraId="2B9929FB" w14:textId="77777777" w:rsidR="00553191" w:rsidRPr="002B6FA2" w:rsidRDefault="00553191" w:rsidP="002B6FA2">
            <w:pPr>
              <w:pStyle w:val="a4"/>
              <w:tabs>
                <w:tab w:val="clear" w:pos="8306"/>
              </w:tabs>
              <w:jc w:val="center"/>
              <w:rPr>
                <w:rFonts w:ascii="Tahoma" w:hAnsi="Tahoma"/>
                <w:b/>
                <w:bCs/>
                <w:color w:val="000080"/>
                <w:sz w:val="32"/>
                <w:szCs w:val="32"/>
                <w:rtl/>
              </w:rPr>
            </w:pPr>
            <w:bookmarkStart w:id="0" w:name="LastJudge"/>
            <w:r w:rsidRPr="002B6FA2">
              <w:rPr>
                <w:rFonts w:ascii="Tahoma" w:hAnsi="Tahoma"/>
                <w:b/>
                <w:bCs/>
                <w:color w:val="000080"/>
                <w:sz w:val="32"/>
                <w:szCs w:val="32"/>
                <w:rtl/>
              </w:rPr>
              <w:t>בית משפט השלום בתל אביב - יפו</w:t>
            </w:r>
          </w:p>
        </w:tc>
      </w:tr>
      <w:tr w:rsidR="00553191" w:rsidRPr="002B6FA2" w14:paraId="2B18B996" w14:textId="77777777" w:rsidTr="002B6FA2">
        <w:trPr>
          <w:trHeight w:val="337"/>
          <w:jc w:val="center"/>
        </w:trPr>
        <w:tc>
          <w:tcPr>
            <w:tcW w:w="6396" w:type="dxa"/>
          </w:tcPr>
          <w:p w14:paraId="5C6E4810" w14:textId="77777777" w:rsidR="00553191" w:rsidRPr="002B6FA2" w:rsidRDefault="00553191" w:rsidP="002B6FA2">
            <w:pPr>
              <w:rPr>
                <w:b/>
                <w:bCs/>
                <w:sz w:val="26"/>
                <w:szCs w:val="26"/>
                <w:rtl/>
              </w:rPr>
            </w:pPr>
            <w:r w:rsidRPr="002B6FA2">
              <w:rPr>
                <w:b/>
                <w:bCs/>
                <w:sz w:val="26"/>
                <w:szCs w:val="26"/>
                <w:rtl/>
              </w:rPr>
              <w:t>ת"פ</w:t>
            </w:r>
            <w:r w:rsidRPr="002B6FA2">
              <w:rPr>
                <w:rFonts w:hint="cs"/>
                <w:b/>
                <w:bCs/>
                <w:sz w:val="26"/>
                <w:szCs w:val="26"/>
                <w:rtl/>
              </w:rPr>
              <w:t xml:space="preserve"> </w:t>
            </w:r>
            <w:r w:rsidRPr="002B6FA2">
              <w:rPr>
                <w:b/>
                <w:bCs/>
                <w:sz w:val="26"/>
                <w:szCs w:val="26"/>
                <w:rtl/>
              </w:rPr>
              <w:t>54370-07-12</w:t>
            </w:r>
            <w:r w:rsidRPr="002B6FA2">
              <w:rPr>
                <w:rFonts w:hint="cs"/>
                <w:b/>
                <w:bCs/>
                <w:sz w:val="26"/>
                <w:szCs w:val="26"/>
                <w:rtl/>
              </w:rPr>
              <w:t xml:space="preserve"> </w:t>
            </w:r>
            <w:r w:rsidRPr="002B6FA2">
              <w:rPr>
                <w:b/>
                <w:bCs/>
                <w:sz w:val="26"/>
                <w:szCs w:val="26"/>
                <w:rtl/>
              </w:rPr>
              <w:t>מדינת ישראל נ' וסילייב</w:t>
            </w:r>
          </w:p>
          <w:p w14:paraId="0DCF6A34" w14:textId="77777777" w:rsidR="00553191" w:rsidRPr="002B6FA2" w:rsidRDefault="00553191" w:rsidP="002B6FA2">
            <w:pPr>
              <w:pStyle w:val="a4"/>
              <w:rPr>
                <w:sz w:val="26"/>
                <w:szCs w:val="26"/>
                <w:rtl/>
              </w:rPr>
            </w:pPr>
            <w:r w:rsidRPr="002B6FA2">
              <w:rPr>
                <w:b/>
                <w:bCs/>
                <w:sz w:val="26"/>
                <w:szCs w:val="26"/>
                <w:rtl/>
              </w:rPr>
              <w:t>54395-07-12</w:t>
            </w:r>
          </w:p>
          <w:p w14:paraId="6929FEF1" w14:textId="77777777" w:rsidR="00553191" w:rsidRPr="002B6FA2" w:rsidRDefault="00553191" w:rsidP="002B6FA2">
            <w:pPr>
              <w:rPr>
                <w:b/>
                <w:bCs/>
                <w:sz w:val="26"/>
                <w:szCs w:val="26"/>
                <w:rtl/>
              </w:rPr>
            </w:pPr>
          </w:p>
        </w:tc>
        <w:tc>
          <w:tcPr>
            <w:tcW w:w="236" w:type="dxa"/>
          </w:tcPr>
          <w:p w14:paraId="0B264A48" w14:textId="77777777" w:rsidR="00553191" w:rsidRPr="002B6FA2" w:rsidRDefault="00553191" w:rsidP="002B6FA2">
            <w:pPr>
              <w:pStyle w:val="a4"/>
              <w:jc w:val="right"/>
              <w:rPr>
                <w:b/>
                <w:bCs/>
                <w:sz w:val="26"/>
                <w:szCs w:val="26"/>
                <w:rtl/>
              </w:rPr>
            </w:pPr>
          </w:p>
        </w:tc>
        <w:tc>
          <w:tcPr>
            <w:tcW w:w="2088" w:type="dxa"/>
          </w:tcPr>
          <w:p w14:paraId="56FC60C1" w14:textId="77777777" w:rsidR="00553191" w:rsidRPr="002B6FA2" w:rsidRDefault="00553191" w:rsidP="002B6FA2">
            <w:pPr>
              <w:pStyle w:val="a4"/>
              <w:tabs>
                <w:tab w:val="clear" w:pos="4153"/>
              </w:tabs>
              <w:jc w:val="right"/>
              <w:rPr>
                <w:b/>
                <w:bCs/>
                <w:sz w:val="26"/>
                <w:szCs w:val="26"/>
                <w:rtl/>
              </w:rPr>
            </w:pPr>
            <w:r w:rsidRPr="002B6FA2">
              <w:rPr>
                <w:b/>
                <w:bCs/>
                <w:sz w:val="26"/>
                <w:szCs w:val="26"/>
                <w:rtl/>
              </w:rPr>
              <w:t>22 מרץ 2017</w:t>
            </w:r>
          </w:p>
        </w:tc>
      </w:tr>
    </w:tbl>
    <w:p w14:paraId="6E94716D" w14:textId="77777777" w:rsidR="00553191" w:rsidRPr="002B6FA2" w:rsidRDefault="00553191" w:rsidP="00553191">
      <w:pPr>
        <w:pStyle w:val="a4"/>
        <w:tabs>
          <w:tab w:val="left" w:pos="2785"/>
        </w:tabs>
        <w:rPr>
          <w:rFonts w:ascii="Tahoma" w:hAnsi="Tahoma" w:cs="Tahoma"/>
          <w:b/>
          <w:bCs/>
          <w:color w:val="000080"/>
          <w:sz w:val="2"/>
          <w:szCs w:val="2"/>
          <w:rtl/>
        </w:rPr>
      </w:pPr>
    </w:p>
    <w:p w14:paraId="4FD05CCE" w14:textId="77777777" w:rsidR="00553191" w:rsidRPr="002B6FA2" w:rsidRDefault="00553191" w:rsidP="00553191">
      <w:pPr>
        <w:suppressLineNumbers/>
        <w:spacing w:line="360" w:lineRule="auto"/>
        <w:rPr>
          <w:sz w:val="8"/>
          <w:szCs w:val="8"/>
          <w:rtl/>
        </w:rPr>
      </w:pPr>
    </w:p>
    <w:p w14:paraId="07852E92" w14:textId="77777777" w:rsidR="00553191" w:rsidRPr="002B6FA2" w:rsidRDefault="00553191" w:rsidP="0055319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553191" w:rsidRPr="002B6FA2" w14:paraId="64D7E7A4" w14:textId="77777777" w:rsidTr="002B6FA2">
        <w:trPr>
          <w:gridAfter w:val="1"/>
          <w:wAfter w:w="56" w:type="dxa"/>
        </w:trPr>
        <w:tc>
          <w:tcPr>
            <w:tcW w:w="8718" w:type="dxa"/>
            <w:gridSpan w:val="2"/>
            <w:shd w:val="clear" w:color="auto" w:fill="auto"/>
          </w:tcPr>
          <w:p w14:paraId="1B584173" w14:textId="77777777" w:rsidR="00553191" w:rsidRPr="002B6FA2" w:rsidRDefault="00553191" w:rsidP="002B6FA2">
            <w:pPr>
              <w:pStyle w:val="a4"/>
              <w:rPr>
                <w:rFonts w:ascii="Times New Roman" w:eastAsia="Times New Roman" w:hAnsi="Times New Roman" w:cs="Times New Roman"/>
                <w:b/>
                <w:bCs/>
                <w:sz w:val="26"/>
                <w:szCs w:val="26"/>
                <w:rtl/>
              </w:rPr>
            </w:pPr>
            <w:r w:rsidRPr="002B6FA2">
              <w:rPr>
                <w:rFonts w:ascii="Times New Roman" w:eastAsia="Times New Roman" w:hAnsi="Times New Roman" w:cs="Times New Roman"/>
                <w:b/>
                <w:bCs/>
                <w:sz w:val="26"/>
                <w:szCs w:val="26"/>
                <w:rtl/>
              </w:rPr>
              <w:t xml:space="preserve"> </w:t>
            </w:r>
            <w:r w:rsidRPr="002B6FA2">
              <w:rPr>
                <w:rFonts w:ascii="Times New Roman" w:eastAsia="Times New Roman" w:hAnsi="Times New Roman" w:hint="cs"/>
                <w:b/>
                <w:bCs/>
                <w:sz w:val="26"/>
                <w:szCs w:val="26"/>
                <w:rtl/>
              </w:rPr>
              <w:t>פ"א מהסבה</w:t>
            </w:r>
            <w:r w:rsidRPr="002B6FA2">
              <w:rPr>
                <w:rFonts w:ascii="Times New Roman" w:eastAsia="Times New Roman" w:hAnsi="Times New Roman" w:cs="Times New Roman" w:hint="cs"/>
                <w:b/>
                <w:bCs/>
                <w:sz w:val="26"/>
                <w:szCs w:val="26"/>
                <w:rtl/>
              </w:rPr>
              <w:t xml:space="preserve"> </w:t>
            </w:r>
            <w:r w:rsidRPr="002B6FA2">
              <w:rPr>
                <w:rFonts w:ascii="Times New Roman" w:eastAsia="Times New Roman" w:hAnsi="Times New Roman" w:hint="cs"/>
                <w:b/>
                <w:bCs/>
                <w:sz w:val="26"/>
                <w:szCs w:val="26"/>
                <w:rtl/>
              </w:rPr>
              <w:t>319338/2012</w:t>
            </w:r>
            <w:r w:rsidRPr="002B6FA2">
              <w:rPr>
                <w:rFonts w:ascii="Times New Roman" w:eastAsia="Times New Roman" w:hAnsi="Times New Roman" w:cs="Times New Roman" w:hint="cs"/>
                <w:b/>
                <w:bCs/>
                <w:sz w:val="26"/>
                <w:szCs w:val="26"/>
                <w:rtl/>
              </w:rPr>
              <w:t xml:space="preserve"> </w:t>
            </w:r>
            <w:r w:rsidRPr="002B6FA2">
              <w:rPr>
                <w:rFonts w:ascii="Times New Roman" w:eastAsia="Times New Roman" w:hAnsi="Times New Roman" w:cs="Times New Roman"/>
                <w:b/>
                <w:bCs/>
                <w:sz w:val="26"/>
                <w:szCs w:val="26"/>
                <w:rtl/>
              </w:rPr>
              <w:t xml:space="preserve"> </w:t>
            </w:r>
          </w:p>
          <w:p w14:paraId="23D3AB47" w14:textId="77777777" w:rsidR="00553191" w:rsidRPr="002B6FA2" w:rsidRDefault="00553191" w:rsidP="002B6FA2">
            <w:pPr>
              <w:pStyle w:val="a4"/>
              <w:rPr>
                <w:rFonts w:ascii="Times New Roman" w:eastAsia="Times New Roman" w:hAnsi="Times New Roman" w:cs="Times New Roman"/>
                <w:b/>
                <w:bCs/>
                <w:sz w:val="26"/>
                <w:szCs w:val="26"/>
                <w:rtl/>
              </w:rPr>
            </w:pPr>
          </w:p>
          <w:p w14:paraId="0A5E75BF" w14:textId="77777777" w:rsidR="00553191" w:rsidRPr="002B6FA2" w:rsidRDefault="00553191" w:rsidP="002B6FA2">
            <w:pPr>
              <w:rPr>
                <w:rFonts w:ascii="Times New Roman" w:eastAsia="Times New Roman" w:hAnsi="Times New Roman"/>
                <w:b/>
                <w:bCs/>
                <w:sz w:val="26"/>
                <w:szCs w:val="26"/>
                <w:rtl/>
              </w:rPr>
            </w:pPr>
          </w:p>
        </w:tc>
      </w:tr>
      <w:tr w:rsidR="00553191" w:rsidRPr="002B6FA2" w14:paraId="76344187" w14:textId="77777777" w:rsidTr="002B6FA2">
        <w:trPr>
          <w:gridAfter w:val="1"/>
          <w:wAfter w:w="56" w:type="dxa"/>
        </w:trPr>
        <w:tc>
          <w:tcPr>
            <w:tcW w:w="8718" w:type="dxa"/>
            <w:gridSpan w:val="2"/>
            <w:shd w:val="clear" w:color="auto" w:fill="auto"/>
          </w:tcPr>
          <w:p w14:paraId="49DE74D1" w14:textId="77777777" w:rsidR="00553191" w:rsidRPr="002B6FA2" w:rsidRDefault="00553191" w:rsidP="002B6FA2">
            <w:pPr>
              <w:rPr>
                <w:rFonts w:ascii="Times New Roman" w:eastAsia="Times New Roman" w:hAnsi="Times New Roman" w:cs="Times New Roman"/>
                <w:b/>
                <w:bCs/>
                <w:sz w:val="12"/>
                <w:szCs w:val="12"/>
                <w:rtl/>
              </w:rPr>
            </w:pPr>
          </w:p>
        </w:tc>
      </w:tr>
      <w:tr w:rsidR="00553191" w:rsidRPr="002B6FA2" w14:paraId="42C44A8A" w14:textId="77777777" w:rsidTr="002B6FA2">
        <w:trPr>
          <w:gridAfter w:val="1"/>
          <w:wAfter w:w="56" w:type="dxa"/>
        </w:trPr>
        <w:tc>
          <w:tcPr>
            <w:tcW w:w="8718" w:type="dxa"/>
            <w:gridSpan w:val="2"/>
            <w:shd w:val="clear" w:color="auto" w:fill="auto"/>
          </w:tcPr>
          <w:p w14:paraId="4DC2BC72" w14:textId="77777777" w:rsidR="00553191" w:rsidRPr="002B6FA2" w:rsidRDefault="00553191" w:rsidP="002B6FA2">
            <w:pPr>
              <w:rPr>
                <w:rFonts w:ascii="Times New Roman" w:eastAsia="Times New Roman" w:hAnsi="Times New Roman" w:cs="Times New Roman"/>
                <w:b/>
                <w:bCs/>
                <w:sz w:val="26"/>
                <w:szCs w:val="26"/>
                <w:rtl/>
              </w:rPr>
            </w:pPr>
            <w:r w:rsidRPr="002B6FA2">
              <w:rPr>
                <w:rFonts w:ascii="Times New Roman" w:eastAsia="Times New Roman" w:hAnsi="Times New Roman" w:hint="cs"/>
                <w:b/>
                <w:bCs/>
                <w:sz w:val="26"/>
                <w:szCs w:val="26"/>
                <w:rtl/>
              </w:rPr>
              <w:t>לפני כבוד ה</w:t>
            </w:r>
            <w:r w:rsidRPr="002B6FA2">
              <w:rPr>
                <w:rFonts w:ascii="Times New Roman" w:eastAsia="Times New Roman" w:hAnsi="Times New Roman" w:hint="cs"/>
                <w:sz w:val="26"/>
                <w:szCs w:val="26"/>
                <w:rtl/>
              </w:rPr>
              <w:t>שופטת הדסה נאור</w:t>
            </w:r>
          </w:p>
        </w:tc>
      </w:tr>
      <w:tr w:rsidR="00553191" w:rsidRPr="002B6FA2" w14:paraId="2F7F26EF" w14:textId="77777777" w:rsidTr="002B6FA2">
        <w:trPr>
          <w:cantSplit/>
          <w:trHeight w:val="724"/>
        </w:trPr>
        <w:tc>
          <w:tcPr>
            <w:tcW w:w="2880" w:type="dxa"/>
            <w:shd w:val="clear" w:color="auto" w:fill="auto"/>
          </w:tcPr>
          <w:p w14:paraId="7F6C63E6" w14:textId="77777777" w:rsidR="00553191" w:rsidRPr="002B6FA2" w:rsidRDefault="00553191" w:rsidP="002B6FA2">
            <w:pPr>
              <w:ind w:left="26"/>
              <w:rPr>
                <w:rFonts w:ascii="Times New Roman" w:eastAsia="Times New Roman" w:hAnsi="Times New Roman"/>
                <w:b/>
                <w:bCs/>
                <w:sz w:val="26"/>
                <w:szCs w:val="26"/>
                <w:rtl/>
              </w:rPr>
            </w:pPr>
            <w:bookmarkStart w:id="1" w:name="FirstAppellant"/>
          </w:p>
          <w:p w14:paraId="7C41719A" w14:textId="77777777" w:rsidR="00553191" w:rsidRPr="002B6FA2" w:rsidRDefault="00553191" w:rsidP="002B6FA2">
            <w:pPr>
              <w:ind w:left="26"/>
              <w:rPr>
                <w:rFonts w:ascii="Times New Roman" w:eastAsia="Times New Roman" w:hAnsi="Times New Roman"/>
                <w:b/>
                <w:bCs/>
                <w:sz w:val="26"/>
                <w:szCs w:val="26"/>
                <w:rtl/>
              </w:rPr>
            </w:pPr>
            <w:r w:rsidRPr="002B6FA2">
              <w:rPr>
                <w:rFonts w:ascii="Times New Roman" w:eastAsia="Times New Roman" w:hAnsi="Times New Roman" w:hint="cs"/>
                <w:b/>
                <w:bCs/>
                <w:sz w:val="26"/>
                <w:szCs w:val="26"/>
                <w:rtl/>
              </w:rPr>
              <w:t>המאשימה</w:t>
            </w:r>
          </w:p>
        </w:tc>
        <w:tc>
          <w:tcPr>
            <w:tcW w:w="5922" w:type="dxa"/>
            <w:gridSpan w:val="2"/>
            <w:shd w:val="clear" w:color="auto" w:fill="auto"/>
          </w:tcPr>
          <w:p w14:paraId="75B0154E" w14:textId="77777777" w:rsidR="00553191" w:rsidRPr="002B6FA2" w:rsidRDefault="00553191" w:rsidP="002B6FA2">
            <w:pPr>
              <w:rPr>
                <w:rFonts w:ascii="Times New Roman" w:eastAsia="Times New Roman" w:hAnsi="Times New Roman"/>
                <w:sz w:val="26"/>
                <w:szCs w:val="26"/>
                <w:rtl/>
              </w:rPr>
            </w:pPr>
          </w:p>
          <w:p w14:paraId="7F2E54FB" w14:textId="77777777" w:rsidR="00553191" w:rsidRPr="002B6FA2" w:rsidRDefault="00553191" w:rsidP="002B6FA2">
            <w:pPr>
              <w:rPr>
                <w:rFonts w:ascii="Times New Roman" w:eastAsia="Times New Roman" w:hAnsi="Times New Roman"/>
                <w:b/>
                <w:bCs/>
                <w:sz w:val="26"/>
                <w:szCs w:val="26"/>
                <w:rtl/>
              </w:rPr>
            </w:pPr>
            <w:r w:rsidRPr="002B6FA2">
              <w:rPr>
                <w:rFonts w:ascii="Times New Roman" w:eastAsia="Times New Roman" w:hAnsi="Times New Roman" w:hint="cs"/>
                <w:sz w:val="26"/>
                <w:szCs w:val="26"/>
                <w:rtl/>
              </w:rPr>
              <w:t xml:space="preserve"> מדינת ישראל</w:t>
            </w:r>
          </w:p>
        </w:tc>
      </w:tr>
      <w:bookmarkEnd w:id="1"/>
      <w:tr w:rsidR="00553191" w:rsidRPr="002B6FA2" w14:paraId="2137F708" w14:textId="77777777" w:rsidTr="002B6FA2">
        <w:tc>
          <w:tcPr>
            <w:tcW w:w="8802" w:type="dxa"/>
            <w:gridSpan w:val="3"/>
            <w:shd w:val="clear" w:color="auto" w:fill="auto"/>
            <w:vAlign w:val="center"/>
          </w:tcPr>
          <w:p w14:paraId="3C055B24" w14:textId="77777777" w:rsidR="00553191" w:rsidRPr="002B6FA2" w:rsidRDefault="00553191" w:rsidP="002B6FA2">
            <w:pPr>
              <w:jc w:val="center"/>
              <w:rPr>
                <w:rFonts w:ascii="Arial" w:eastAsia="Times New Roman" w:hAnsi="Arial"/>
                <w:b/>
                <w:bCs/>
                <w:sz w:val="26"/>
                <w:szCs w:val="26"/>
                <w:rtl/>
              </w:rPr>
            </w:pPr>
          </w:p>
          <w:p w14:paraId="34865663" w14:textId="77777777" w:rsidR="00553191" w:rsidRPr="002B6FA2" w:rsidRDefault="00553191" w:rsidP="002B6FA2">
            <w:pPr>
              <w:jc w:val="center"/>
              <w:rPr>
                <w:rFonts w:ascii="Arial" w:eastAsia="Times New Roman" w:hAnsi="Arial"/>
                <w:b/>
                <w:bCs/>
                <w:sz w:val="26"/>
                <w:szCs w:val="26"/>
                <w:rtl/>
              </w:rPr>
            </w:pPr>
            <w:r w:rsidRPr="002B6FA2">
              <w:rPr>
                <w:rFonts w:ascii="Arial" w:eastAsia="Times New Roman" w:hAnsi="Arial"/>
                <w:b/>
                <w:bCs/>
                <w:sz w:val="26"/>
                <w:szCs w:val="26"/>
                <w:rtl/>
              </w:rPr>
              <w:t>נגד</w:t>
            </w:r>
          </w:p>
          <w:p w14:paraId="20ACD36E" w14:textId="77777777" w:rsidR="00553191" w:rsidRPr="002B6FA2" w:rsidRDefault="00553191" w:rsidP="002B6FA2">
            <w:pPr>
              <w:rPr>
                <w:rFonts w:ascii="Arial" w:eastAsia="Times New Roman" w:hAnsi="Arial"/>
                <w:b/>
                <w:bCs/>
                <w:sz w:val="22"/>
                <w:szCs w:val="22"/>
              </w:rPr>
            </w:pPr>
          </w:p>
        </w:tc>
      </w:tr>
      <w:tr w:rsidR="00553191" w:rsidRPr="002B6FA2" w14:paraId="34C833FE" w14:textId="77777777" w:rsidTr="002B6FA2">
        <w:tc>
          <w:tcPr>
            <w:tcW w:w="2880" w:type="dxa"/>
            <w:shd w:val="clear" w:color="auto" w:fill="auto"/>
          </w:tcPr>
          <w:p w14:paraId="7B0CC019" w14:textId="77777777" w:rsidR="00553191" w:rsidRPr="002B6FA2" w:rsidRDefault="00553191" w:rsidP="002B6FA2">
            <w:pPr>
              <w:ind w:left="26"/>
              <w:rPr>
                <w:rFonts w:ascii="Times New Roman" w:eastAsia="Times New Roman" w:hAnsi="Times New Roman"/>
                <w:b/>
                <w:bCs/>
                <w:sz w:val="26"/>
                <w:szCs w:val="26"/>
                <w:rtl/>
              </w:rPr>
            </w:pPr>
            <w:r w:rsidRPr="002B6FA2">
              <w:rPr>
                <w:rFonts w:ascii="Times New Roman" w:eastAsia="Times New Roman" w:hAnsi="Times New Roman" w:hint="cs"/>
                <w:b/>
                <w:bCs/>
                <w:sz w:val="26"/>
                <w:szCs w:val="26"/>
                <w:rtl/>
              </w:rPr>
              <w:t>הנאשם</w:t>
            </w:r>
          </w:p>
        </w:tc>
        <w:tc>
          <w:tcPr>
            <w:tcW w:w="5922" w:type="dxa"/>
            <w:gridSpan w:val="2"/>
            <w:shd w:val="clear" w:color="auto" w:fill="auto"/>
          </w:tcPr>
          <w:p w14:paraId="33328940" w14:textId="77777777" w:rsidR="00553191" w:rsidRPr="002B6FA2" w:rsidRDefault="00553191" w:rsidP="002B6FA2">
            <w:pPr>
              <w:rPr>
                <w:rFonts w:ascii="Times New Roman" w:eastAsia="Times New Roman" w:hAnsi="Times New Roman"/>
                <w:b/>
                <w:bCs/>
                <w:sz w:val="26"/>
                <w:szCs w:val="26"/>
                <w:rtl/>
              </w:rPr>
            </w:pPr>
            <w:r w:rsidRPr="002B6FA2">
              <w:rPr>
                <w:rFonts w:ascii="Times New Roman" w:eastAsia="Times New Roman" w:hAnsi="Times New Roman" w:hint="cs"/>
                <w:sz w:val="26"/>
                <w:szCs w:val="26"/>
                <w:rtl/>
              </w:rPr>
              <w:t xml:space="preserve"> אולג וסילייב </w:t>
            </w:r>
            <w:r w:rsidRPr="002B6FA2">
              <w:rPr>
                <w:rFonts w:ascii="Times New Roman" w:eastAsia="Times New Roman" w:hAnsi="Times New Roman" w:hint="cs"/>
                <w:b/>
                <w:bCs/>
                <w:sz w:val="26"/>
                <w:szCs w:val="26"/>
                <w:rtl/>
              </w:rPr>
              <w:t>ת.ז.</w:t>
            </w:r>
            <w:r w:rsidRPr="002B6FA2">
              <w:rPr>
                <w:rFonts w:ascii="Times New Roman" w:eastAsia="Times New Roman" w:hAnsi="Times New Roman"/>
                <w:b/>
                <w:bCs/>
                <w:sz w:val="26"/>
                <w:szCs w:val="26"/>
                <w:rtl/>
              </w:rPr>
              <w:t xml:space="preserve"> </w:t>
            </w:r>
            <w:r w:rsidRPr="002B6FA2">
              <w:rPr>
                <w:rFonts w:ascii="Times New Roman" w:eastAsia="Times New Roman" w:hAnsi="Times New Roman" w:hint="cs"/>
                <w:b/>
                <w:bCs/>
                <w:sz w:val="26"/>
                <w:szCs w:val="26"/>
                <w:rtl/>
              </w:rPr>
              <w:t xml:space="preserve"> </w:t>
            </w:r>
            <w:r w:rsidR="002B6FA2">
              <w:rPr>
                <w:rFonts w:ascii="Times New Roman" w:eastAsia="Times New Roman" w:hAnsi="Times New Roman"/>
                <w:b/>
                <w:bCs/>
                <w:sz w:val="26"/>
                <w:szCs w:val="26"/>
              </w:rPr>
              <w:t>xxxxxxxxxx</w:t>
            </w:r>
          </w:p>
        </w:tc>
      </w:tr>
      <w:tr w:rsidR="00553191" w:rsidRPr="002B6FA2" w14:paraId="14F47C73" w14:textId="77777777" w:rsidTr="002B6FA2">
        <w:trPr>
          <w:trHeight w:val="811"/>
        </w:trPr>
        <w:tc>
          <w:tcPr>
            <w:tcW w:w="2880" w:type="dxa"/>
            <w:shd w:val="clear" w:color="auto" w:fill="auto"/>
          </w:tcPr>
          <w:p w14:paraId="7F7F65A5" w14:textId="77777777" w:rsidR="00553191" w:rsidRPr="002B6FA2" w:rsidRDefault="00553191" w:rsidP="002B6FA2">
            <w:pPr>
              <w:rPr>
                <w:sz w:val="26"/>
                <w:szCs w:val="26"/>
              </w:rPr>
            </w:pPr>
          </w:p>
        </w:tc>
        <w:tc>
          <w:tcPr>
            <w:tcW w:w="5922" w:type="dxa"/>
            <w:gridSpan w:val="2"/>
            <w:shd w:val="clear" w:color="auto" w:fill="auto"/>
          </w:tcPr>
          <w:p w14:paraId="556B6AFE" w14:textId="77777777" w:rsidR="00553191" w:rsidRPr="002B6FA2" w:rsidRDefault="00553191" w:rsidP="002B6FA2">
            <w:pPr>
              <w:rPr>
                <w:rFonts w:ascii="Times New Roman" w:eastAsia="Times New Roman" w:hAnsi="Times New Roman"/>
                <w:sz w:val="26"/>
                <w:szCs w:val="26"/>
              </w:rPr>
            </w:pPr>
          </w:p>
        </w:tc>
      </w:tr>
    </w:tbl>
    <w:p w14:paraId="02570A05" w14:textId="77777777" w:rsidR="00553191" w:rsidRPr="002B6FA2" w:rsidRDefault="00553191" w:rsidP="00553191">
      <w:pPr>
        <w:spacing w:line="360" w:lineRule="auto"/>
        <w:jc w:val="both"/>
        <w:rPr>
          <w:rtl/>
        </w:rPr>
      </w:pPr>
    </w:p>
    <w:p w14:paraId="602804CE" w14:textId="77777777" w:rsidR="00553191" w:rsidRPr="002B6FA2" w:rsidRDefault="00553191" w:rsidP="00553191">
      <w:pPr>
        <w:spacing w:line="360" w:lineRule="auto"/>
        <w:jc w:val="both"/>
        <w:rPr>
          <w:sz w:val="6"/>
          <w:szCs w:val="6"/>
          <w:rtl/>
        </w:rPr>
      </w:pPr>
      <w:r w:rsidRPr="002B6FA2">
        <w:rPr>
          <w:sz w:val="6"/>
          <w:szCs w:val="6"/>
          <w:rtl/>
        </w:rPr>
        <w:t>&lt;#2#&gt;</w:t>
      </w:r>
    </w:p>
    <w:p w14:paraId="7A4D4C5E" w14:textId="77777777" w:rsidR="00553191" w:rsidRPr="002B6FA2" w:rsidRDefault="00553191" w:rsidP="00553191">
      <w:pPr>
        <w:pStyle w:val="12"/>
        <w:spacing w:line="360" w:lineRule="auto"/>
        <w:rPr>
          <w:u w:val="none"/>
          <w:rtl/>
        </w:rPr>
      </w:pPr>
      <w:r w:rsidRPr="002B6FA2">
        <w:rPr>
          <w:rFonts w:hint="cs"/>
          <w:u w:val="none"/>
          <w:rtl/>
        </w:rPr>
        <w:t>נוכחים:</w:t>
      </w:r>
    </w:p>
    <w:p w14:paraId="0277BAD2" w14:textId="77777777" w:rsidR="00553191" w:rsidRPr="002B6FA2" w:rsidRDefault="00553191" w:rsidP="00553191">
      <w:pPr>
        <w:pStyle w:val="12"/>
        <w:spacing w:line="360" w:lineRule="auto"/>
        <w:rPr>
          <w:b w:val="0"/>
          <w:bCs w:val="0"/>
          <w:u w:val="none"/>
          <w:rtl/>
        </w:rPr>
      </w:pPr>
      <w:bookmarkStart w:id="2" w:name="FirstLawyer"/>
      <w:r w:rsidRPr="002B6FA2">
        <w:rPr>
          <w:rFonts w:hint="cs"/>
          <w:b w:val="0"/>
          <w:bCs w:val="0"/>
          <w:u w:val="none"/>
          <w:rtl/>
        </w:rPr>
        <w:t>ב"כ</w:t>
      </w:r>
      <w:bookmarkEnd w:id="2"/>
      <w:r w:rsidRPr="002B6FA2">
        <w:rPr>
          <w:rFonts w:hint="cs"/>
          <w:b w:val="0"/>
          <w:bCs w:val="0"/>
          <w:u w:val="none"/>
          <w:rtl/>
        </w:rPr>
        <w:t xml:space="preserve"> המאשימה </w:t>
      </w:r>
      <w:r w:rsidRPr="002B6FA2">
        <w:rPr>
          <w:b w:val="0"/>
          <w:bCs w:val="0"/>
          <w:u w:val="none"/>
          <w:rtl/>
        </w:rPr>
        <w:t>–</w:t>
      </w:r>
      <w:r w:rsidRPr="002B6FA2">
        <w:rPr>
          <w:rFonts w:hint="cs"/>
          <w:b w:val="0"/>
          <w:bCs w:val="0"/>
          <w:u w:val="none"/>
          <w:rtl/>
        </w:rPr>
        <w:t xml:space="preserve"> עו"ד גבריאל דניאל</w:t>
      </w:r>
    </w:p>
    <w:p w14:paraId="4646C9C1" w14:textId="77777777" w:rsidR="00553191" w:rsidRPr="002B6FA2" w:rsidRDefault="00553191" w:rsidP="00553191">
      <w:pPr>
        <w:pStyle w:val="12"/>
        <w:spacing w:line="360" w:lineRule="auto"/>
        <w:rPr>
          <w:b w:val="0"/>
          <w:bCs w:val="0"/>
          <w:u w:val="none"/>
          <w:rtl/>
        </w:rPr>
      </w:pPr>
      <w:r w:rsidRPr="002B6FA2">
        <w:rPr>
          <w:rFonts w:hint="cs"/>
          <w:b w:val="0"/>
          <w:bCs w:val="0"/>
          <w:u w:val="none"/>
          <w:rtl/>
        </w:rPr>
        <w:t xml:space="preserve">ב"כ הנאשם </w:t>
      </w:r>
      <w:r w:rsidRPr="002B6FA2">
        <w:rPr>
          <w:b w:val="0"/>
          <w:bCs w:val="0"/>
          <w:u w:val="none"/>
          <w:rtl/>
        </w:rPr>
        <w:t>–</w:t>
      </w:r>
      <w:r w:rsidRPr="002B6FA2">
        <w:rPr>
          <w:rFonts w:hint="cs"/>
          <w:b w:val="0"/>
          <w:bCs w:val="0"/>
          <w:u w:val="none"/>
          <w:rtl/>
        </w:rPr>
        <w:t xml:space="preserve"> עו"ד אלון בן זיו</w:t>
      </w:r>
    </w:p>
    <w:p w14:paraId="24B6C530" w14:textId="77777777" w:rsidR="00553191" w:rsidRPr="002B6FA2" w:rsidRDefault="00553191" w:rsidP="00553191">
      <w:pPr>
        <w:pStyle w:val="12"/>
        <w:rPr>
          <w:b w:val="0"/>
          <w:bCs w:val="0"/>
          <w:u w:val="none"/>
          <w:rtl/>
        </w:rPr>
      </w:pPr>
      <w:r w:rsidRPr="002B6FA2">
        <w:rPr>
          <w:rFonts w:hint="cs"/>
          <w:b w:val="0"/>
          <w:bCs w:val="0"/>
          <w:u w:val="none"/>
          <w:rtl/>
        </w:rPr>
        <w:t>הנאשם בעצמו</w:t>
      </w:r>
    </w:p>
    <w:p w14:paraId="12B78547" w14:textId="77777777" w:rsidR="004644F6" w:rsidRDefault="00553191" w:rsidP="004644F6">
      <w:pPr>
        <w:spacing w:line="360" w:lineRule="auto"/>
        <w:jc w:val="center"/>
        <w:rPr>
          <w:rFonts w:ascii="Arial" w:hAnsi="Arial"/>
          <w:color w:val="FF0000"/>
          <w:sz w:val="28"/>
          <w:rtl/>
        </w:rPr>
      </w:pPr>
      <w:r w:rsidRPr="002B6FA2">
        <w:rPr>
          <w:rFonts w:ascii="Arial" w:hAnsi="Arial"/>
          <w:b/>
          <w:color w:val="FF0000"/>
          <w:sz w:val="28"/>
          <w:rtl/>
        </w:rPr>
        <w:t>במסמך זה הושמטו פרוטוק</w:t>
      </w:r>
      <w:bookmarkStart w:id="3" w:name="LawTable"/>
      <w:bookmarkEnd w:id="3"/>
    </w:p>
    <w:p w14:paraId="2580A92B" w14:textId="77777777" w:rsidR="004644F6" w:rsidRPr="004644F6" w:rsidRDefault="004644F6" w:rsidP="004644F6">
      <w:pPr>
        <w:spacing w:after="120" w:line="240" w:lineRule="exact"/>
        <w:ind w:left="283" w:hanging="283"/>
        <w:jc w:val="both"/>
        <w:rPr>
          <w:rFonts w:ascii="FrankRuehl" w:hAnsi="FrankRuehl" w:cs="FrankRuehl"/>
          <w:color w:val="FF0000"/>
          <w:rtl/>
        </w:rPr>
      </w:pPr>
    </w:p>
    <w:p w14:paraId="53E6AF2F" w14:textId="77777777" w:rsidR="004644F6" w:rsidRPr="004644F6" w:rsidRDefault="004644F6" w:rsidP="004644F6">
      <w:pPr>
        <w:spacing w:after="120" w:line="240" w:lineRule="exact"/>
        <w:ind w:left="283" w:hanging="283"/>
        <w:jc w:val="both"/>
        <w:rPr>
          <w:rFonts w:ascii="FrankRuehl" w:hAnsi="FrankRuehl" w:cs="FrankRuehl"/>
          <w:color w:val="FF0000"/>
          <w:rtl/>
        </w:rPr>
      </w:pPr>
      <w:r w:rsidRPr="004644F6">
        <w:rPr>
          <w:rFonts w:ascii="FrankRuehl" w:hAnsi="FrankRuehl" w:cs="FrankRuehl"/>
          <w:color w:val="FF0000"/>
          <w:rtl/>
        </w:rPr>
        <w:t xml:space="preserve">חקיקה שאוזכרה: </w:t>
      </w:r>
    </w:p>
    <w:p w14:paraId="53DB92BD" w14:textId="77777777" w:rsidR="004644F6" w:rsidRPr="004644F6" w:rsidRDefault="004644F6" w:rsidP="004644F6">
      <w:pPr>
        <w:spacing w:after="120" w:line="240" w:lineRule="exact"/>
        <w:ind w:left="283" w:hanging="283"/>
        <w:jc w:val="both"/>
        <w:rPr>
          <w:rFonts w:ascii="FrankRuehl" w:hAnsi="FrankRuehl" w:cs="FrankRuehl"/>
          <w:rtl/>
        </w:rPr>
      </w:pPr>
      <w:hyperlink r:id="rId6" w:history="1">
        <w:r w:rsidRPr="004644F6">
          <w:rPr>
            <w:rFonts w:ascii="FrankRuehl" w:hAnsi="FrankRuehl" w:cs="FrankRuehl"/>
            <w:color w:val="0000FF"/>
            <w:u w:val="single"/>
            <w:rtl/>
          </w:rPr>
          <w:t>פקודת הסמים המסוכנים [נוסח חדש], תשל"ג-1973</w:t>
        </w:r>
      </w:hyperlink>
    </w:p>
    <w:p w14:paraId="29992F62" w14:textId="77777777" w:rsidR="004644F6" w:rsidRPr="004644F6" w:rsidRDefault="004644F6" w:rsidP="004644F6">
      <w:pPr>
        <w:spacing w:after="120" w:line="240" w:lineRule="exact"/>
        <w:ind w:left="283" w:hanging="283"/>
        <w:jc w:val="both"/>
        <w:rPr>
          <w:rFonts w:ascii="FrankRuehl" w:hAnsi="FrankRuehl" w:cs="FrankRuehl"/>
          <w:rtl/>
        </w:rPr>
      </w:pPr>
      <w:hyperlink r:id="rId7" w:history="1">
        <w:r w:rsidRPr="004644F6">
          <w:rPr>
            <w:rFonts w:ascii="FrankRuehl" w:hAnsi="FrankRuehl" w:cs="FrankRuehl"/>
            <w:color w:val="0000FF"/>
            <w:u w:val="single"/>
            <w:rtl/>
          </w:rPr>
          <w:t>חוק העונשין, תשל"ז-1977</w:t>
        </w:r>
      </w:hyperlink>
      <w:r w:rsidRPr="004644F6">
        <w:rPr>
          <w:rFonts w:ascii="FrankRuehl" w:hAnsi="FrankRuehl" w:cs="FrankRuehl"/>
          <w:rtl/>
        </w:rPr>
        <w:t xml:space="preserve">: סע'  </w:t>
      </w:r>
      <w:hyperlink r:id="rId8" w:history="1">
        <w:r w:rsidRPr="004644F6">
          <w:rPr>
            <w:rFonts w:ascii="FrankRuehl" w:hAnsi="FrankRuehl" w:cs="FrankRuehl"/>
            <w:color w:val="0000FF"/>
            <w:u w:val="single"/>
            <w:rtl/>
          </w:rPr>
          <w:t>40ד</w:t>
        </w:r>
      </w:hyperlink>
    </w:p>
    <w:p w14:paraId="74BB8A74" w14:textId="77777777" w:rsidR="004644F6" w:rsidRPr="004644F6" w:rsidRDefault="004644F6" w:rsidP="004644F6">
      <w:pPr>
        <w:spacing w:after="120" w:line="240" w:lineRule="exact"/>
        <w:ind w:left="283" w:hanging="283"/>
        <w:jc w:val="both"/>
        <w:rPr>
          <w:rFonts w:ascii="FrankRuehl" w:hAnsi="FrankRuehl" w:cs="FrankRuehl"/>
          <w:rtl/>
        </w:rPr>
      </w:pPr>
    </w:p>
    <w:p w14:paraId="59BB8BC2" w14:textId="77777777" w:rsidR="004644F6" w:rsidRPr="004644F6" w:rsidRDefault="004644F6" w:rsidP="004644F6">
      <w:pPr>
        <w:spacing w:line="360" w:lineRule="auto"/>
        <w:jc w:val="center"/>
        <w:rPr>
          <w:rFonts w:ascii="Arial" w:hAnsi="Arial"/>
          <w:sz w:val="28"/>
          <w:rtl/>
        </w:rPr>
      </w:pPr>
      <w:bookmarkStart w:id="4" w:name="LawTable_End"/>
      <w:bookmarkEnd w:id="4"/>
    </w:p>
    <w:p w14:paraId="0AED88FE" w14:textId="77777777" w:rsidR="004644F6" w:rsidRPr="004644F6" w:rsidRDefault="004644F6" w:rsidP="004644F6">
      <w:pPr>
        <w:spacing w:line="360" w:lineRule="auto"/>
        <w:jc w:val="center"/>
        <w:rPr>
          <w:rFonts w:ascii="Arial" w:hAnsi="Arial"/>
          <w:b/>
          <w:color w:val="FF0000"/>
          <w:sz w:val="28"/>
          <w:rtl/>
        </w:rPr>
      </w:pPr>
    </w:p>
    <w:p w14:paraId="55AD20E2" w14:textId="77777777" w:rsidR="004644F6" w:rsidRPr="004644F6" w:rsidRDefault="00553191" w:rsidP="004644F6">
      <w:pPr>
        <w:spacing w:line="360" w:lineRule="auto"/>
        <w:jc w:val="center"/>
        <w:rPr>
          <w:rFonts w:ascii="FrankRuehl" w:hAnsi="FrankRuehl" w:cs="FrankRuehl"/>
          <w:rtl/>
        </w:rPr>
      </w:pPr>
      <w:r w:rsidRPr="004644F6">
        <w:rPr>
          <w:rFonts w:ascii="Arial" w:hAnsi="Arial"/>
          <w:b/>
          <w:color w:val="FF0000"/>
          <w:sz w:val="28"/>
          <w:rtl/>
        </w:rPr>
        <w:t>ו</w:t>
      </w:r>
    </w:p>
    <w:p w14:paraId="6DD3692C" w14:textId="77777777" w:rsidR="004644F6" w:rsidRPr="004644F6" w:rsidRDefault="004644F6" w:rsidP="004644F6">
      <w:pPr>
        <w:spacing w:line="360" w:lineRule="auto"/>
        <w:jc w:val="center"/>
        <w:rPr>
          <w:rFonts w:ascii="Arial" w:hAnsi="Arial"/>
          <w:sz w:val="28"/>
          <w:rtl/>
        </w:rPr>
      </w:pPr>
    </w:p>
    <w:p w14:paraId="6276AC7A" w14:textId="77777777" w:rsidR="004644F6" w:rsidRPr="004644F6" w:rsidRDefault="004644F6" w:rsidP="004644F6">
      <w:pPr>
        <w:spacing w:line="360" w:lineRule="auto"/>
        <w:jc w:val="center"/>
        <w:rPr>
          <w:rFonts w:ascii="Arial" w:hAnsi="Arial"/>
          <w:b/>
          <w:color w:val="FF0000"/>
          <w:sz w:val="28"/>
          <w:rtl/>
        </w:rPr>
      </w:pPr>
    </w:p>
    <w:p w14:paraId="7DC3A8F2" w14:textId="77777777" w:rsidR="004644F6" w:rsidRPr="004644F6" w:rsidRDefault="00553191" w:rsidP="004644F6">
      <w:pPr>
        <w:spacing w:line="360" w:lineRule="auto"/>
        <w:jc w:val="center"/>
        <w:rPr>
          <w:rFonts w:ascii="FrankRuehl" w:hAnsi="FrankRuehl" w:cs="FrankRuehl"/>
          <w:rtl/>
        </w:rPr>
      </w:pPr>
      <w:r w:rsidRPr="004644F6">
        <w:rPr>
          <w:rFonts w:ascii="Arial" w:hAnsi="Arial"/>
          <w:b/>
          <w:color w:val="FF0000"/>
          <w:sz w:val="28"/>
          <w:rtl/>
        </w:rPr>
        <w:t>ל</w:t>
      </w:r>
    </w:p>
    <w:p w14:paraId="563549F1" w14:textId="77777777" w:rsidR="004644F6" w:rsidRPr="004644F6" w:rsidRDefault="004644F6" w:rsidP="004644F6">
      <w:pPr>
        <w:spacing w:line="360" w:lineRule="auto"/>
        <w:jc w:val="center"/>
        <w:rPr>
          <w:rFonts w:ascii="Arial" w:hAnsi="Arial"/>
          <w:sz w:val="28"/>
          <w:rtl/>
        </w:rPr>
      </w:pPr>
    </w:p>
    <w:p w14:paraId="55629078" w14:textId="77777777" w:rsidR="004644F6" w:rsidRPr="004644F6" w:rsidRDefault="004644F6" w:rsidP="004644F6">
      <w:pPr>
        <w:spacing w:line="360" w:lineRule="auto"/>
        <w:jc w:val="center"/>
        <w:rPr>
          <w:rFonts w:ascii="Arial" w:hAnsi="Arial"/>
          <w:b/>
          <w:color w:val="FF0000"/>
          <w:sz w:val="28"/>
          <w:rtl/>
        </w:rPr>
      </w:pPr>
    </w:p>
    <w:p w14:paraId="414D3757" w14:textId="77777777" w:rsidR="004644F6" w:rsidRPr="004644F6" w:rsidRDefault="00553191" w:rsidP="004644F6">
      <w:pPr>
        <w:spacing w:line="360" w:lineRule="auto"/>
        <w:jc w:val="center"/>
        <w:rPr>
          <w:rFonts w:ascii="FrankRuehl" w:hAnsi="FrankRuehl" w:cs="FrankRuehl"/>
          <w:rtl/>
        </w:rPr>
      </w:pPr>
      <w:r w:rsidRPr="004644F6">
        <w:rPr>
          <w:rFonts w:ascii="Arial" w:hAnsi="Arial"/>
          <w:b/>
          <w:color w:val="FF0000"/>
          <w:sz w:val="28"/>
          <w:rtl/>
        </w:rPr>
        <w:t>י</w:t>
      </w:r>
    </w:p>
    <w:p w14:paraId="4A50E616" w14:textId="77777777" w:rsidR="004644F6" w:rsidRPr="004644F6" w:rsidRDefault="004644F6" w:rsidP="004644F6">
      <w:pPr>
        <w:spacing w:line="360" w:lineRule="auto"/>
        <w:jc w:val="center"/>
        <w:rPr>
          <w:rFonts w:ascii="Arial" w:hAnsi="Arial"/>
          <w:sz w:val="28"/>
          <w:rtl/>
        </w:rPr>
      </w:pPr>
    </w:p>
    <w:p w14:paraId="1C97BFE6" w14:textId="77777777" w:rsidR="004644F6" w:rsidRPr="004644F6" w:rsidRDefault="004644F6" w:rsidP="004644F6">
      <w:pPr>
        <w:spacing w:line="360" w:lineRule="auto"/>
        <w:jc w:val="center"/>
        <w:rPr>
          <w:rFonts w:ascii="Arial" w:hAnsi="Arial"/>
          <w:b/>
          <w:color w:val="FF0000"/>
          <w:sz w:val="28"/>
          <w:rtl/>
        </w:rPr>
      </w:pPr>
    </w:p>
    <w:p w14:paraId="04A98F3C" w14:textId="77777777" w:rsidR="007642C8" w:rsidRPr="007642C8" w:rsidRDefault="00553191" w:rsidP="004644F6">
      <w:pPr>
        <w:spacing w:line="360" w:lineRule="auto"/>
        <w:jc w:val="center"/>
        <w:rPr>
          <w:rFonts w:ascii="FrankRuehl" w:hAnsi="FrankRuehl" w:cs="FrankRuehl"/>
          <w:rtl/>
        </w:rPr>
      </w:pPr>
      <w:r w:rsidRPr="004644F6">
        <w:rPr>
          <w:rFonts w:ascii="Arial" w:hAnsi="Arial"/>
          <w:b/>
          <w:color w:val="FF0000"/>
          <w:sz w:val="28"/>
          <w:rtl/>
        </w:rPr>
        <w:lastRenderedPageBreak/>
        <w:t>ם</w:t>
      </w:r>
    </w:p>
    <w:p w14:paraId="77E89881" w14:textId="77777777" w:rsidR="002B6FA2" w:rsidRPr="002B6FA2" w:rsidRDefault="002B6FA2" w:rsidP="002B6FA2">
      <w:pPr>
        <w:spacing w:line="360" w:lineRule="auto"/>
        <w:jc w:val="center"/>
        <w:rPr>
          <w:rFonts w:ascii="Arial" w:hAnsi="Arial"/>
          <w:b/>
          <w:bCs/>
          <w:sz w:val="28"/>
          <w:szCs w:val="28"/>
          <w:u w:val="single"/>
          <w:rtl/>
        </w:rPr>
      </w:pPr>
      <w:bookmarkStart w:id="5" w:name="PsakDin"/>
      <w:bookmarkEnd w:id="0"/>
      <w:r w:rsidRPr="002B6FA2">
        <w:rPr>
          <w:rFonts w:ascii="Arial" w:hAnsi="Arial"/>
          <w:b/>
          <w:bCs/>
          <w:sz w:val="28"/>
          <w:szCs w:val="28"/>
          <w:u w:val="single"/>
          <w:rtl/>
        </w:rPr>
        <w:t>גזר דין</w:t>
      </w:r>
    </w:p>
    <w:p w14:paraId="312F9768" w14:textId="77777777" w:rsidR="00553191" w:rsidRDefault="00553191" w:rsidP="00553191">
      <w:pPr>
        <w:spacing w:line="360" w:lineRule="auto"/>
        <w:jc w:val="both"/>
        <w:rPr>
          <w:rFonts w:ascii="Arial" w:hAnsi="Arial"/>
          <w:rtl/>
        </w:rPr>
      </w:pPr>
      <w:bookmarkStart w:id="6" w:name="ABSTRACT_START"/>
      <w:bookmarkEnd w:id="5"/>
      <w:bookmarkEnd w:id="6"/>
      <w:r>
        <w:rPr>
          <w:rFonts w:ascii="Arial" w:hAnsi="Arial" w:hint="cs"/>
          <w:rtl/>
        </w:rPr>
        <w:t xml:space="preserve">הנאשם נותן היום את הדין על עבירות שביצע בתאריך 26.07.12 בעת שהיה מכור לסמים. </w:t>
      </w:r>
    </w:p>
    <w:p w14:paraId="09D04514" w14:textId="77777777" w:rsidR="00553191" w:rsidRDefault="00553191" w:rsidP="00553191">
      <w:pPr>
        <w:spacing w:line="360" w:lineRule="auto"/>
        <w:jc w:val="both"/>
        <w:rPr>
          <w:rFonts w:ascii="Arial" w:hAnsi="Arial"/>
          <w:rtl/>
        </w:rPr>
      </w:pPr>
      <w:r>
        <w:rPr>
          <w:rFonts w:ascii="Arial" w:hAnsi="Arial" w:hint="cs"/>
          <w:rtl/>
        </w:rPr>
        <w:t>העבירות בהן הורשע על יסוד הודאתו הינן פריצה לרכב, החזקת סכין למטרה לא כשרה, החזקת שני כרטיסי סים החשודים כגנובים והחזקת סם מסוכן מסוג חשיש במשקל 5.61 גרם נטו לשימושו העצמי.</w:t>
      </w:r>
    </w:p>
    <w:p w14:paraId="15F6D102" w14:textId="77777777" w:rsidR="00553191" w:rsidRDefault="00553191" w:rsidP="00553191">
      <w:pPr>
        <w:spacing w:line="360" w:lineRule="auto"/>
        <w:jc w:val="both"/>
        <w:rPr>
          <w:rFonts w:ascii="Arial" w:hAnsi="Arial"/>
          <w:rtl/>
        </w:rPr>
      </w:pPr>
      <w:bookmarkStart w:id="7" w:name="ABSTRACT_END"/>
      <w:bookmarkEnd w:id="7"/>
      <w:r>
        <w:rPr>
          <w:rFonts w:ascii="Arial" w:hAnsi="Arial" w:hint="cs"/>
          <w:rtl/>
        </w:rPr>
        <w:t>במועד הודאת הנאשם בעובדות כתב האישום, ביקש ב"כ להפנותו לקבלת תסקיר שירות המבחן לאחר שלטענתו החל בהליך טיפולי במסגרת היחידה לטיפול במתדון יסעור והמאשימה נעתרה לבקשה.</w:t>
      </w:r>
    </w:p>
    <w:p w14:paraId="38BCEACE" w14:textId="77777777" w:rsidR="00553191" w:rsidRDefault="00553191" w:rsidP="00553191">
      <w:pPr>
        <w:spacing w:line="360" w:lineRule="auto"/>
        <w:jc w:val="both"/>
        <w:rPr>
          <w:rFonts w:ascii="Arial" w:hAnsi="Arial"/>
          <w:rtl/>
        </w:rPr>
      </w:pPr>
      <w:r>
        <w:rPr>
          <w:rFonts w:ascii="Arial" w:hAnsi="Arial" w:hint="cs"/>
          <w:rtl/>
        </w:rPr>
        <w:t>בעקבות כך התקבלו בעניינו שני תסקירים בהם פורטו גם ניסיונות הגמילה שעבר הנאשם בעבר במסגרת הליכים פליליים קודמים ואשר בסופו של יום לא צלחו.</w:t>
      </w:r>
    </w:p>
    <w:p w14:paraId="4288B9B3" w14:textId="77777777" w:rsidR="00553191" w:rsidRDefault="00553191" w:rsidP="00553191">
      <w:pPr>
        <w:spacing w:line="360" w:lineRule="auto"/>
        <w:jc w:val="both"/>
        <w:rPr>
          <w:rFonts w:ascii="Arial" w:hAnsi="Arial"/>
          <w:rtl/>
        </w:rPr>
      </w:pPr>
      <w:r>
        <w:rPr>
          <w:rFonts w:ascii="Arial" w:hAnsi="Arial" w:hint="cs"/>
          <w:rtl/>
        </w:rPr>
        <w:t>לאחר קבלת התסקיר השני נותק הקשר עם הנאשם והתברר כי בעקבות ניסיון אובדני שעשה אושפז בבית החולים הפסיכיאטרי אברבנאל. רק בשנת 2016 לאחר שאותר חודשו ההליכים בעניינו ושירות המבחן נדרש בשנית להמשיך ולבחון את מצבו ההתמכרותי של הנאשם וסיכויי שיקומו.</w:t>
      </w:r>
    </w:p>
    <w:p w14:paraId="1248F234" w14:textId="77777777" w:rsidR="00553191" w:rsidRDefault="00553191" w:rsidP="00553191">
      <w:pPr>
        <w:spacing w:line="360" w:lineRule="auto"/>
        <w:jc w:val="both"/>
        <w:rPr>
          <w:rFonts w:ascii="Arial" w:hAnsi="Arial"/>
          <w:rtl/>
        </w:rPr>
      </w:pPr>
      <w:r>
        <w:rPr>
          <w:rFonts w:ascii="Arial" w:hAnsi="Arial" w:hint="cs"/>
          <w:rtl/>
        </w:rPr>
        <w:t>במסגרת זו התקבלו שני תסקירים, האחד לתאריך 23.11.16, מהם עולה כי הנאשם שולב בקהילה הטיפולית לגמילה מסמים "אילנות". מדיווח של גורמי הטיפול בקהילה עלה כי חרף הקשיים שגילה בתחילה, עם הזמן החל בצעדים משמעותיים בטיפול והוערך כבעל מסוגלות וכוחות באופן שהוחלט למנותו לשמש כמתאם הבית, התפקיד הגבוה ביותר בהיררכיה בקהילה ונמצא שהוא ממלא תפקידו כנדרש, עומד בכללי הקהילה, מציב גבולות ומשמש דוגמא בתוך הקהילה.</w:t>
      </w:r>
    </w:p>
    <w:p w14:paraId="13807721" w14:textId="77777777" w:rsidR="00553191" w:rsidRDefault="00553191" w:rsidP="00553191">
      <w:pPr>
        <w:spacing w:line="360" w:lineRule="auto"/>
        <w:jc w:val="both"/>
        <w:rPr>
          <w:rFonts w:ascii="Arial" w:hAnsi="Arial"/>
          <w:rtl/>
        </w:rPr>
      </w:pPr>
      <w:r>
        <w:rPr>
          <w:rFonts w:ascii="Arial" w:hAnsi="Arial" w:hint="cs"/>
          <w:rtl/>
        </w:rPr>
        <w:t>בתסקיר הנוסף צוין כבר שהנאשם סיים את הטיפול בקהילה "אילנות" ועבר להתגורר בהוסטל בתחילת חודש פברואר 2017, משתף פעולה ומתמיד בטיפול הפרטני והקבוצתי, מוסר בדיקות שתן המעידות על הימנעות מסמים ואף החל לעבוד בחברת קייטרינג עוד משלב ג' בקהילה הטיפולית, שם הוא מתמיד בעבודתו.</w:t>
      </w:r>
    </w:p>
    <w:p w14:paraId="4266F658" w14:textId="77777777" w:rsidR="00553191" w:rsidRDefault="00553191" w:rsidP="00553191">
      <w:pPr>
        <w:spacing w:line="360" w:lineRule="auto"/>
        <w:jc w:val="both"/>
        <w:rPr>
          <w:rFonts w:ascii="Arial" w:hAnsi="Arial"/>
          <w:rtl/>
        </w:rPr>
      </w:pPr>
      <w:r>
        <w:rPr>
          <w:rFonts w:ascii="Arial" w:hAnsi="Arial" w:hint="cs"/>
          <w:rtl/>
        </w:rPr>
        <w:t>מעבר לכך, נמסר כי הנאשם חידש את הקשר עם משפחתו בחו"ל, קשר שנותק מזה כשמונה עשרה שנה ולהתרשמות שירות המבחן חידוש הקשר עם בני משפחתו מהווה עבורו גורם מעורר מוטיבציה ומניע לשינוי ושיקום בחייו. באשר לטיפול, מסר הנאשם לקצינת המבחן כי הוא ממשיך להשתתף בטיפול פרטני וקבוצתי, נרשם לקבוצת "צעדים" וממשיך להגיע לקבוצת מכורים אנונימיים.</w:t>
      </w:r>
    </w:p>
    <w:p w14:paraId="03056125" w14:textId="77777777" w:rsidR="00553191" w:rsidRDefault="00553191" w:rsidP="00553191">
      <w:pPr>
        <w:spacing w:line="360" w:lineRule="auto"/>
        <w:jc w:val="both"/>
        <w:rPr>
          <w:rFonts w:ascii="Arial" w:hAnsi="Arial"/>
          <w:rtl/>
        </w:rPr>
      </w:pPr>
      <w:r>
        <w:rPr>
          <w:rFonts w:ascii="Arial" w:hAnsi="Arial" w:hint="cs"/>
          <w:rtl/>
        </w:rPr>
        <w:t>מגיליון הרשעותיו הקודמות עולה כי מאז ביצוע העבירות בשנת 2012 עליהן כאמור הוא עומד לדין, לא נפתחו נגדו תיקים חדשים.</w:t>
      </w:r>
    </w:p>
    <w:p w14:paraId="006C6D63" w14:textId="77777777" w:rsidR="00553191" w:rsidRDefault="00553191" w:rsidP="00553191">
      <w:pPr>
        <w:spacing w:line="360" w:lineRule="auto"/>
        <w:jc w:val="both"/>
        <w:rPr>
          <w:rFonts w:ascii="Arial" w:hAnsi="Arial"/>
          <w:rtl/>
        </w:rPr>
      </w:pPr>
      <w:r>
        <w:rPr>
          <w:rFonts w:ascii="Arial" w:hAnsi="Arial" w:hint="cs"/>
          <w:rtl/>
        </w:rPr>
        <w:t>לאור השינוי שחל בהתנהלותו של הנאשם שניסיונות הגמילה הרבים שניסה לעבור בעבר לא צלחו, כשכיום משתף פעולה עם שירות המבחן ועם גורמי הטיפול בקהילה ונמנע ממעורבות עם החוק מאז ביצוע העבירות. מעריך שירות המבחן שיש צורך לקדם שיקומו ולחזק כוחותיו ושאיפותיו ותפקוד תקין בעתיד ללא שימוש בסמי רחוב וללא הסתבכויות עם החוק.</w:t>
      </w:r>
    </w:p>
    <w:p w14:paraId="5AAD1122" w14:textId="77777777" w:rsidR="00553191" w:rsidRDefault="00553191" w:rsidP="00553191">
      <w:pPr>
        <w:spacing w:line="360" w:lineRule="auto"/>
        <w:jc w:val="both"/>
        <w:rPr>
          <w:rFonts w:ascii="Arial" w:hAnsi="Arial"/>
          <w:rtl/>
        </w:rPr>
      </w:pPr>
      <w:r>
        <w:rPr>
          <w:rFonts w:ascii="Arial" w:hAnsi="Arial" w:hint="cs"/>
          <w:rtl/>
        </w:rPr>
        <w:t>לפיכך המליץ שירות המבחן על הארכת המאסרים המותנים התלויים ועומדים בנגדו ועל העמדתו בצו מבחן למשך שנה, במהלכה ימשיכו לעקוב אחר התקדמותו בטיפול ובחייו ולדרבנו לשיקום.</w:t>
      </w:r>
    </w:p>
    <w:p w14:paraId="3C772F98" w14:textId="77777777" w:rsidR="00553191" w:rsidRDefault="00553191" w:rsidP="00553191">
      <w:pPr>
        <w:spacing w:line="360" w:lineRule="auto"/>
        <w:jc w:val="both"/>
        <w:rPr>
          <w:rFonts w:ascii="Arial" w:hAnsi="Arial"/>
          <w:rtl/>
        </w:rPr>
      </w:pPr>
      <w:r>
        <w:rPr>
          <w:rFonts w:ascii="Arial" w:hAnsi="Arial" w:hint="cs"/>
          <w:rtl/>
        </w:rPr>
        <w:lastRenderedPageBreak/>
        <w:t>חרף המלצת שירות המבחן, עתרה המאשימה להשית על הנאשם עונש של מאסר בפועל, בהתחשב בערכים המוגנים שנפגעו כתוצאה ממעשיו כשהערך המוביל הינו ערך השמירה על רכושו וביטחונו של הציבור.</w:t>
      </w:r>
    </w:p>
    <w:p w14:paraId="4369B6AE" w14:textId="77777777" w:rsidR="00553191" w:rsidRDefault="00553191" w:rsidP="00553191">
      <w:pPr>
        <w:spacing w:line="360" w:lineRule="auto"/>
        <w:jc w:val="both"/>
        <w:rPr>
          <w:rFonts w:ascii="Arial" w:hAnsi="Arial"/>
          <w:rtl/>
        </w:rPr>
      </w:pPr>
      <w:r>
        <w:rPr>
          <w:rFonts w:ascii="Arial" w:hAnsi="Arial" w:hint="cs"/>
          <w:rtl/>
        </w:rPr>
        <w:t>לטענת המאשימה מתחם העונש ההולם נע בין 12 ל-24 חודשי מאסר בפועל, כשהיא מבקשת לסמוך את עתירתה לקביעת מתחם זה על פסיקה שהגישה לעיוני.</w:t>
      </w:r>
    </w:p>
    <w:p w14:paraId="49921098" w14:textId="77777777" w:rsidR="00553191" w:rsidRDefault="00553191" w:rsidP="00553191">
      <w:pPr>
        <w:spacing w:line="360" w:lineRule="auto"/>
        <w:jc w:val="both"/>
        <w:rPr>
          <w:rFonts w:ascii="Arial" w:hAnsi="Arial"/>
          <w:rtl/>
        </w:rPr>
      </w:pPr>
      <w:r>
        <w:rPr>
          <w:rFonts w:ascii="Arial" w:hAnsi="Arial" w:hint="cs"/>
          <w:rtl/>
        </w:rPr>
        <w:t>עיינתי בפסיקה ומצאתי כי ב-</w:t>
      </w:r>
      <w:hyperlink r:id="rId9" w:history="1">
        <w:r w:rsidR="002B6FA2" w:rsidRPr="002B6FA2">
          <w:rPr>
            <w:rStyle w:val="Hyperlink"/>
            <w:rFonts w:ascii="Arial" w:hAnsi="Arial" w:hint="eastAsia"/>
            <w:rtl/>
          </w:rPr>
          <w:t>ת</w:t>
        </w:r>
        <w:r w:rsidR="002B6FA2" w:rsidRPr="002B6FA2">
          <w:rPr>
            <w:rStyle w:val="Hyperlink"/>
            <w:rFonts w:ascii="Arial" w:hAnsi="Arial"/>
            <w:rtl/>
          </w:rPr>
          <w:t>"פ 7959-08-12</w:t>
        </w:r>
      </w:hyperlink>
      <w:r>
        <w:rPr>
          <w:rFonts w:ascii="Arial" w:hAnsi="Arial" w:hint="cs"/>
          <w:rtl/>
        </w:rPr>
        <w:t xml:space="preserve"> הטיל בית המשפט עונש מאסר בפועל של 4 חודשים על עבירה של התפרצות לרכב בנסיבות הדומות לנסיבות ביצוע העבירה על ידי הנאשם, כשעבירה זו הייתה רק אחת מהעבירות בהן הורשע הנאשם. </w:t>
      </w:r>
    </w:p>
    <w:p w14:paraId="039379D4" w14:textId="77777777" w:rsidR="00553191" w:rsidRDefault="00553191" w:rsidP="00553191">
      <w:pPr>
        <w:spacing w:line="360" w:lineRule="auto"/>
        <w:jc w:val="both"/>
        <w:rPr>
          <w:rFonts w:ascii="Arial" w:hAnsi="Arial"/>
          <w:rtl/>
        </w:rPr>
      </w:pPr>
      <w:r>
        <w:rPr>
          <w:rFonts w:ascii="Arial" w:hAnsi="Arial" w:hint="cs"/>
          <w:rtl/>
        </w:rPr>
        <w:t>ב-</w:t>
      </w:r>
      <w:hyperlink r:id="rId10" w:history="1">
        <w:r w:rsidR="002B6FA2" w:rsidRPr="002B6FA2">
          <w:rPr>
            <w:rStyle w:val="Hyperlink"/>
            <w:rFonts w:ascii="Arial" w:hAnsi="Arial" w:hint="eastAsia"/>
            <w:rtl/>
          </w:rPr>
          <w:t>ת</w:t>
        </w:r>
        <w:r w:rsidR="002B6FA2" w:rsidRPr="002B6FA2">
          <w:rPr>
            <w:rStyle w:val="Hyperlink"/>
            <w:rFonts w:ascii="Arial" w:hAnsi="Arial"/>
            <w:rtl/>
          </w:rPr>
          <w:t>"פ 49795-07-12</w:t>
        </w:r>
      </w:hyperlink>
      <w:r>
        <w:rPr>
          <w:rFonts w:ascii="Arial" w:hAnsi="Arial" w:hint="cs"/>
          <w:rtl/>
        </w:rPr>
        <w:t xml:space="preserve"> הטיל בית המשפט חודש מאסר בפועל בגין עבירה של החזקת סכין. </w:t>
      </w:r>
    </w:p>
    <w:p w14:paraId="4BB56EFD" w14:textId="77777777" w:rsidR="00553191" w:rsidRDefault="00553191" w:rsidP="00553191">
      <w:pPr>
        <w:spacing w:line="360" w:lineRule="auto"/>
        <w:jc w:val="both"/>
        <w:rPr>
          <w:rFonts w:ascii="Arial" w:hAnsi="Arial"/>
          <w:rtl/>
        </w:rPr>
      </w:pPr>
      <w:r>
        <w:rPr>
          <w:rFonts w:ascii="Arial" w:hAnsi="Arial" w:hint="cs"/>
          <w:rtl/>
        </w:rPr>
        <w:t>דומני איפוא שהפסיקה שהוגשה על ידי המאשימה אינה תומכת במתחם הענישה אותו הציגה המאשימה ומשכך אני קובעת את מתחמי הענישה כדלקמן:</w:t>
      </w:r>
    </w:p>
    <w:p w14:paraId="0A6FC9DD" w14:textId="77777777" w:rsidR="00553191" w:rsidRDefault="00553191" w:rsidP="00553191">
      <w:pPr>
        <w:spacing w:line="360" w:lineRule="auto"/>
        <w:jc w:val="both"/>
        <w:rPr>
          <w:rFonts w:ascii="Arial" w:hAnsi="Arial"/>
          <w:rtl/>
        </w:rPr>
      </w:pPr>
    </w:p>
    <w:p w14:paraId="7D9FD09D" w14:textId="77777777" w:rsidR="00553191" w:rsidRDefault="00553191" w:rsidP="00553191">
      <w:pPr>
        <w:spacing w:line="360" w:lineRule="auto"/>
        <w:ind w:left="720" w:hanging="720"/>
        <w:jc w:val="both"/>
        <w:rPr>
          <w:rFonts w:ascii="Arial" w:hAnsi="Arial"/>
          <w:rtl/>
        </w:rPr>
      </w:pPr>
      <w:r>
        <w:rPr>
          <w:rFonts w:ascii="Arial" w:hAnsi="Arial" w:hint="cs"/>
          <w:rtl/>
        </w:rPr>
        <w:t>1.</w:t>
      </w:r>
      <w:r>
        <w:rPr>
          <w:rFonts w:ascii="Arial" w:hAnsi="Arial" w:hint="cs"/>
          <w:rtl/>
        </w:rPr>
        <w:tab/>
        <w:t>בגין העבירה של פריצה לרכב, מתחם הענישה נע בין 4 חודשי מאסר שניתן לרצותם בעבודות שירות ועד 10 חודשי מאסר בפועל.</w:t>
      </w:r>
    </w:p>
    <w:p w14:paraId="7713131D" w14:textId="77777777" w:rsidR="00553191" w:rsidRDefault="00553191" w:rsidP="00553191">
      <w:pPr>
        <w:spacing w:line="360" w:lineRule="auto"/>
        <w:ind w:left="720" w:hanging="720"/>
        <w:jc w:val="both"/>
        <w:rPr>
          <w:rFonts w:ascii="Arial" w:hAnsi="Arial"/>
          <w:rtl/>
        </w:rPr>
      </w:pPr>
    </w:p>
    <w:p w14:paraId="31D137F2" w14:textId="77777777" w:rsidR="00553191" w:rsidRDefault="00553191" w:rsidP="00553191">
      <w:pPr>
        <w:spacing w:line="360" w:lineRule="auto"/>
        <w:ind w:left="720" w:hanging="720"/>
        <w:jc w:val="both"/>
        <w:rPr>
          <w:rFonts w:ascii="Arial" w:hAnsi="Arial"/>
          <w:rtl/>
        </w:rPr>
      </w:pPr>
      <w:r>
        <w:rPr>
          <w:rFonts w:ascii="Arial" w:hAnsi="Arial" w:hint="cs"/>
          <w:rtl/>
        </w:rPr>
        <w:t>2.</w:t>
      </w:r>
      <w:r>
        <w:rPr>
          <w:rFonts w:ascii="Arial" w:hAnsi="Arial" w:hint="cs"/>
          <w:rtl/>
        </w:rPr>
        <w:tab/>
        <w:t>בגין העבירה של החזקת סכין למטרה לא כשרה, מתחם הענישה נע בין חודש מאסר שניתן לרצותו בעבודות שירות ועד 7 חודשי מאסר בפועל.</w:t>
      </w:r>
    </w:p>
    <w:p w14:paraId="425C14DB" w14:textId="77777777" w:rsidR="00553191" w:rsidRDefault="00553191" w:rsidP="00553191">
      <w:pPr>
        <w:spacing w:line="360" w:lineRule="auto"/>
        <w:ind w:left="720" w:hanging="720"/>
        <w:jc w:val="both"/>
        <w:rPr>
          <w:rFonts w:ascii="Arial" w:hAnsi="Arial"/>
          <w:rtl/>
        </w:rPr>
      </w:pPr>
    </w:p>
    <w:p w14:paraId="6198FC82" w14:textId="77777777" w:rsidR="00553191" w:rsidRDefault="00553191" w:rsidP="00553191">
      <w:pPr>
        <w:spacing w:line="360" w:lineRule="auto"/>
        <w:ind w:left="720" w:hanging="720"/>
        <w:jc w:val="both"/>
        <w:rPr>
          <w:rFonts w:ascii="Arial" w:hAnsi="Arial"/>
          <w:rtl/>
        </w:rPr>
      </w:pPr>
      <w:r>
        <w:rPr>
          <w:rFonts w:ascii="Arial" w:hAnsi="Arial" w:hint="cs"/>
          <w:rtl/>
        </w:rPr>
        <w:t>3.</w:t>
      </w:r>
      <w:r>
        <w:rPr>
          <w:rFonts w:ascii="Arial" w:hAnsi="Arial" w:hint="cs"/>
          <w:rtl/>
        </w:rPr>
        <w:tab/>
        <w:t>בגין העבירות של החזקת נכס חשוד כגנוב והחזקת סמים לצריכה עצמית בנסיבות תיק זה, אני קובעת כי מתחם הענישה נע בין מאסר על תנאי ל-3 חודשי מאסר בפועל שניתן לרצותם בעבודות שירות.</w:t>
      </w:r>
    </w:p>
    <w:p w14:paraId="451BF718" w14:textId="77777777" w:rsidR="00553191" w:rsidRDefault="00553191" w:rsidP="00553191">
      <w:pPr>
        <w:spacing w:line="360" w:lineRule="auto"/>
        <w:jc w:val="both"/>
        <w:rPr>
          <w:rFonts w:ascii="Arial" w:hAnsi="Arial"/>
          <w:rtl/>
        </w:rPr>
      </w:pPr>
    </w:p>
    <w:p w14:paraId="5CE334D3" w14:textId="77777777" w:rsidR="00553191" w:rsidRDefault="00553191" w:rsidP="00553191">
      <w:pPr>
        <w:spacing w:line="360" w:lineRule="auto"/>
        <w:jc w:val="both"/>
        <w:rPr>
          <w:rFonts w:ascii="Arial" w:hAnsi="Arial"/>
          <w:rtl/>
        </w:rPr>
      </w:pPr>
      <w:r>
        <w:rPr>
          <w:rFonts w:ascii="Arial" w:hAnsi="Arial" w:hint="cs"/>
          <w:rtl/>
        </w:rPr>
        <w:t>המתחם הכולל נע איפוא בין 6 חודשי מאסר שניתן לרצותם בעבודות שירות ועד 15 חודשי מאסר בפועל.</w:t>
      </w:r>
    </w:p>
    <w:p w14:paraId="136E6C14" w14:textId="77777777" w:rsidR="00553191" w:rsidRDefault="00553191" w:rsidP="00553191">
      <w:pPr>
        <w:spacing w:line="360" w:lineRule="auto"/>
        <w:jc w:val="both"/>
        <w:rPr>
          <w:rFonts w:ascii="Arial" w:hAnsi="Arial"/>
          <w:rtl/>
        </w:rPr>
      </w:pPr>
      <w:r>
        <w:rPr>
          <w:rFonts w:ascii="Arial" w:hAnsi="Arial" w:hint="cs"/>
          <w:rtl/>
        </w:rPr>
        <w:t>עוד עתרה המאשימה להטיל במצטבר לכל עונש שיוטל על הנאשם ובטיעוניה ביקשה לקבוע כי עונש זה יהיה ברף התחתון של מתחם הענישה אותו הציגה.</w:t>
      </w:r>
    </w:p>
    <w:p w14:paraId="0E35048D" w14:textId="77777777" w:rsidR="00553191" w:rsidRDefault="00553191" w:rsidP="00553191">
      <w:pPr>
        <w:spacing w:line="360" w:lineRule="auto"/>
        <w:jc w:val="both"/>
        <w:rPr>
          <w:rFonts w:ascii="Arial" w:hAnsi="Arial"/>
          <w:rtl/>
        </w:rPr>
      </w:pPr>
      <w:r>
        <w:rPr>
          <w:rFonts w:ascii="Arial" w:hAnsi="Arial" w:hint="cs"/>
          <w:rtl/>
        </w:rPr>
        <w:t>נגד הנאשם תלויים 3 מאסרים על תנאי, כולם ניתנו במסגרת גזר דין אחד ב-</w:t>
      </w:r>
      <w:hyperlink r:id="rId11" w:history="1">
        <w:r w:rsidR="002B6FA2" w:rsidRPr="002B6FA2">
          <w:rPr>
            <w:rStyle w:val="Hyperlink"/>
            <w:rFonts w:ascii="Arial" w:hAnsi="Arial" w:hint="eastAsia"/>
            <w:rtl/>
          </w:rPr>
          <w:t>ת</w:t>
        </w:r>
        <w:r w:rsidR="002B6FA2" w:rsidRPr="002B6FA2">
          <w:rPr>
            <w:rStyle w:val="Hyperlink"/>
            <w:rFonts w:ascii="Arial" w:hAnsi="Arial"/>
            <w:rtl/>
          </w:rPr>
          <w:t>"פ 7158/04</w:t>
        </w:r>
      </w:hyperlink>
      <w:r>
        <w:rPr>
          <w:rFonts w:ascii="Arial" w:hAnsi="Arial" w:hint="cs"/>
          <w:rtl/>
        </w:rPr>
        <w:t xml:space="preserve">, באותו גזר דין נקבע מאסר על תנאי של 12 חודשי מאסר בגין עבירות רכוש בהן הורשע ובהן עבירה של פריצה לרכב, מאסר על תנאי של 4 חודשים בגין עבירה של החזקת רכוש החשוד כגנוב ו-5 חודשי מאסר על כל עבירה לפי </w:t>
      </w:r>
      <w:hyperlink r:id="rId12" w:history="1">
        <w:r w:rsidR="002B6FA2" w:rsidRPr="002B6FA2">
          <w:rPr>
            <w:rStyle w:val="Hyperlink"/>
            <w:rFonts w:ascii="Arial" w:hAnsi="Arial" w:hint="eastAsia"/>
            <w:rtl/>
          </w:rPr>
          <w:t>פקודת</w:t>
        </w:r>
        <w:r w:rsidR="002B6FA2" w:rsidRPr="002B6FA2">
          <w:rPr>
            <w:rStyle w:val="Hyperlink"/>
            <w:rFonts w:ascii="Arial" w:hAnsi="Arial"/>
            <w:rtl/>
          </w:rPr>
          <w:t xml:space="preserve"> הסמים המסוכנים</w:t>
        </w:r>
      </w:hyperlink>
      <w:r>
        <w:rPr>
          <w:rFonts w:ascii="Arial" w:hAnsi="Arial" w:hint="cs"/>
          <w:rtl/>
        </w:rPr>
        <w:t>.</w:t>
      </w:r>
    </w:p>
    <w:p w14:paraId="22FC3B10" w14:textId="77777777" w:rsidR="00553191" w:rsidRDefault="00553191" w:rsidP="00553191">
      <w:pPr>
        <w:spacing w:line="360" w:lineRule="auto"/>
        <w:jc w:val="both"/>
        <w:rPr>
          <w:rFonts w:ascii="Arial" w:hAnsi="Arial"/>
          <w:rtl/>
        </w:rPr>
      </w:pPr>
      <w:r>
        <w:rPr>
          <w:rFonts w:ascii="Arial" w:hAnsi="Arial" w:hint="cs"/>
          <w:rtl/>
        </w:rPr>
        <w:t>אומר אף זאת כי מדובר במאסר על תנאי בגין עבירות שבוצעו בשנים 2002 עד 2009.</w:t>
      </w:r>
    </w:p>
    <w:p w14:paraId="4172A43D" w14:textId="77777777" w:rsidR="00553191" w:rsidRDefault="00553191" w:rsidP="00553191">
      <w:pPr>
        <w:spacing w:line="360" w:lineRule="auto"/>
        <w:jc w:val="both"/>
        <w:rPr>
          <w:rFonts w:ascii="Arial" w:hAnsi="Arial"/>
          <w:rtl/>
        </w:rPr>
      </w:pPr>
      <w:r>
        <w:rPr>
          <w:rFonts w:ascii="Arial" w:hAnsi="Arial" w:hint="cs"/>
          <w:rtl/>
        </w:rPr>
        <w:t>ב"כ המאשימה ביקש בטיעוניו להעדיף את האינטרס הציבורי על פני האינטרס של הנאשם ולפיכך כאמור ביקש לדחות את המלצת שירות המבחן.</w:t>
      </w:r>
    </w:p>
    <w:p w14:paraId="66138050" w14:textId="77777777" w:rsidR="00553191" w:rsidRDefault="00553191" w:rsidP="00553191">
      <w:pPr>
        <w:spacing w:line="360" w:lineRule="auto"/>
        <w:jc w:val="both"/>
        <w:rPr>
          <w:rFonts w:ascii="Arial" w:hAnsi="Arial"/>
          <w:rtl/>
        </w:rPr>
      </w:pPr>
      <w:r>
        <w:rPr>
          <w:rFonts w:ascii="Arial" w:hAnsi="Arial" w:hint="cs"/>
          <w:rtl/>
        </w:rPr>
        <w:t>ב"כ הנאשם מנגד עתר לאמץ את המלצות שירות המבחן כשהוא מרחיב בטיעוניו בעניין ההליך השיקומי המשמעותי שעבר הנאשם לראשונה בחייו, השלב אליו הגיע והשתלבותו מזה כ-4.5 חודשים במקום עבודה לשביעות רצונו ושביעות רצון מעסיקיו.</w:t>
      </w:r>
    </w:p>
    <w:p w14:paraId="152E7A32" w14:textId="77777777" w:rsidR="00553191" w:rsidRDefault="00553191" w:rsidP="00553191">
      <w:pPr>
        <w:spacing w:line="360" w:lineRule="auto"/>
        <w:jc w:val="both"/>
        <w:rPr>
          <w:rFonts w:ascii="Arial" w:hAnsi="Arial"/>
          <w:rtl/>
        </w:rPr>
      </w:pPr>
      <w:r>
        <w:rPr>
          <w:rFonts w:ascii="Arial" w:hAnsi="Arial" w:hint="cs"/>
          <w:rtl/>
        </w:rPr>
        <w:t>לטענת ב"כ הנאשם, קבלת עתירת המאשימה משמעה השגת הנאשם לאחור ופגיעה בכל ההליך השיקומי שעבר עד היום.</w:t>
      </w:r>
    </w:p>
    <w:p w14:paraId="331290AE" w14:textId="77777777" w:rsidR="00553191" w:rsidRDefault="00553191" w:rsidP="00553191">
      <w:pPr>
        <w:spacing w:line="360" w:lineRule="auto"/>
        <w:jc w:val="both"/>
        <w:rPr>
          <w:rFonts w:ascii="Arial" w:hAnsi="Arial"/>
          <w:rtl/>
        </w:rPr>
      </w:pPr>
      <w:r>
        <w:rPr>
          <w:rFonts w:ascii="Arial" w:hAnsi="Arial" w:hint="cs"/>
          <w:rtl/>
        </w:rPr>
        <w:t>ב"כ הנאשם לא התעלם מהעליות והירידות במהלך תקופת השיקום וחזר על מושכלות יסוד של הקושי של מכורים לסמים הלוקים במחלה זו להיגמל ויש לעודד ולתמוך בכל מי שמנסה להשתקם ולצאת ממעגל הסמים.</w:t>
      </w:r>
    </w:p>
    <w:p w14:paraId="6A4525BF" w14:textId="77777777" w:rsidR="00553191" w:rsidRDefault="00553191" w:rsidP="00553191">
      <w:pPr>
        <w:spacing w:line="360" w:lineRule="auto"/>
        <w:jc w:val="both"/>
        <w:rPr>
          <w:rFonts w:ascii="Arial" w:hAnsi="Arial"/>
          <w:rtl/>
        </w:rPr>
      </w:pPr>
      <w:r>
        <w:rPr>
          <w:rFonts w:ascii="Arial" w:hAnsi="Arial" w:hint="cs"/>
          <w:rtl/>
        </w:rPr>
        <w:t>לטענתו, ברור מאופי ביצוע העבירות כי הן נעברו על רקע שימושו של הנאשם בסמים ואם יוצא נתון זה ממשוואת חייו של הנאשם, יהא בכך כדי להועיל לנאשם ולציבור בכלל.</w:t>
      </w:r>
    </w:p>
    <w:p w14:paraId="79C5F59D" w14:textId="77777777" w:rsidR="00553191" w:rsidRDefault="00553191" w:rsidP="00553191">
      <w:pPr>
        <w:spacing w:line="360" w:lineRule="auto"/>
        <w:jc w:val="both"/>
        <w:rPr>
          <w:rFonts w:ascii="Arial" w:hAnsi="Arial"/>
          <w:rtl/>
        </w:rPr>
      </w:pPr>
      <w:r>
        <w:rPr>
          <w:rFonts w:ascii="Arial" w:hAnsi="Arial" w:hint="cs"/>
          <w:rtl/>
        </w:rPr>
        <w:t>אכן הנאשם במעשיו כפי שהם עולים מכתב האישום וכפי שניתן ללמוד ממעשיו בעבר, פגע ברכושו של הציבור, ביטחון הציבור ובשלומו. השאלה היא מה הוא האינטרס הציבורי, האם האינטרס הציבורי הינו תמיד שיקול הגמול או שדווקא שיקולי השיקום הם אלה שמועילים בטווח הארוך לשלומו של הציבור.</w:t>
      </w:r>
    </w:p>
    <w:p w14:paraId="3A6C7116" w14:textId="77777777" w:rsidR="00553191" w:rsidRDefault="00553191" w:rsidP="00553191">
      <w:pPr>
        <w:spacing w:line="360" w:lineRule="auto"/>
        <w:jc w:val="both"/>
        <w:rPr>
          <w:rFonts w:ascii="Arial" w:hAnsi="Arial"/>
          <w:rtl/>
        </w:rPr>
      </w:pPr>
      <w:r>
        <w:rPr>
          <w:rFonts w:ascii="Arial" w:hAnsi="Arial" w:hint="cs"/>
          <w:rtl/>
        </w:rPr>
        <w:t>דומני שפגיעה בהליך השיקומי החיובי שעובר הנאשם זו הפעם הראשונה יותר משתועיל לציבור תפגע בו, שכן למדנו שהנאשם כאמור ביצע את העבירות על רקע התמכרותו לסמים.</w:t>
      </w:r>
    </w:p>
    <w:p w14:paraId="6D3B25F1" w14:textId="77777777" w:rsidR="00553191" w:rsidRDefault="00553191" w:rsidP="00553191">
      <w:pPr>
        <w:spacing w:line="360" w:lineRule="auto"/>
        <w:jc w:val="both"/>
        <w:rPr>
          <w:rFonts w:ascii="Arial" w:hAnsi="Arial"/>
          <w:rtl/>
        </w:rPr>
      </w:pPr>
      <w:r>
        <w:rPr>
          <w:rFonts w:ascii="Arial" w:hAnsi="Arial" w:hint="cs"/>
          <w:rtl/>
        </w:rPr>
        <w:t>מזה 5 שנים לא נפתחו כנגד הנאשם תיקים חדשים, זו אותה תקופה במהלכה עבר הנאשם את ההליך הטיפולי שאף סבל מהידרדרויות ושימוש חוזר בסמים אך הנאשם לא ויתר, המשיך בהליך הטיפולי עד שהגיע לשלב המתואר בתסקיר האחרון של שירות המבחן.</w:t>
      </w:r>
    </w:p>
    <w:p w14:paraId="112B7D4C" w14:textId="77777777" w:rsidR="00553191" w:rsidRDefault="00553191" w:rsidP="00553191">
      <w:pPr>
        <w:spacing w:line="360" w:lineRule="auto"/>
        <w:jc w:val="both"/>
        <w:rPr>
          <w:rFonts w:ascii="Arial" w:hAnsi="Arial"/>
          <w:rtl/>
        </w:rPr>
      </w:pPr>
      <w:r>
        <w:rPr>
          <w:rFonts w:ascii="Arial" w:hAnsi="Arial" w:hint="cs"/>
          <w:rtl/>
        </w:rPr>
        <w:t>נוכח האמור לעיל, לא ראיתי טעם בהושבת הנאשם מאחורי סורג ובריח, יהא בכך אולי כדי למלא אחר שיקול הגמול שבענישה אך שיקול השיקום עלול כאמור להיפגע פגיעה אנושה ובכך בסופו של יום להתגלגל גם לפתחו של הציבור שעלול לשוב ולהיפגע ממעשיו.</w:t>
      </w:r>
    </w:p>
    <w:p w14:paraId="4C729211" w14:textId="77777777" w:rsidR="00553191" w:rsidRDefault="00553191" w:rsidP="00553191">
      <w:pPr>
        <w:spacing w:line="360" w:lineRule="auto"/>
        <w:jc w:val="both"/>
        <w:rPr>
          <w:rFonts w:ascii="Arial" w:hAnsi="Arial"/>
          <w:rtl/>
        </w:rPr>
      </w:pPr>
      <w:r>
        <w:rPr>
          <w:rFonts w:ascii="Arial" w:hAnsi="Arial" w:hint="cs"/>
          <w:rtl/>
        </w:rPr>
        <w:t xml:space="preserve">נוכח כל האמור לעיל, אני מאמצת את המלצת שירות המבחן, עושה שימוש בסמכותי על פי </w:t>
      </w:r>
      <w:hyperlink r:id="rId13" w:history="1">
        <w:r w:rsidR="007642C8" w:rsidRPr="007642C8">
          <w:rPr>
            <w:rFonts w:ascii="Arial" w:hAnsi="Arial"/>
            <w:color w:val="0000FF"/>
            <w:u w:val="single"/>
            <w:rtl/>
          </w:rPr>
          <w:t>סעיף 40ד</w:t>
        </w:r>
      </w:hyperlink>
      <w:r>
        <w:rPr>
          <w:rFonts w:ascii="Arial" w:hAnsi="Arial" w:hint="cs"/>
          <w:rtl/>
        </w:rPr>
        <w:t xml:space="preserve"> ל</w:t>
      </w:r>
      <w:hyperlink r:id="rId14" w:history="1">
        <w:r w:rsidR="002B6FA2" w:rsidRPr="002B6FA2">
          <w:rPr>
            <w:rStyle w:val="Hyperlink"/>
            <w:rFonts w:ascii="Arial" w:hAnsi="Arial" w:hint="eastAsia"/>
            <w:rtl/>
          </w:rPr>
          <w:t>חוק</w:t>
        </w:r>
        <w:r w:rsidR="002B6FA2" w:rsidRPr="002B6FA2">
          <w:rPr>
            <w:rStyle w:val="Hyperlink"/>
            <w:rFonts w:ascii="Arial" w:hAnsi="Arial"/>
            <w:rtl/>
          </w:rPr>
          <w:t xml:space="preserve"> העונשין</w:t>
        </w:r>
      </w:hyperlink>
      <w:r>
        <w:rPr>
          <w:rFonts w:ascii="Arial" w:hAnsi="Arial" w:hint="cs"/>
          <w:rtl/>
        </w:rPr>
        <w:t xml:space="preserve"> וחורגת לקולא ממתחם הענישה הראוי.</w:t>
      </w:r>
    </w:p>
    <w:p w14:paraId="625A7EA0" w14:textId="77777777" w:rsidR="00553191" w:rsidRDefault="00553191" w:rsidP="00553191">
      <w:pPr>
        <w:spacing w:line="360" w:lineRule="auto"/>
        <w:jc w:val="both"/>
        <w:rPr>
          <w:rFonts w:ascii="Arial" w:hAnsi="Arial"/>
          <w:rtl/>
        </w:rPr>
      </w:pPr>
      <w:r>
        <w:rPr>
          <w:rFonts w:ascii="Arial" w:hAnsi="Arial" w:hint="cs"/>
          <w:rtl/>
        </w:rPr>
        <w:t>יובהר כי עונשי המאסר על תנאי עדיין יישארו תלויים ועומדים כחרב המתהפכת מעל ראשו של הנאשם, ואם ישוב וימעד לביצוע העבירות ניתן יהיה לדונו מחדש בגין המעשים המיוחסים לו בכתב האישום.</w:t>
      </w:r>
    </w:p>
    <w:p w14:paraId="44B8A1E8" w14:textId="77777777" w:rsidR="00553191" w:rsidRPr="00B26C42" w:rsidRDefault="00553191" w:rsidP="00553191">
      <w:pPr>
        <w:spacing w:line="360" w:lineRule="auto"/>
        <w:jc w:val="both"/>
        <w:rPr>
          <w:rFonts w:ascii="Arial" w:hAnsi="Arial"/>
          <w:b/>
          <w:bCs/>
          <w:rtl/>
        </w:rPr>
      </w:pPr>
      <w:r w:rsidRPr="00B26C42">
        <w:rPr>
          <w:rFonts w:ascii="Arial" w:hAnsi="Arial" w:hint="cs"/>
          <w:b/>
          <w:bCs/>
          <w:rtl/>
        </w:rPr>
        <w:t>לאור כל האמור לעיל, אני מטילה על הנאשם את העונשים כדלקמן:</w:t>
      </w:r>
    </w:p>
    <w:p w14:paraId="7A281CB1" w14:textId="77777777" w:rsidR="00553191" w:rsidRPr="00B26C42" w:rsidRDefault="00553191" w:rsidP="00553191">
      <w:pPr>
        <w:spacing w:line="360" w:lineRule="auto"/>
        <w:jc w:val="both"/>
        <w:rPr>
          <w:rFonts w:ascii="Arial" w:hAnsi="Arial"/>
          <w:b/>
          <w:bCs/>
          <w:rtl/>
        </w:rPr>
      </w:pPr>
    </w:p>
    <w:p w14:paraId="6FE1A337" w14:textId="77777777" w:rsidR="00553191" w:rsidRDefault="00553191" w:rsidP="00553191">
      <w:pPr>
        <w:spacing w:line="360" w:lineRule="auto"/>
        <w:ind w:left="720" w:hanging="720"/>
        <w:jc w:val="both"/>
        <w:rPr>
          <w:rFonts w:ascii="Arial" w:hAnsi="Arial"/>
          <w:b/>
          <w:bCs/>
          <w:rtl/>
        </w:rPr>
      </w:pPr>
      <w:r w:rsidRPr="00B26C42">
        <w:rPr>
          <w:rFonts w:ascii="Arial" w:hAnsi="Arial" w:hint="cs"/>
          <w:b/>
          <w:bCs/>
          <w:rtl/>
        </w:rPr>
        <w:t>1.</w:t>
      </w:r>
      <w:r w:rsidRPr="00B26C42">
        <w:rPr>
          <w:rFonts w:ascii="Arial" w:hAnsi="Arial" w:hint="cs"/>
          <w:b/>
          <w:bCs/>
          <w:rtl/>
        </w:rPr>
        <w:tab/>
        <w:t xml:space="preserve">אני מחדשת את שלושת המאסרים המותנים (של 12 חודשים, 4 חודשים ו-5 חודשים) שהוטלו על הנאשם במסגרת </w:t>
      </w:r>
      <w:hyperlink r:id="rId15" w:history="1">
        <w:r w:rsidR="002B6FA2" w:rsidRPr="002B6FA2">
          <w:rPr>
            <w:rStyle w:val="Hyperlink"/>
            <w:rFonts w:ascii="Arial" w:hAnsi="Arial" w:hint="eastAsia"/>
            <w:b/>
            <w:bCs/>
            <w:rtl/>
          </w:rPr>
          <w:t>ת</w:t>
        </w:r>
        <w:r w:rsidR="002B6FA2" w:rsidRPr="002B6FA2">
          <w:rPr>
            <w:rStyle w:val="Hyperlink"/>
            <w:rFonts w:ascii="Arial" w:hAnsi="Arial"/>
            <w:b/>
            <w:bCs/>
            <w:rtl/>
          </w:rPr>
          <w:t>"פ 7158/04</w:t>
        </w:r>
      </w:hyperlink>
      <w:r w:rsidRPr="00B26C42">
        <w:rPr>
          <w:rFonts w:ascii="Arial" w:hAnsi="Arial" w:hint="cs"/>
          <w:b/>
          <w:bCs/>
          <w:rtl/>
        </w:rPr>
        <w:t xml:space="preserve"> של בית משפט לנוער בתל אביב למשך שנתיים מהיום.</w:t>
      </w:r>
    </w:p>
    <w:p w14:paraId="3E3F6AFE" w14:textId="77777777" w:rsidR="00553191" w:rsidRDefault="00553191" w:rsidP="00553191">
      <w:pPr>
        <w:spacing w:line="360" w:lineRule="auto"/>
        <w:ind w:left="720" w:hanging="720"/>
        <w:jc w:val="both"/>
        <w:rPr>
          <w:rFonts w:ascii="Arial" w:hAnsi="Arial"/>
          <w:b/>
          <w:bCs/>
          <w:rtl/>
        </w:rPr>
      </w:pPr>
    </w:p>
    <w:p w14:paraId="21F86F69" w14:textId="77777777" w:rsidR="00553191" w:rsidRPr="00B26C42" w:rsidRDefault="00553191" w:rsidP="00553191">
      <w:pPr>
        <w:spacing w:line="360" w:lineRule="auto"/>
        <w:ind w:left="720" w:hanging="720"/>
        <w:jc w:val="both"/>
        <w:rPr>
          <w:rFonts w:ascii="Arial" w:hAnsi="Arial"/>
          <w:b/>
          <w:bCs/>
          <w:rtl/>
        </w:rPr>
      </w:pPr>
      <w:r>
        <w:rPr>
          <w:rFonts w:ascii="Arial" w:hAnsi="Arial" w:hint="cs"/>
          <w:b/>
          <w:bCs/>
          <w:rtl/>
        </w:rPr>
        <w:t>2.</w:t>
      </w:r>
      <w:r>
        <w:rPr>
          <w:rFonts w:ascii="Arial" w:hAnsi="Arial" w:hint="cs"/>
          <w:b/>
          <w:bCs/>
          <w:rtl/>
        </w:rPr>
        <w:tab/>
        <w:t>ארבעה חודשי מאסר על תנאי והתנאי הוא שהנאשם לא יעבור עבירה של החזקת סכין למטרה לא כשרה למשך 3 שנים מהיום.</w:t>
      </w:r>
    </w:p>
    <w:p w14:paraId="52D6E084" w14:textId="77777777" w:rsidR="00553191" w:rsidRPr="00B26C42" w:rsidRDefault="00553191" w:rsidP="00553191">
      <w:pPr>
        <w:spacing w:line="360" w:lineRule="auto"/>
        <w:ind w:left="720" w:hanging="720"/>
        <w:jc w:val="both"/>
        <w:rPr>
          <w:rFonts w:ascii="Arial" w:hAnsi="Arial"/>
          <w:b/>
          <w:bCs/>
          <w:rtl/>
        </w:rPr>
      </w:pPr>
    </w:p>
    <w:p w14:paraId="18700BD6" w14:textId="77777777" w:rsidR="00553191" w:rsidRPr="00B26C42" w:rsidRDefault="00553191" w:rsidP="00553191">
      <w:pPr>
        <w:spacing w:line="360" w:lineRule="auto"/>
        <w:ind w:left="720" w:hanging="720"/>
        <w:jc w:val="both"/>
        <w:rPr>
          <w:rFonts w:ascii="Arial" w:hAnsi="Arial"/>
          <w:b/>
          <w:bCs/>
          <w:rtl/>
        </w:rPr>
      </w:pPr>
      <w:r>
        <w:rPr>
          <w:rFonts w:ascii="Arial" w:hAnsi="Arial" w:hint="cs"/>
          <w:b/>
          <w:bCs/>
          <w:rtl/>
        </w:rPr>
        <w:t>3</w:t>
      </w:r>
      <w:r w:rsidRPr="00B26C42">
        <w:rPr>
          <w:rFonts w:ascii="Arial" w:hAnsi="Arial" w:hint="cs"/>
          <w:b/>
          <w:bCs/>
          <w:rtl/>
        </w:rPr>
        <w:t>.</w:t>
      </w:r>
      <w:r w:rsidRPr="00B26C42">
        <w:rPr>
          <w:rFonts w:ascii="Arial" w:hAnsi="Arial" w:hint="cs"/>
          <w:b/>
          <w:bCs/>
          <w:rtl/>
        </w:rPr>
        <w:tab/>
        <w:t>ניתן בזה צו מבחן למשך 18 חודש.</w:t>
      </w:r>
    </w:p>
    <w:p w14:paraId="1D82C917" w14:textId="77777777" w:rsidR="00553191" w:rsidRPr="00B26C42" w:rsidRDefault="00553191" w:rsidP="00553191">
      <w:pPr>
        <w:spacing w:line="360" w:lineRule="auto"/>
        <w:rPr>
          <w:b/>
          <w:bCs/>
          <w:szCs w:val="26"/>
          <w:rtl/>
        </w:rPr>
      </w:pPr>
    </w:p>
    <w:p w14:paraId="3D69419C" w14:textId="77777777" w:rsidR="00553191" w:rsidRPr="00B26C42" w:rsidRDefault="00553191" w:rsidP="00553191">
      <w:pPr>
        <w:spacing w:line="360" w:lineRule="auto"/>
        <w:rPr>
          <w:b/>
          <w:bCs/>
          <w:rtl/>
        </w:rPr>
      </w:pPr>
      <w:r w:rsidRPr="00B26C42">
        <w:rPr>
          <w:rFonts w:hint="cs"/>
          <w:b/>
          <w:bCs/>
          <w:rtl/>
        </w:rPr>
        <w:t>הנאשם מוזהר שאם לא ימלא אחר הצו מכל בחינה שהיא או יעבור עבירה נוספת, יהיה צפוי להרשעה ועונש על העבירה שבגללה ניתן הצו.</w:t>
      </w:r>
    </w:p>
    <w:p w14:paraId="0A06D7BD" w14:textId="77777777" w:rsidR="00553191" w:rsidRPr="00B26C42" w:rsidRDefault="00553191" w:rsidP="00553191">
      <w:pPr>
        <w:spacing w:line="360" w:lineRule="auto"/>
        <w:rPr>
          <w:b/>
          <w:bCs/>
          <w:rtl/>
        </w:rPr>
      </w:pPr>
    </w:p>
    <w:p w14:paraId="438F2DE0" w14:textId="77777777" w:rsidR="00553191" w:rsidRDefault="00553191" w:rsidP="00553191">
      <w:pPr>
        <w:spacing w:line="360" w:lineRule="auto"/>
        <w:rPr>
          <w:b/>
          <w:bCs/>
          <w:rtl/>
        </w:rPr>
      </w:pPr>
      <w:r w:rsidRPr="00B26C42">
        <w:rPr>
          <w:rFonts w:hint="cs"/>
          <w:b/>
          <w:bCs/>
          <w:rtl/>
        </w:rPr>
        <w:t>המזכירות תמציא עותק מגזר הדין לשירות המבחן, שיגיש לבית המשפט דו"ח ביניים בתום ששת חודשי המבחן הראשונים.</w:t>
      </w:r>
    </w:p>
    <w:p w14:paraId="66DFB766" w14:textId="77777777" w:rsidR="00553191" w:rsidRDefault="00553191" w:rsidP="00553191">
      <w:pPr>
        <w:spacing w:line="360" w:lineRule="auto"/>
        <w:rPr>
          <w:b/>
          <w:bCs/>
          <w:rtl/>
        </w:rPr>
      </w:pPr>
    </w:p>
    <w:p w14:paraId="2F8BB9C5" w14:textId="77777777" w:rsidR="00553191" w:rsidRDefault="00553191" w:rsidP="00553191">
      <w:pPr>
        <w:spacing w:line="360" w:lineRule="auto"/>
        <w:rPr>
          <w:b/>
          <w:bCs/>
          <w:rtl/>
        </w:rPr>
      </w:pPr>
      <w:r>
        <w:rPr>
          <w:rFonts w:hint="cs"/>
          <w:b/>
          <w:bCs/>
          <w:rtl/>
        </w:rPr>
        <w:t>המוצגים יושמדו.</w:t>
      </w:r>
    </w:p>
    <w:p w14:paraId="1E627BC2" w14:textId="77777777" w:rsidR="00553191" w:rsidRDefault="00553191" w:rsidP="00553191">
      <w:pPr>
        <w:spacing w:line="360" w:lineRule="auto"/>
        <w:rPr>
          <w:b/>
          <w:bCs/>
          <w:rtl/>
        </w:rPr>
      </w:pPr>
    </w:p>
    <w:p w14:paraId="43327600" w14:textId="77777777" w:rsidR="00553191" w:rsidRDefault="00553191" w:rsidP="00553191">
      <w:pPr>
        <w:spacing w:line="360" w:lineRule="auto"/>
        <w:rPr>
          <w:b/>
          <w:bCs/>
          <w:rtl/>
        </w:rPr>
      </w:pPr>
      <w:r>
        <w:rPr>
          <w:rFonts w:hint="cs"/>
          <w:b/>
          <w:bCs/>
          <w:rtl/>
        </w:rPr>
        <w:t>זכות ערעור לבית המשפט המחוזי תוך 45 יום מהיום</w:t>
      </w:r>
    </w:p>
    <w:p w14:paraId="01E5C482" w14:textId="77777777" w:rsidR="00553191" w:rsidRDefault="00553191" w:rsidP="00553191">
      <w:pPr>
        <w:spacing w:line="360" w:lineRule="auto"/>
        <w:rPr>
          <w:b/>
          <w:bCs/>
          <w:sz w:val="6"/>
          <w:szCs w:val="6"/>
          <w:rtl/>
        </w:rPr>
      </w:pPr>
      <w:r>
        <w:rPr>
          <w:b/>
          <w:bCs/>
          <w:sz w:val="6"/>
          <w:szCs w:val="6"/>
          <w:rtl/>
        </w:rPr>
        <w:t>&lt;#5#&gt;</w:t>
      </w:r>
    </w:p>
    <w:p w14:paraId="66B04EEB" w14:textId="77777777" w:rsidR="00553191" w:rsidRDefault="00553191" w:rsidP="00553191">
      <w:pPr>
        <w:jc w:val="right"/>
        <w:rPr>
          <w:rtl/>
        </w:rPr>
      </w:pPr>
    </w:p>
    <w:p w14:paraId="14D08736" w14:textId="77777777" w:rsidR="00553191" w:rsidRDefault="002B6FA2" w:rsidP="00553191">
      <w:pPr>
        <w:jc w:val="center"/>
        <w:rPr>
          <w:rtl/>
        </w:rPr>
      </w:pPr>
      <w:r>
        <w:rPr>
          <w:b/>
          <w:bCs/>
          <w:rtl/>
        </w:rPr>
        <w:t xml:space="preserve">ניתנה והודעה היום כ"ד אדר תשע"ז, 22/03/2017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53191" w14:paraId="671E32AB" w14:textId="77777777" w:rsidTr="002B6FA2">
        <w:trPr>
          <w:trHeight w:val="316"/>
          <w:jc w:val="right"/>
        </w:trPr>
        <w:tc>
          <w:tcPr>
            <w:tcW w:w="3936" w:type="dxa"/>
            <w:shd w:val="clear" w:color="auto" w:fill="auto"/>
          </w:tcPr>
          <w:p w14:paraId="1EDFD412" w14:textId="77777777" w:rsidR="00553191" w:rsidRPr="00CA338F" w:rsidRDefault="00553191" w:rsidP="002B6FA2">
            <w:pPr>
              <w:jc w:val="center"/>
              <w:rPr>
                <w:rFonts w:ascii="Times New Roman" w:eastAsia="Times New Roman" w:hAnsi="Times New Roman" w:cs="Times New Roman"/>
              </w:rPr>
            </w:pPr>
          </w:p>
          <w:p w14:paraId="0BD78BE3" w14:textId="77777777" w:rsidR="00553191" w:rsidRPr="00CA338F" w:rsidRDefault="00553191" w:rsidP="002B6FA2">
            <w:pPr>
              <w:jc w:val="center"/>
              <w:rPr>
                <w:rFonts w:ascii="Times New Roman" w:eastAsia="Times New Roman" w:hAnsi="Times New Roman" w:cs="Times New Roman"/>
                <w:rtl/>
              </w:rPr>
            </w:pPr>
          </w:p>
        </w:tc>
      </w:tr>
      <w:tr w:rsidR="00553191" w14:paraId="403F0954" w14:textId="77777777" w:rsidTr="002B6FA2">
        <w:trPr>
          <w:trHeight w:val="361"/>
          <w:jc w:val="right"/>
        </w:trPr>
        <w:tc>
          <w:tcPr>
            <w:tcW w:w="3936" w:type="dxa"/>
            <w:shd w:val="clear" w:color="auto" w:fill="auto"/>
          </w:tcPr>
          <w:p w14:paraId="0C8AB499" w14:textId="77777777" w:rsidR="00553191" w:rsidRPr="00CA338F" w:rsidRDefault="00553191" w:rsidP="002B6FA2">
            <w:pPr>
              <w:jc w:val="center"/>
              <w:rPr>
                <w:rFonts w:ascii="Times New Roman" w:eastAsia="Times New Roman" w:hAnsi="Times New Roman"/>
                <w:b/>
                <w:bCs/>
                <w:rtl/>
              </w:rPr>
            </w:pPr>
            <w:r w:rsidRPr="00CA338F">
              <w:rPr>
                <w:rFonts w:ascii="Times New Roman" w:eastAsia="Times New Roman" w:hAnsi="Times New Roman" w:hint="cs"/>
                <w:b/>
                <w:bCs/>
                <w:rtl/>
              </w:rPr>
              <w:t>הדסה נאור</w:t>
            </w:r>
            <w:r w:rsidRPr="00CA338F">
              <w:rPr>
                <w:rFonts w:ascii="Times New Roman" w:eastAsia="Times New Roman" w:hAnsi="Times New Roman"/>
                <w:b/>
                <w:bCs/>
                <w:rtl/>
              </w:rPr>
              <w:t xml:space="preserve"> </w:t>
            </w:r>
            <w:r w:rsidRPr="00CA338F">
              <w:rPr>
                <w:rFonts w:ascii="Times New Roman" w:eastAsia="Times New Roman" w:hAnsi="Times New Roman" w:hint="cs"/>
                <w:b/>
                <w:bCs/>
                <w:rtl/>
              </w:rPr>
              <w:t>, שופטת</w:t>
            </w:r>
            <w:r w:rsidRPr="00CA338F">
              <w:rPr>
                <w:rFonts w:ascii="Times New Roman" w:eastAsia="Times New Roman" w:hAnsi="Times New Roman"/>
                <w:b/>
                <w:bCs/>
                <w:rtl/>
              </w:rPr>
              <w:t xml:space="preserve"> </w:t>
            </w:r>
          </w:p>
        </w:tc>
      </w:tr>
    </w:tbl>
    <w:p w14:paraId="4D55BAC0" w14:textId="77777777" w:rsidR="00553191" w:rsidRDefault="00553191" w:rsidP="00553191">
      <w:pPr>
        <w:jc w:val="right"/>
        <w:rPr>
          <w:rtl/>
        </w:rPr>
      </w:pPr>
    </w:p>
    <w:p w14:paraId="6CEA2C6B" w14:textId="77777777" w:rsidR="00553191" w:rsidRPr="002B6FA2" w:rsidRDefault="002B6FA2" w:rsidP="00553191">
      <w:pPr>
        <w:jc w:val="both"/>
        <w:rPr>
          <w:color w:val="FFFFFF"/>
          <w:sz w:val="2"/>
          <w:szCs w:val="2"/>
          <w:rtl/>
        </w:rPr>
      </w:pPr>
      <w:r w:rsidRPr="002B6FA2">
        <w:rPr>
          <w:color w:val="FFFFFF"/>
          <w:sz w:val="2"/>
          <w:szCs w:val="2"/>
          <w:rtl/>
        </w:rPr>
        <w:t>5129371</w:t>
      </w:r>
    </w:p>
    <w:p w14:paraId="6EB6E873" w14:textId="77777777" w:rsidR="00553191" w:rsidRPr="002B6FA2" w:rsidRDefault="002B6FA2" w:rsidP="00553191">
      <w:pPr>
        <w:spacing w:line="360" w:lineRule="auto"/>
        <w:jc w:val="both"/>
        <w:rPr>
          <w:color w:val="FFFFFF"/>
          <w:sz w:val="2"/>
          <w:szCs w:val="2"/>
          <w:rtl/>
        </w:rPr>
      </w:pPr>
      <w:r w:rsidRPr="002B6FA2">
        <w:rPr>
          <w:color w:val="FFFFFF"/>
          <w:sz w:val="2"/>
          <w:szCs w:val="2"/>
          <w:rtl/>
        </w:rPr>
        <w:t>54678313</w:t>
      </w:r>
    </w:p>
    <w:p w14:paraId="7A006D0C" w14:textId="77777777" w:rsidR="00553191" w:rsidRDefault="00553191" w:rsidP="00553191">
      <w:pPr>
        <w:pStyle w:val="a7"/>
        <w:rPr>
          <w:rtl/>
        </w:rPr>
      </w:pPr>
    </w:p>
    <w:p w14:paraId="7D646D80" w14:textId="77777777" w:rsidR="00553191" w:rsidRDefault="00553191" w:rsidP="00553191">
      <w:pPr>
        <w:spacing w:line="360" w:lineRule="auto"/>
        <w:jc w:val="both"/>
        <w:rPr>
          <w:b/>
          <w:bCs/>
          <w:szCs w:val="26"/>
          <w:rtl/>
        </w:rPr>
      </w:pPr>
    </w:p>
    <w:p w14:paraId="10C9C95B" w14:textId="77777777" w:rsidR="00553191" w:rsidRPr="005B0D08" w:rsidRDefault="00553191" w:rsidP="00553191">
      <w:pPr>
        <w:spacing w:line="360" w:lineRule="auto"/>
        <w:jc w:val="both"/>
        <w:rPr>
          <w:rtl/>
        </w:rPr>
      </w:pPr>
    </w:p>
    <w:p w14:paraId="283E534B" w14:textId="77777777" w:rsidR="00553191" w:rsidRDefault="007642C8" w:rsidP="00553191">
      <w:r w:rsidRPr="007642C8">
        <w:rPr>
          <w:color w:val="FFFFFF"/>
          <w:sz w:val="2"/>
          <w:szCs w:val="2"/>
          <w:rtl/>
        </w:rPr>
        <w:t>5129371</w:t>
      </w:r>
      <w:r w:rsidR="00553191">
        <w:rPr>
          <w:rtl/>
        </w:rPr>
        <w:t>הוקלד</w:t>
      </w:r>
      <w:r w:rsidR="00553191">
        <w:t xml:space="preserve"> </w:t>
      </w:r>
      <w:r w:rsidR="00553191">
        <w:rPr>
          <w:rtl/>
        </w:rPr>
        <w:t>על</w:t>
      </w:r>
      <w:r w:rsidR="00553191">
        <w:t xml:space="preserve"> </w:t>
      </w:r>
      <w:r w:rsidR="00553191">
        <w:rPr>
          <w:rtl/>
        </w:rPr>
        <w:t>ידי</w:t>
      </w:r>
      <w:r w:rsidR="00553191">
        <w:t xml:space="preserve"> </w:t>
      </w:r>
      <w:r w:rsidR="00553191">
        <w:rPr>
          <w:rtl/>
        </w:rPr>
        <w:t>נדב</w:t>
      </w:r>
      <w:r w:rsidR="00553191">
        <w:t xml:space="preserve"> </w:t>
      </w:r>
      <w:r w:rsidR="00553191">
        <w:rPr>
          <w:rtl/>
        </w:rPr>
        <w:t>תובל</w:t>
      </w:r>
    </w:p>
    <w:p w14:paraId="7A0E36AA" w14:textId="77777777" w:rsidR="002B6FA2" w:rsidRPr="007642C8" w:rsidRDefault="007642C8" w:rsidP="002B6FA2">
      <w:pPr>
        <w:keepNext/>
        <w:rPr>
          <w:color w:val="FFFFFF"/>
          <w:sz w:val="2"/>
          <w:szCs w:val="2"/>
          <w:rtl/>
        </w:rPr>
      </w:pPr>
      <w:r w:rsidRPr="007642C8">
        <w:rPr>
          <w:color w:val="FFFFFF"/>
          <w:sz w:val="2"/>
          <w:szCs w:val="2"/>
          <w:rtl/>
        </w:rPr>
        <w:t>54678313</w:t>
      </w:r>
    </w:p>
    <w:p w14:paraId="0E541078" w14:textId="77777777" w:rsidR="002B6FA2" w:rsidRPr="002B6FA2" w:rsidRDefault="002B6FA2" w:rsidP="002B6FA2">
      <w:pPr>
        <w:keepNext/>
        <w:rPr>
          <w:color w:val="000000"/>
          <w:sz w:val="22"/>
          <w:szCs w:val="22"/>
          <w:rtl/>
        </w:rPr>
      </w:pPr>
      <w:r w:rsidRPr="002B6FA2">
        <w:rPr>
          <w:color w:val="000000"/>
          <w:sz w:val="22"/>
          <w:szCs w:val="22"/>
          <w:rtl/>
        </w:rPr>
        <w:t>הדסה נאור 54678313</w:t>
      </w:r>
    </w:p>
    <w:p w14:paraId="4A08970C" w14:textId="77777777" w:rsidR="002B6FA2" w:rsidRDefault="002B6FA2" w:rsidP="002B6FA2">
      <w:pPr>
        <w:rPr>
          <w:color w:val="000000"/>
          <w:rtl/>
        </w:rPr>
      </w:pPr>
      <w:r w:rsidRPr="002B6FA2">
        <w:rPr>
          <w:color w:val="000000"/>
          <w:rtl/>
        </w:rPr>
        <w:t>נוסח מסמך זה כפוף לשינויי ניסוח ועריכה</w:t>
      </w:r>
    </w:p>
    <w:p w14:paraId="46977DD4" w14:textId="77777777" w:rsidR="002B6FA2" w:rsidRDefault="002B6FA2" w:rsidP="002B6FA2">
      <w:pPr>
        <w:rPr>
          <w:rtl/>
        </w:rPr>
      </w:pPr>
    </w:p>
    <w:p w14:paraId="3CC2F905" w14:textId="77777777" w:rsidR="002B6FA2" w:rsidRDefault="002B6FA2" w:rsidP="002B6FA2">
      <w:pPr>
        <w:jc w:val="center"/>
        <w:rPr>
          <w:color w:val="0000FF"/>
          <w:u w:val="single"/>
          <w:rtl/>
        </w:rPr>
      </w:pPr>
      <w:hyperlink r:id="rId16" w:history="1">
        <w:r>
          <w:rPr>
            <w:rStyle w:val="Hyperlink"/>
            <w:rtl/>
          </w:rPr>
          <w:t>בעניין עריכה ושינויים במסמכי פסיקה, חקיקה ועוד באתר נבו – הקש כאן</w:t>
        </w:r>
      </w:hyperlink>
    </w:p>
    <w:p w14:paraId="1ED807D7" w14:textId="77777777" w:rsidR="007642C8" w:rsidRPr="007642C8" w:rsidRDefault="007642C8" w:rsidP="007642C8">
      <w:pPr>
        <w:keepNext/>
        <w:rPr>
          <w:color w:val="000000"/>
          <w:sz w:val="22"/>
          <w:szCs w:val="22"/>
          <w:rtl/>
        </w:rPr>
      </w:pPr>
    </w:p>
    <w:sectPr w:rsidR="007642C8" w:rsidRPr="007642C8" w:rsidSect="007642C8">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CA898" w14:textId="77777777" w:rsidR="00495CA6" w:rsidRPr="00D02247" w:rsidRDefault="00495CA6">
      <w:pPr>
        <w:rPr>
          <w:rFonts w:cs="Times New Roman"/>
        </w:rPr>
      </w:pPr>
      <w:r>
        <w:separator/>
      </w:r>
    </w:p>
  </w:endnote>
  <w:endnote w:type="continuationSeparator" w:id="0">
    <w:p w14:paraId="67B1CC4B" w14:textId="77777777" w:rsidR="00495CA6" w:rsidRPr="00D02247" w:rsidRDefault="00495CA6">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147E0" w14:textId="77777777" w:rsidR="00FB76BB" w:rsidRDefault="00FB76BB" w:rsidP="007642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20F425B" w14:textId="77777777" w:rsidR="00FB76BB" w:rsidRPr="007642C8" w:rsidRDefault="00FB76BB" w:rsidP="007642C8">
    <w:pPr>
      <w:pStyle w:val="a5"/>
      <w:pBdr>
        <w:top w:val="single" w:sz="4" w:space="1" w:color="auto"/>
        <w:between w:val="single" w:sz="4" w:space="0" w:color="auto"/>
      </w:pBdr>
      <w:spacing w:after="60"/>
      <w:jc w:val="center"/>
      <w:rPr>
        <w:rFonts w:ascii="FrankRuehl" w:hAnsi="FrankRuehl" w:cs="FrankRuehl"/>
        <w:color w:val="000000"/>
      </w:rPr>
    </w:pPr>
    <w:r w:rsidRPr="007642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4BB59" w14:textId="77777777" w:rsidR="00FB76BB" w:rsidRDefault="00FB76BB" w:rsidP="007642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71D2">
      <w:rPr>
        <w:rFonts w:ascii="FrankRuehl" w:hAnsi="FrankRuehl" w:cs="FrankRuehl"/>
        <w:noProof/>
        <w:rtl/>
      </w:rPr>
      <w:t>1</w:t>
    </w:r>
    <w:r>
      <w:rPr>
        <w:rFonts w:ascii="FrankRuehl" w:hAnsi="FrankRuehl" w:cs="FrankRuehl"/>
        <w:rtl/>
      </w:rPr>
      <w:fldChar w:fldCharType="end"/>
    </w:r>
  </w:p>
  <w:p w14:paraId="0C740387" w14:textId="77777777" w:rsidR="00FB76BB" w:rsidRPr="007642C8" w:rsidRDefault="00FB76BB" w:rsidP="007642C8">
    <w:pPr>
      <w:pStyle w:val="a5"/>
      <w:pBdr>
        <w:top w:val="single" w:sz="4" w:space="1" w:color="auto"/>
        <w:between w:val="single" w:sz="4" w:space="0" w:color="auto"/>
      </w:pBdr>
      <w:spacing w:after="60"/>
      <w:jc w:val="center"/>
      <w:rPr>
        <w:rFonts w:ascii="FrankRuehl" w:hAnsi="FrankRuehl" w:cs="FrankRuehl"/>
        <w:color w:val="000000"/>
      </w:rPr>
    </w:pPr>
    <w:r w:rsidRPr="007642C8">
      <w:rPr>
        <w:rFonts w:ascii="FrankRuehl" w:hAnsi="FrankRuehl" w:cs="FrankRuehl"/>
        <w:color w:val="000000"/>
      </w:rPr>
      <w:pict w14:anchorId="4D109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A72BC" w14:textId="77777777" w:rsidR="00495CA6" w:rsidRPr="00D02247" w:rsidRDefault="00495CA6">
      <w:pPr>
        <w:rPr>
          <w:rFonts w:cs="Times New Roman"/>
        </w:rPr>
      </w:pPr>
      <w:r>
        <w:separator/>
      </w:r>
    </w:p>
  </w:footnote>
  <w:footnote w:type="continuationSeparator" w:id="0">
    <w:p w14:paraId="4A714F46" w14:textId="77777777" w:rsidR="00495CA6" w:rsidRPr="00D02247" w:rsidRDefault="00495CA6">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2C7A" w14:textId="77777777" w:rsidR="00FB76BB" w:rsidRPr="007642C8" w:rsidRDefault="00FB76BB" w:rsidP="007642C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54370-07-12</w:t>
    </w:r>
    <w:r>
      <w:rPr>
        <w:color w:val="000000"/>
        <w:sz w:val="22"/>
        <w:szCs w:val="22"/>
        <w:rtl/>
      </w:rPr>
      <w:tab/>
      <w:t xml:space="preserve"> מדינת ישראל נ' אולג וסילייב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B00F2" w14:textId="77777777" w:rsidR="00FB76BB" w:rsidRPr="007642C8" w:rsidRDefault="00FB76BB" w:rsidP="007642C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54370-07-12</w:t>
    </w:r>
    <w:r>
      <w:rPr>
        <w:color w:val="000000"/>
        <w:sz w:val="22"/>
        <w:szCs w:val="22"/>
        <w:rtl/>
      </w:rPr>
      <w:tab/>
      <w:t xml:space="preserve"> מדינת ישראל נ' אולג וסילייב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3191"/>
    <w:rsid w:val="002B6FA2"/>
    <w:rsid w:val="00324216"/>
    <w:rsid w:val="004644F6"/>
    <w:rsid w:val="00495CA6"/>
    <w:rsid w:val="00553191"/>
    <w:rsid w:val="006A71D2"/>
    <w:rsid w:val="007642C8"/>
    <w:rsid w:val="00A31A8E"/>
    <w:rsid w:val="00A87F2C"/>
    <w:rsid w:val="00AB67DD"/>
    <w:rsid w:val="00B53FB7"/>
    <w:rsid w:val="00DF27D7"/>
    <w:rsid w:val="00EF1883"/>
    <w:rsid w:val="00FB76BB"/>
    <w:rsid w:val="00FD53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42C744"/>
  <w15:chartTrackingRefBased/>
  <w15:docId w15:val="{EB3FDF81-5602-4D00-8A7C-6C49F35F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319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53191"/>
  </w:style>
  <w:style w:type="paragraph" w:styleId="a4">
    <w:name w:val="header"/>
    <w:basedOn w:val="a"/>
    <w:rsid w:val="00553191"/>
    <w:pPr>
      <w:tabs>
        <w:tab w:val="center" w:pos="4153"/>
        <w:tab w:val="right" w:pos="8306"/>
      </w:tabs>
    </w:pPr>
  </w:style>
  <w:style w:type="paragraph" w:styleId="a5">
    <w:name w:val="footer"/>
    <w:basedOn w:val="a"/>
    <w:rsid w:val="00553191"/>
    <w:pPr>
      <w:tabs>
        <w:tab w:val="center" w:pos="4153"/>
        <w:tab w:val="right" w:pos="8306"/>
      </w:tabs>
    </w:pPr>
  </w:style>
  <w:style w:type="character" w:styleId="a6">
    <w:name w:val="page number"/>
    <w:basedOn w:val="a0"/>
    <w:rsid w:val="00553191"/>
  </w:style>
  <w:style w:type="paragraph" w:customStyle="1" w:styleId="12">
    <w:name w:val="רגיל + ‏12 נק'"/>
    <w:aliases w:val="מיושר לשני הצדדים,מרווח בין שורות:  שורה וחצי"/>
    <w:basedOn w:val="a"/>
    <w:rsid w:val="00553191"/>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553191"/>
    <w:pPr>
      <w:spacing w:line="360" w:lineRule="auto"/>
      <w:jc w:val="both"/>
    </w:pPr>
    <w:rPr>
      <w:rFonts w:ascii="Times New Roman" w:eastAsia="Times New Roman" w:hAnsi="Times New Roman"/>
    </w:rPr>
  </w:style>
  <w:style w:type="paragraph" w:styleId="a7">
    <w:name w:val="Body Text"/>
    <w:basedOn w:val="a"/>
    <w:link w:val="a8"/>
    <w:rsid w:val="00553191"/>
    <w:pPr>
      <w:spacing w:line="360" w:lineRule="auto"/>
    </w:pPr>
    <w:rPr>
      <w:rFonts w:ascii="Times New Roman" w:eastAsia="Times New Roman" w:hAnsi="Times New Roman"/>
      <w:b/>
      <w:bCs/>
      <w:noProof/>
      <w:sz w:val="28"/>
      <w:szCs w:val="26"/>
      <w:lang w:eastAsia="he-IL"/>
    </w:rPr>
  </w:style>
  <w:style w:type="character" w:customStyle="1" w:styleId="a8">
    <w:name w:val="גוף טקסט תו"/>
    <w:link w:val="a7"/>
    <w:rsid w:val="00553191"/>
    <w:rPr>
      <w:rFonts w:cs="David"/>
      <w:b/>
      <w:bCs/>
      <w:noProof/>
      <w:sz w:val="28"/>
      <w:szCs w:val="26"/>
      <w:lang w:val="en-US" w:eastAsia="he-IL" w:bidi="he-IL"/>
    </w:rPr>
  </w:style>
  <w:style w:type="character" w:styleId="Hyperlink">
    <w:name w:val="Hyperlink"/>
    <w:rsid w:val="002B6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d" TargetMode="External"/><Relationship Id="rId13" Type="http://schemas.openxmlformats.org/officeDocument/2006/relationships/hyperlink" Target="http://www.nevo.co.il/law/70301/40d"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526501" TargetMode="External"/><Relationship Id="rId5" Type="http://schemas.openxmlformats.org/officeDocument/2006/relationships/endnotes" Target="endnotes.xml"/><Relationship Id="rId15" Type="http://schemas.openxmlformats.org/officeDocument/2006/relationships/hyperlink" Target="http://www.nevo.co.il/case/2526501" TargetMode="External"/><Relationship Id="rId10" Type="http://schemas.openxmlformats.org/officeDocument/2006/relationships/hyperlink" Target="http://www.nevo.co.il/case/3873922"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case/3893323" TargetMode="External"/><Relationship Id="rId14" Type="http://schemas.openxmlformats.org/officeDocument/2006/relationships/hyperlink" Target="http://www.nevo.co.il/law/70301"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1332</Words>
  <Characters>6660</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7977</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3407991</vt:i4>
      </vt:variant>
      <vt:variant>
        <vt:i4>27</vt:i4>
      </vt:variant>
      <vt:variant>
        <vt:i4>0</vt:i4>
      </vt:variant>
      <vt:variant>
        <vt:i4>5</vt:i4>
      </vt:variant>
      <vt:variant>
        <vt:lpwstr>http://www.nevo.co.il/case/2526501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8257637</vt:i4>
      </vt:variant>
      <vt:variant>
        <vt:i4>18</vt:i4>
      </vt:variant>
      <vt:variant>
        <vt:i4>0</vt:i4>
      </vt:variant>
      <vt:variant>
        <vt:i4>5</vt:i4>
      </vt:variant>
      <vt:variant>
        <vt:lpwstr>http://www.nevo.co.il/law/4216</vt:lpwstr>
      </vt:variant>
      <vt:variant>
        <vt:lpwstr/>
      </vt:variant>
      <vt:variant>
        <vt:i4>3407991</vt:i4>
      </vt:variant>
      <vt:variant>
        <vt:i4>15</vt:i4>
      </vt:variant>
      <vt:variant>
        <vt:i4>0</vt:i4>
      </vt:variant>
      <vt:variant>
        <vt:i4>5</vt:i4>
      </vt:variant>
      <vt:variant>
        <vt:lpwstr>http://www.nevo.co.il/case/2526501</vt:lpwstr>
      </vt:variant>
      <vt:variant>
        <vt:lpwstr/>
      </vt:variant>
      <vt:variant>
        <vt:i4>4128893</vt:i4>
      </vt:variant>
      <vt:variant>
        <vt:i4>12</vt:i4>
      </vt:variant>
      <vt:variant>
        <vt:i4>0</vt:i4>
      </vt:variant>
      <vt:variant>
        <vt:i4>5</vt:i4>
      </vt:variant>
      <vt:variant>
        <vt:lpwstr>http://www.nevo.co.il/case/3873922</vt:lpwstr>
      </vt:variant>
      <vt:variant>
        <vt:lpwstr/>
      </vt:variant>
      <vt:variant>
        <vt:i4>3801213</vt:i4>
      </vt:variant>
      <vt:variant>
        <vt:i4>9</vt:i4>
      </vt:variant>
      <vt:variant>
        <vt:i4>0</vt:i4>
      </vt:variant>
      <vt:variant>
        <vt:i4>5</vt:i4>
      </vt:variant>
      <vt:variant>
        <vt:lpwstr>http://www.nevo.co.il/case/3893323</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2025-04-22T21:47:00Z</dcterms:created>
  <dcterms:modified xsi:type="dcterms:W3CDTF">2025-04-22T21:47:00Z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תפ;תב</vt:lpwstr>
  </property>
  <property fmtid="{D5CDD505-2E9C-101B-9397-08002B2CF9AE}" pid="5" name="NEWPARTA">
    <vt:lpwstr>54370;54395</vt:lpwstr>
  </property>
  <property fmtid="{D5CDD505-2E9C-101B-9397-08002B2CF9AE}" pid="6" name="NEWPARTB">
    <vt:lpwstr>07;07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אולג וסילייב </vt:lpwstr>
  </property>
  <property fmtid="{D5CDD505-2E9C-101B-9397-08002B2CF9AE}" pid="10" name="LAWYER">
    <vt:lpwstr>גבריאל דניאל;אלון בן זיו</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20170322</vt:lpwstr>
  </property>
  <property fmtid="{D5CDD505-2E9C-101B-9397-08002B2CF9AE}" pid="14" name="TYPE_N_DATE">
    <vt:lpwstr>38020170322</vt:lpwstr>
  </property>
  <property fmtid="{D5CDD505-2E9C-101B-9397-08002B2CF9AE}" pid="15" name="WORDNUMPAGES">
    <vt:lpwstr>5</vt:lpwstr>
  </property>
  <property fmtid="{D5CDD505-2E9C-101B-9397-08002B2CF9AE}" pid="16" name="TYPE_ABS_DATE">
    <vt:lpwstr>380020170322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3893323;3873922;2526501:2</vt:lpwstr>
  </property>
  <property fmtid="{D5CDD505-2E9C-101B-9397-08002B2CF9AE}" pid="36" name="LAWLISTTMP1">
    <vt:lpwstr>4216</vt:lpwstr>
  </property>
  <property fmtid="{D5CDD505-2E9C-101B-9397-08002B2CF9AE}" pid="37" name="LAWLISTTMP2">
    <vt:lpwstr>70301/040d</vt:lpwstr>
  </property>
</Properties>
</file>